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E481">
      <w:pPr>
        <w:pStyle w:val="2"/>
        <w:adjustRightInd w:val="0"/>
        <w:spacing w:beforeLines="50" w:afterLines="50" w:line="520" w:lineRule="exact"/>
        <w:rPr>
          <w:rFonts w:hAnsi="华文中宋"/>
          <w:color w:val="auto"/>
          <w:szCs w:val="44"/>
        </w:rPr>
      </w:pPr>
      <w:bookmarkStart w:id="16" w:name="_GoBack"/>
      <w:bookmarkEnd w:id="16"/>
    </w:p>
    <w:p w14:paraId="22C018D2">
      <w:pPr>
        <w:pStyle w:val="2"/>
        <w:adjustRightInd w:val="0"/>
        <w:spacing w:beforeLines="50" w:afterLines="50" w:line="520" w:lineRule="exact"/>
        <w:rPr>
          <w:rFonts w:hAnsi="华文中宋"/>
          <w:color w:val="auto"/>
          <w:szCs w:val="44"/>
        </w:rPr>
      </w:pPr>
    </w:p>
    <w:p w14:paraId="64A9B4CF">
      <w:pPr>
        <w:pStyle w:val="2"/>
        <w:adjustRightInd w:val="0"/>
        <w:spacing w:beforeLines="50" w:afterLines="50" w:line="520" w:lineRule="exact"/>
        <w:rPr>
          <w:rFonts w:hAnsi="华文中宋"/>
          <w:color w:val="auto"/>
          <w:szCs w:val="44"/>
        </w:rPr>
      </w:pPr>
    </w:p>
    <w:p w14:paraId="4BF882F7">
      <w:pPr>
        <w:pStyle w:val="2"/>
        <w:adjustRightInd w:val="0"/>
        <w:spacing w:beforeLines="50" w:afterLines="50" w:line="520" w:lineRule="exact"/>
        <w:rPr>
          <w:rFonts w:hAnsi="华文中宋"/>
          <w:color w:val="auto"/>
          <w:szCs w:val="44"/>
        </w:rPr>
      </w:pPr>
    </w:p>
    <w:p w14:paraId="703A8CF2">
      <w:pPr>
        <w:pStyle w:val="2"/>
        <w:adjustRightInd w:val="0"/>
        <w:spacing w:beforeLines="50" w:afterLines="50" w:line="520" w:lineRule="exact"/>
        <w:rPr>
          <w:rFonts w:hAnsi="华文中宋"/>
          <w:color w:val="auto"/>
          <w:szCs w:val="44"/>
        </w:rPr>
      </w:pPr>
    </w:p>
    <w:p w14:paraId="2CF89963">
      <w:pPr>
        <w:pStyle w:val="2"/>
        <w:adjustRightInd w:val="0"/>
        <w:spacing w:beforeLines="50" w:afterLines="50" w:line="520" w:lineRule="exact"/>
        <w:rPr>
          <w:rFonts w:hAnsi="华文中宋"/>
          <w:color w:val="auto"/>
          <w:szCs w:val="44"/>
        </w:rPr>
      </w:pPr>
    </w:p>
    <w:p w14:paraId="06D671D5">
      <w:pPr>
        <w:pStyle w:val="2"/>
        <w:adjustRightInd w:val="0"/>
        <w:spacing w:beforeLines="50" w:afterLines="50" w:line="520" w:lineRule="exact"/>
        <w:rPr>
          <w:rFonts w:hAnsi="华文中宋"/>
          <w:color w:val="auto"/>
          <w:szCs w:val="44"/>
        </w:rPr>
      </w:pPr>
    </w:p>
    <w:p w14:paraId="71C50860">
      <w:pPr>
        <w:pStyle w:val="2"/>
        <w:adjustRightInd w:val="0"/>
        <w:spacing w:beforeLines="50" w:afterLines="50" w:line="520" w:lineRule="exact"/>
        <w:rPr>
          <w:rFonts w:hAnsi="华文中宋"/>
          <w:color w:val="auto"/>
          <w:szCs w:val="44"/>
        </w:rPr>
      </w:pPr>
      <w:r>
        <w:rPr>
          <w:rFonts w:hint="eastAsia" w:hAnsi="华文中宋"/>
          <w:color w:val="auto"/>
          <w:szCs w:val="44"/>
        </w:rPr>
        <w:t>北京经济技术开发区管理委员会2018年</w:t>
      </w:r>
    </w:p>
    <w:p w14:paraId="1D099BF3">
      <w:pPr>
        <w:pStyle w:val="2"/>
        <w:adjustRightInd w:val="0"/>
        <w:spacing w:beforeLines="50" w:afterLines="50" w:line="520" w:lineRule="exact"/>
        <w:rPr>
          <w:rFonts w:hAnsi="华文中宋"/>
          <w:color w:val="auto"/>
          <w:szCs w:val="44"/>
        </w:rPr>
      </w:pPr>
      <w:r>
        <w:rPr>
          <w:rFonts w:hint="eastAsia" w:hAnsi="华文中宋"/>
          <w:color w:val="auto"/>
          <w:szCs w:val="44"/>
        </w:rPr>
        <w:t>政府信息公开工作年度报告</w:t>
      </w:r>
    </w:p>
    <w:p w14:paraId="06B3A657"/>
    <w:p w14:paraId="6C3370CE"/>
    <w:p w14:paraId="7FB16DF9"/>
    <w:p w14:paraId="5FBCF2C0"/>
    <w:p w14:paraId="39ED82CD"/>
    <w:p w14:paraId="438E8CC2"/>
    <w:p w14:paraId="2F16395B"/>
    <w:p w14:paraId="122B416F"/>
    <w:p w14:paraId="2D1C0CB6"/>
    <w:p w14:paraId="15D1C29F"/>
    <w:p w14:paraId="05A40A81"/>
    <w:p w14:paraId="730022CE"/>
    <w:p w14:paraId="43FAD40B"/>
    <w:p w14:paraId="0B0A4269"/>
    <w:p w14:paraId="6F55DFB9"/>
    <w:p w14:paraId="0B69F12A"/>
    <w:p w14:paraId="0955F68F"/>
    <w:p w14:paraId="6098B141"/>
    <w:p w14:paraId="0320D0B8"/>
    <w:p w14:paraId="0D20B4F3"/>
    <w:p w14:paraId="5D638ACC"/>
    <w:p w14:paraId="7466E979"/>
    <w:p w14:paraId="746CDA6D"/>
    <w:tbl>
      <w:tblPr>
        <w:tblStyle w:val="8"/>
        <w:tblW w:w="0" w:type="auto"/>
        <w:jc w:val="center"/>
        <w:tblCellSpacing w:w="0" w:type="dxa"/>
        <w:shd w:val="clear" w:color="auto" w:fill="FFFFFF"/>
        <w:tblLayout w:type="fixed"/>
        <w:tblCellMar>
          <w:top w:w="0" w:type="dxa"/>
          <w:left w:w="0" w:type="dxa"/>
          <w:bottom w:w="0" w:type="dxa"/>
          <w:right w:w="0" w:type="dxa"/>
        </w:tblCellMar>
      </w:tblPr>
      <w:tblGrid>
        <w:gridCol w:w="7973"/>
      </w:tblGrid>
      <w:tr w14:paraId="24D55172">
        <w:tblPrEx>
          <w:tblCellMar>
            <w:top w:w="0" w:type="dxa"/>
            <w:left w:w="0" w:type="dxa"/>
            <w:bottom w:w="0" w:type="dxa"/>
            <w:right w:w="0" w:type="dxa"/>
          </w:tblCellMar>
        </w:tblPrEx>
        <w:trPr>
          <w:trHeight w:val="600" w:hRule="atLeast"/>
          <w:tblCellSpacing w:w="0" w:type="dxa"/>
          <w:jc w:val="center"/>
        </w:trPr>
        <w:tc>
          <w:tcPr>
            <w:tcW w:w="7973" w:type="dxa"/>
            <w:shd w:val="clear" w:color="auto" w:fill="FFFFFF"/>
            <w:vAlign w:val="center"/>
          </w:tcPr>
          <w:p w14:paraId="1CC5B8B8">
            <w:pPr>
              <w:widowControl/>
              <w:wordWrap w:val="0"/>
              <w:rPr>
                <w:rFonts w:ascii="仿宋_GB2312" w:hAnsi="Arial" w:eastAsia="仿宋_GB2312" w:cs="Arial"/>
                <w:kern w:val="0"/>
                <w:sz w:val="32"/>
                <w:szCs w:val="32"/>
              </w:rPr>
            </w:pPr>
          </w:p>
        </w:tc>
      </w:tr>
      <w:tr w14:paraId="5F5C4DDC">
        <w:tblPrEx>
          <w:tblCellMar>
            <w:top w:w="0" w:type="dxa"/>
            <w:left w:w="0" w:type="dxa"/>
            <w:bottom w:w="0" w:type="dxa"/>
            <w:right w:w="0" w:type="dxa"/>
          </w:tblCellMar>
        </w:tblPrEx>
        <w:trPr>
          <w:tblCellSpacing w:w="0" w:type="dxa"/>
          <w:jc w:val="center"/>
        </w:trPr>
        <w:tc>
          <w:tcPr>
            <w:tcW w:w="7973" w:type="dxa"/>
            <w:shd w:val="clear" w:color="auto" w:fill="FFFFFF"/>
          </w:tcPr>
          <w:p w14:paraId="185945DD">
            <w:pPr>
              <w:widowControl/>
              <w:wordWrap w:val="0"/>
              <w:spacing w:line="560" w:lineRule="exact"/>
              <w:jc w:val="center"/>
              <w:rPr>
                <w:rFonts w:ascii="仿宋_GB2312" w:hAnsi="Arial" w:eastAsia="仿宋_GB2312" w:cs="Arial"/>
                <w:b/>
                <w:bCs/>
                <w:kern w:val="0"/>
                <w:sz w:val="32"/>
                <w:szCs w:val="32"/>
              </w:rPr>
            </w:pPr>
            <w:bookmarkStart w:id="0" w:name="OLE_LINK4"/>
            <w:bookmarkStart w:id="1" w:name="OLE_LINK1"/>
            <w:bookmarkStart w:id="2" w:name="OLE_LINK15"/>
            <w:bookmarkStart w:id="3" w:name="OLE_LINK6"/>
            <w:bookmarkStart w:id="4" w:name="OLE_LINK8"/>
            <w:bookmarkStart w:id="5" w:name="OLE_LINK3"/>
            <w:bookmarkStart w:id="6" w:name="OLE_LINK5"/>
            <w:bookmarkStart w:id="7" w:name="OLE_LINK9"/>
            <w:r>
              <w:rPr>
                <w:rFonts w:hint="eastAsia" w:ascii="仿宋_GB2312" w:hAnsi="Arial" w:eastAsia="仿宋_GB2312" w:cs="Arial"/>
                <w:b/>
                <w:bCs/>
                <w:kern w:val="0"/>
                <w:sz w:val="32"/>
                <w:szCs w:val="32"/>
              </w:rPr>
              <w:t>引言</w:t>
            </w:r>
          </w:p>
          <w:p w14:paraId="2681CC70">
            <w:pPr>
              <w:widowControl/>
              <w:wordWrap w:val="0"/>
              <w:spacing w:line="560" w:lineRule="exact"/>
              <w:ind w:firstLine="645"/>
              <w:rPr>
                <w:rFonts w:ascii="仿宋_GB2312" w:hAnsi="Arial" w:eastAsia="仿宋_GB2312" w:cs="Arial"/>
                <w:kern w:val="0"/>
                <w:sz w:val="32"/>
                <w:szCs w:val="32"/>
              </w:rPr>
            </w:pPr>
            <w:r>
              <w:rPr>
                <w:rFonts w:hint="eastAsia" w:ascii="仿宋_GB2312" w:hAnsi="Arial" w:eastAsia="仿宋_GB2312" w:cs="Arial"/>
                <w:kern w:val="0"/>
                <w:sz w:val="32"/>
                <w:szCs w:val="32"/>
              </w:rPr>
              <w:t>本报告是根据《中华人民共和国政府信息公开条例》（以下简称《条例》）和《北京市政府信息公开规定》（以下简称《规定》）要求，以及2018年北京经济技术开发区管理委员会政府信息公开工作情况，由北京经济技术开发区管理委员会编制。</w:t>
            </w:r>
          </w:p>
          <w:p w14:paraId="08DE1B6B">
            <w:pPr>
              <w:widowControl/>
              <w:spacing w:beforeLines="100" w:afterLines="100" w:line="560" w:lineRule="exact"/>
              <w:ind w:firstLine="640" w:firstLineChars="200"/>
              <w:outlineLvl w:val="0"/>
              <w:rPr>
                <w:rFonts w:ascii="黑体" w:hAnsi="宋体" w:eastAsia="黑体" w:cs="宋体"/>
                <w:color w:val="000000"/>
                <w:kern w:val="0"/>
                <w:sz w:val="32"/>
                <w:szCs w:val="32"/>
              </w:rPr>
            </w:pPr>
            <w:r>
              <w:rPr>
                <w:rFonts w:hint="eastAsia" w:ascii="仿宋_GB2312" w:hAnsi="Arial" w:eastAsia="仿宋_GB2312" w:cs="Arial"/>
                <w:kern w:val="0"/>
                <w:sz w:val="32"/>
                <w:szCs w:val="32"/>
              </w:rPr>
              <w:t>全文包括</w:t>
            </w:r>
            <w:r>
              <w:rPr>
                <w:rFonts w:hint="eastAsia" w:ascii="黑体" w:hAnsi="宋体" w:eastAsia="黑体" w:cs="宋体"/>
                <w:color w:val="000000"/>
                <w:kern w:val="0"/>
                <w:sz w:val="32"/>
                <w:szCs w:val="32"/>
              </w:rPr>
              <w:t>《</w:t>
            </w:r>
            <w:r>
              <w:rPr>
                <w:rFonts w:hint="eastAsia" w:ascii="仿宋_GB2312" w:hAnsi="Arial" w:eastAsia="仿宋_GB2312" w:cs="Arial"/>
                <w:kern w:val="0"/>
                <w:sz w:val="32"/>
                <w:szCs w:val="32"/>
              </w:rPr>
              <w:t>北京市2018年政务公开工作要点》完成情况、</w:t>
            </w:r>
            <w:r>
              <w:rPr>
                <w:rFonts w:hint="eastAsia" w:ascii="仿宋_GB2312" w:eastAsia="仿宋_GB2312"/>
                <w:sz w:val="32"/>
                <w:szCs w:val="32"/>
              </w:rPr>
              <w:t>主动公开政府信息的情况、依申请公开政府信息的情况、行政复议、诉讼及举报情况、组织机构</w:t>
            </w:r>
            <w:r>
              <w:rPr>
                <w:rFonts w:ascii="仿宋_GB2312" w:eastAsia="仿宋_GB2312"/>
                <w:sz w:val="32"/>
                <w:szCs w:val="32"/>
              </w:rPr>
              <w:t>、</w:t>
            </w:r>
            <w:r>
              <w:rPr>
                <w:rFonts w:hint="eastAsia" w:ascii="仿宋_GB2312" w:eastAsia="仿宋_GB2312"/>
                <w:sz w:val="32"/>
                <w:szCs w:val="32"/>
              </w:rPr>
              <w:t>制度建设</w:t>
            </w:r>
            <w:r>
              <w:rPr>
                <w:rFonts w:ascii="仿宋_GB2312" w:eastAsia="仿宋_GB2312"/>
                <w:sz w:val="32"/>
                <w:szCs w:val="32"/>
              </w:rPr>
              <w:t>、</w:t>
            </w:r>
            <w:r>
              <w:rPr>
                <w:rFonts w:hint="eastAsia" w:ascii="仿宋_GB2312" w:eastAsia="仿宋_GB2312"/>
                <w:sz w:val="32"/>
                <w:szCs w:val="32"/>
              </w:rPr>
              <w:t>渠道场所、教育</w:t>
            </w:r>
            <w:r>
              <w:rPr>
                <w:rFonts w:ascii="仿宋_GB2312" w:eastAsia="仿宋_GB2312"/>
                <w:sz w:val="32"/>
                <w:szCs w:val="32"/>
              </w:rPr>
              <w:t>培训情况</w:t>
            </w:r>
            <w:r>
              <w:rPr>
                <w:rFonts w:hint="eastAsia" w:ascii="仿宋_GB2312" w:eastAsia="仿宋_GB2312"/>
                <w:sz w:val="32"/>
                <w:szCs w:val="32"/>
              </w:rPr>
              <w:t>、政府信息公开工作存在的不足及改进措施等。</w:t>
            </w:r>
          </w:p>
          <w:p w14:paraId="751D4736">
            <w:pPr>
              <w:widowControl/>
              <w:wordWrap w:val="0"/>
              <w:spacing w:line="56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本报告中所列数据的统计期限自2018年1月1日起，至2018年12月31日止。本报告的电子版可在北京经济技术开发区政府网站(</w:t>
            </w:r>
            <w:r>
              <w:rPr>
                <w:rFonts w:ascii="仿宋_GB2312" w:hAnsi="Arial" w:eastAsia="仿宋_GB2312" w:cs="Arial"/>
                <w:kern w:val="0"/>
                <w:sz w:val="32"/>
                <w:szCs w:val="32"/>
              </w:rPr>
              <w:t>http://kfqgw.beijing.gov.cn/</w:t>
            </w:r>
            <w:r>
              <w:rPr>
                <w:rFonts w:hint="eastAsia" w:ascii="仿宋_GB2312" w:hAnsi="Arial" w:eastAsia="仿宋_GB2312" w:cs="Arial"/>
                <w:kern w:val="0"/>
                <w:sz w:val="32"/>
                <w:szCs w:val="32"/>
              </w:rPr>
              <w:t>)下载。</w:t>
            </w:r>
          </w:p>
          <w:bookmarkEnd w:id="0"/>
          <w:p w14:paraId="54EA3673">
            <w:pPr>
              <w:widowControl/>
              <w:wordWrap w:val="0"/>
              <w:rPr>
                <w:rFonts w:ascii="仿宋_GB2312" w:hAnsi="Arial" w:eastAsia="仿宋_GB2312" w:cs="Arial"/>
                <w:kern w:val="0"/>
                <w:sz w:val="32"/>
                <w:szCs w:val="32"/>
              </w:rPr>
            </w:pPr>
          </w:p>
          <w:p w14:paraId="5F5A4E49">
            <w:pPr>
              <w:widowControl/>
              <w:wordWrap w:val="0"/>
              <w:rPr>
                <w:rFonts w:ascii="Arial" w:hAnsi="Arial" w:eastAsia="仿宋_GB2312" w:cs="Arial"/>
                <w:kern w:val="0"/>
                <w:sz w:val="32"/>
                <w:szCs w:val="32"/>
              </w:rPr>
            </w:pPr>
          </w:p>
          <w:p w14:paraId="17B0095B">
            <w:pPr>
              <w:widowControl/>
              <w:wordWrap w:val="0"/>
              <w:rPr>
                <w:rFonts w:ascii="Arial" w:hAnsi="Arial" w:eastAsia="仿宋_GB2312" w:cs="Arial"/>
                <w:kern w:val="0"/>
                <w:sz w:val="32"/>
                <w:szCs w:val="32"/>
              </w:rPr>
            </w:pPr>
          </w:p>
          <w:p w14:paraId="1848CE5D">
            <w:pPr>
              <w:widowControl/>
              <w:spacing w:beforeLines="100" w:afterLines="100" w:line="560" w:lineRule="exact"/>
              <w:outlineLvl w:val="0"/>
              <w:rPr>
                <w:rFonts w:ascii="Arial" w:hAnsi="Arial" w:eastAsia="仿宋_GB2312" w:cs="Arial"/>
                <w:kern w:val="0"/>
                <w:sz w:val="32"/>
                <w:szCs w:val="32"/>
              </w:rPr>
            </w:pPr>
          </w:p>
          <w:p w14:paraId="2DEE976F">
            <w:pPr>
              <w:widowControl/>
              <w:spacing w:beforeLines="100" w:afterLines="100" w:line="560" w:lineRule="exact"/>
              <w:outlineLvl w:val="0"/>
              <w:rPr>
                <w:rFonts w:ascii="Arial" w:hAnsi="Arial" w:eastAsia="仿宋_GB2312" w:cs="Arial"/>
                <w:kern w:val="0"/>
                <w:sz w:val="32"/>
                <w:szCs w:val="32"/>
              </w:rPr>
            </w:pPr>
          </w:p>
          <w:p w14:paraId="61720BD2">
            <w:pPr>
              <w:widowControl/>
              <w:spacing w:beforeLines="100" w:afterLines="100" w:line="560" w:lineRule="exact"/>
              <w:outlineLvl w:val="0"/>
              <w:rPr>
                <w:rFonts w:ascii="Arial" w:hAnsi="Arial" w:eastAsia="仿宋_GB2312" w:cs="Arial"/>
                <w:kern w:val="0"/>
                <w:sz w:val="32"/>
                <w:szCs w:val="32"/>
              </w:rPr>
            </w:pPr>
          </w:p>
          <w:p w14:paraId="22D990A0">
            <w:pPr>
              <w:widowControl/>
              <w:spacing w:line="560" w:lineRule="exact"/>
              <w:rPr>
                <w:rFonts w:ascii="黑体" w:hAnsi="宋体" w:eastAsia="黑体" w:cs="宋体"/>
                <w:color w:val="000000"/>
                <w:kern w:val="0"/>
                <w:sz w:val="32"/>
                <w:szCs w:val="32"/>
              </w:rPr>
            </w:pPr>
          </w:p>
          <w:p w14:paraId="460CC9ED">
            <w:pPr>
              <w:widowControl/>
              <w:spacing w:line="560" w:lineRule="exact"/>
              <w:rPr>
                <w:rFonts w:ascii="黑体" w:hAnsi="宋体" w:eastAsia="黑体" w:cs="宋体"/>
                <w:color w:val="000000"/>
                <w:kern w:val="0"/>
                <w:sz w:val="32"/>
                <w:szCs w:val="32"/>
              </w:rPr>
            </w:pPr>
            <w:r>
              <w:rPr>
                <w:rFonts w:hint="eastAsia" w:ascii="黑体" w:hAnsi="宋体" w:eastAsia="黑体" w:cs="宋体"/>
                <w:color w:val="000000"/>
                <w:kern w:val="0"/>
                <w:sz w:val="32"/>
                <w:szCs w:val="32"/>
              </w:rPr>
              <w:t xml:space="preserve">     一、《北京市2018年政务公开工作要点》完成情况</w:t>
            </w:r>
          </w:p>
          <w:p w14:paraId="7101C72D">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bookmarkStart w:id="8" w:name="OLE_LINK2"/>
            <w:r>
              <w:rPr>
                <w:rFonts w:hint="eastAsia" w:ascii="仿宋_GB2312" w:hAnsi="黑体" w:eastAsia="仿宋_GB2312" w:cs="宋体"/>
                <w:color w:val="000000" w:themeColor="text1"/>
                <w:sz w:val="32"/>
                <w:szCs w:val="32"/>
              </w:rPr>
              <w:t>（一）进一步规范依申请工作，确保当面、信函、网络申请受理渠道和咨询电话畅通，严格履行审查程序，规范依申请公开登记、办理、答复等管理工作。</w:t>
            </w:r>
          </w:p>
          <w:p w14:paraId="5FBAC2A7">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仿宋_GB2312" w:hAnsi="黑体" w:eastAsia="仿宋_GB2312" w:cs="宋体"/>
                <w:color w:val="000000" w:themeColor="text1"/>
                <w:sz w:val="32"/>
                <w:szCs w:val="32"/>
              </w:rPr>
              <w:t xml:space="preserve">（二）持续优化营商环境，积极推进“一窗受理、一网通办”，并在《亦庄时讯》开设“北京亦庄营商环境之变”专题，持续报道相关工作情况。 </w:t>
            </w:r>
          </w:p>
          <w:p w14:paraId="447054D3">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仿宋_GB2312" w:hAnsi="黑体" w:eastAsia="仿宋_GB2312" w:cs="宋体"/>
                <w:color w:val="000000" w:themeColor="text1"/>
                <w:sz w:val="32"/>
                <w:szCs w:val="32"/>
              </w:rPr>
              <w:t>（三）加强政务公开平台建设，</w:t>
            </w:r>
            <w:r>
              <w:rPr>
                <w:rFonts w:hint="eastAsia" w:ascii="仿宋_GB2312" w:hAnsi="黑体" w:eastAsia="仿宋_GB2312" w:cs="宋体"/>
                <w:bCs/>
                <w:color w:val="000000" w:themeColor="text1"/>
                <w:sz w:val="32"/>
                <w:szCs w:val="32"/>
              </w:rPr>
              <w:t>推动政府网站减量增效，</w:t>
            </w:r>
            <w:r>
              <w:rPr>
                <w:rFonts w:hint="eastAsia" w:ascii="仿宋_GB2312" w:hAnsi="黑体" w:eastAsia="仿宋_GB2312" w:cs="宋体"/>
                <w:color w:val="000000" w:themeColor="text1"/>
                <w:sz w:val="32"/>
                <w:szCs w:val="32"/>
              </w:rPr>
              <w:t>完成我委网站集约化整合和改版工作，充分发挥政务微博、微信、报纸等在信息发布、政策解读、回应关切、在线服务方面的积极作用。</w:t>
            </w:r>
          </w:p>
          <w:p w14:paraId="0F86D15F">
            <w:pPr>
              <w:shd w:val="clear" w:color="auto" w:fill="FFFFFF"/>
              <w:spacing w:before="100" w:beforeAutospacing="1" w:after="250" w:line="480" w:lineRule="auto"/>
              <w:ind w:firstLine="645"/>
              <w:rPr>
                <w:rFonts w:ascii="仿宋_GB2312" w:hAnsi="黑体" w:eastAsia="仿宋_GB2312" w:cs="宋体"/>
                <w:sz w:val="32"/>
                <w:szCs w:val="32"/>
              </w:rPr>
            </w:pPr>
            <w:r>
              <w:rPr>
                <w:rFonts w:hint="eastAsia" w:ascii="仿宋_GB2312" w:hAnsi="黑体" w:eastAsia="仿宋_GB2312" w:cs="宋体"/>
                <w:color w:val="000000" w:themeColor="text1"/>
                <w:sz w:val="32"/>
                <w:szCs w:val="32"/>
              </w:rPr>
              <w:t>（四）加强解读回应，丰富政策解读形式。</w:t>
            </w:r>
            <w:r>
              <w:rPr>
                <w:rFonts w:hint="eastAsia" w:ascii="仿宋_GB2312" w:hAnsi="微软雅黑" w:eastAsia="仿宋_GB2312"/>
                <w:bCs/>
                <w:kern w:val="0"/>
                <w:sz w:val="32"/>
                <w:szCs w:val="32"/>
              </w:rPr>
              <w:t>我委门户网站设立了政策解读专栏,</w:t>
            </w:r>
            <w:r>
              <w:rPr>
                <w:rFonts w:hint="eastAsia" w:ascii="仿宋_GB2312" w:eastAsia="仿宋_GB2312"/>
                <w:sz w:val="32"/>
                <w:szCs w:val="32"/>
              </w:rPr>
              <w:t xml:space="preserve"> 同时通过新闻发布会、政务微博、微信和报纸(《亦庄时讯》)等途径解读政策，</w:t>
            </w:r>
            <w:r>
              <w:rPr>
                <w:rFonts w:hint="eastAsia" w:ascii="仿宋_GB2312" w:hAnsi="黑体" w:eastAsia="仿宋_GB2312" w:cs="宋体"/>
                <w:sz w:val="32"/>
                <w:szCs w:val="32"/>
              </w:rPr>
              <w:t>用图表、漫画等方式呈现，增强趣味性、接受性和传播性。</w:t>
            </w:r>
          </w:p>
          <w:p w14:paraId="7ADB9C13">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仿宋_GB2312" w:hAnsi="黑体" w:eastAsia="仿宋_GB2312" w:cs="宋体"/>
                <w:sz w:val="32"/>
                <w:szCs w:val="32"/>
              </w:rPr>
              <w:t xml:space="preserve"> (五)推进“三城一区”相关工作信息公开，积极承接和转化科技创新成果，在及时公开相关信息的同时解读了《关于优化人才服务促进科技创新推动高精尖产业发展的若干措施》、《北京市加快医药健康协同创新行动计划(2018-2020年)》等相关政策。</w:t>
            </w:r>
          </w:p>
          <w:bookmarkEnd w:id="8"/>
          <w:p w14:paraId="391FD57D">
            <w:pPr>
              <w:widowControl/>
              <w:spacing w:beforeLines="100" w:afterLines="100" w:line="56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二、主动公开情况</w:t>
            </w:r>
          </w:p>
          <w:p w14:paraId="6F86A9D5">
            <w:pPr>
              <w:widowControl/>
              <w:wordWrap w:val="0"/>
              <w:rPr>
                <w:rFonts w:ascii="仿宋_GB2312" w:hAnsi="Arial" w:eastAsia="仿宋_GB2312" w:cs="Arial"/>
                <w:kern w:val="0"/>
                <w:sz w:val="32"/>
                <w:szCs w:val="32"/>
              </w:rPr>
            </w:pPr>
            <w:r>
              <w:rPr>
                <w:rFonts w:hint="eastAsia" w:ascii="Arial" w:hAnsi="Arial" w:eastAsia="仿宋_GB2312" w:cs="Arial"/>
                <w:kern w:val="0"/>
                <w:sz w:val="32"/>
                <w:szCs w:val="32"/>
              </w:rPr>
              <w:t> </w:t>
            </w:r>
            <w:r>
              <w:rPr>
                <w:rFonts w:hint="eastAsia" w:ascii="仿宋_GB2312" w:hAnsi="Arial" w:eastAsia="仿宋_GB2312" w:cs="Arial"/>
                <w:kern w:val="0"/>
                <w:sz w:val="32"/>
                <w:szCs w:val="32"/>
              </w:rPr>
              <w:t>　　（一） 主动公开情况</w:t>
            </w:r>
          </w:p>
          <w:p w14:paraId="0B3D8380">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Arial" w:hAnsi="Arial" w:eastAsia="仿宋_GB2312" w:cs="Arial"/>
                <w:kern w:val="0"/>
                <w:sz w:val="32"/>
                <w:szCs w:val="32"/>
              </w:rPr>
              <w:t> </w:t>
            </w:r>
            <w:r>
              <w:rPr>
                <w:rFonts w:hint="eastAsia" w:ascii="仿宋_GB2312" w:hAnsi="黑体" w:eastAsia="仿宋_GB2312" w:cs="宋体"/>
                <w:color w:val="000000" w:themeColor="text1"/>
                <w:sz w:val="32"/>
                <w:szCs w:val="32"/>
              </w:rPr>
              <w:t>2018年，通过政府网站、政务微博、微信等渠道公开政府信息4466条；主动公开规范性文件4件，制发规范性文件4件。</w:t>
            </w:r>
          </w:p>
          <w:p w14:paraId="1C81DA25">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仿宋_GB2312" w:hAnsi="黑体" w:eastAsia="仿宋_GB2312" w:cs="宋体"/>
                <w:color w:val="000000" w:themeColor="text1"/>
                <w:sz w:val="32"/>
                <w:szCs w:val="32"/>
              </w:rPr>
              <w:t>（二）重点领域公开政府信息情况</w:t>
            </w:r>
          </w:p>
          <w:p w14:paraId="5AF975B1">
            <w:pPr>
              <w:shd w:val="clear" w:color="auto" w:fill="FFFFFF"/>
              <w:spacing w:before="100" w:beforeAutospacing="1" w:after="250" w:line="480" w:lineRule="auto"/>
              <w:ind w:firstLine="645"/>
              <w:rPr>
                <w:rFonts w:ascii="仿宋_GB2312" w:hAnsi="黑体" w:eastAsia="仿宋_GB2312" w:cs="宋体"/>
                <w:color w:val="000000" w:themeColor="text1"/>
                <w:sz w:val="32"/>
                <w:szCs w:val="32"/>
              </w:rPr>
            </w:pPr>
            <w:r>
              <w:rPr>
                <w:rFonts w:hint="eastAsia" w:ascii="仿宋_GB2312" w:hAnsi="黑体" w:eastAsia="仿宋_GB2312" w:cs="宋体"/>
                <w:color w:val="000000" w:themeColor="text1"/>
                <w:sz w:val="32"/>
                <w:szCs w:val="32"/>
              </w:rPr>
              <w:t>重点领域公开政府信息数316条，其中主动公开财政预决算、“三公”经费和行政经费信息数5条；主动公开环境核查审批、环境状况公报和重特大突发环境事件等信息数311条。</w:t>
            </w:r>
          </w:p>
          <w:p w14:paraId="276D48D9">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（三）回应解读情况</w:t>
            </w:r>
          </w:p>
          <w:p w14:paraId="70AFD2BC">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2018年，回应公众关注热点或重大舆情数7次；参加或举办新闻发布会29次（主要负责同志参加新闻发布会次数6次）；政策解读稿件发布数10篇；微博、微信回应事件数6次，其他方式回应事件数1次。</w:t>
            </w:r>
          </w:p>
          <w:p w14:paraId="2EF7F0BD">
            <w:pPr>
              <w:widowControl/>
              <w:wordWrap w:val="0"/>
              <w:ind w:firstLine="640" w:firstLineChars="200"/>
              <w:rPr>
                <w:rFonts w:ascii="仿宋_GB2312" w:hAnsi="Arial" w:eastAsia="仿宋_GB2312" w:cs="Arial"/>
                <w:kern w:val="0"/>
                <w:sz w:val="32"/>
                <w:szCs w:val="32"/>
              </w:rPr>
            </w:pPr>
            <w:r>
              <w:rPr>
                <w:rFonts w:ascii="仿宋_GB2312" w:hAnsi="Arial" w:eastAsia="仿宋_GB2312" w:cs="Arial"/>
                <w:kern w:val="0"/>
                <w:sz w:val="32"/>
                <w:szCs w:val="32"/>
              </w:rPr>
              <w:drawing>
                <wp:inline distT="0" distB="0" distL="0" distR="0">
                  <wp:extent cx="4174490" cy="2331720"/>
                  <wp:effectExtent l="19050" t="0" r="0" b="0"/>
                  <wp:docPr id="3" name="图片 1" descr="D:\政府信息总结计划\2019年度工作\开发区2018年报\W02018080854787612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政府信息总结计划\2019年度工作\开发区2018年报\W020180808547876122424.jpg"/>
                          <pic:cNvPicPr>
                            <a:picLocks noChangeAspect="1" noChangeArrowheads="1"/>
                          </pic:cNvPicPr>
                        </pic:nvPicPr>
                        <pic:blipFill>
                          <a:blip r:embed="rId4"/>
                          <a:srcRect/>
                          <a:stretch>
                            <a:fillRect/>
                          </a:stretch>
                        </pic:blipFill>
                        <pic:spPr>
                          <a:xfrm>
                            <a:off x="0" y="0"/>
                            <a:ext cx="4174767" cy="2332158"/>
                          </a:xfrm>
                          <a:prstGeom prst="rect">
                            <a:avLst/>
                          </a:prstGeom>
                          <a:noFill/>
                          <a:ln w="9525">
                            <a:noFill/>
                            <a:miter lim="800000"/>
                            <a:headEnd/>
                            <a:tailEnd/>
                          </a:ln>
                        </pic:spPr>
                      </pic:pic>
                    </a:graphicData>
                  </a:graphic>
                </wp:inline>
              </w:drawing>
            </w:r>
          </w:p>
        </w:tc>
      </w:tr>
    </w:tbl>
    <w:p w14:paraId="77217287">
      <w:pPr>
        <w:widowControl/>
        <w:spacing w:beforeLines="100" w:afterLines="100" w:line="56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三、依申请公开情况</w:t>
      </w:r>
    </w:p>
    <w:p w14:paraId="074D17FE">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（一）申请情况</w:t>
      </w:r>
    </w:p>
    <w:p w14:paraId="5A32E05A">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2018年，我委申请总数为109件，申请方式中，当面申请84件，占77.1％；通过互联网申请18件，占16.5％；以信函形式申请7件，占6.4％。</w:t>
      </w:r>
    </w:p>
    <w:p w14:paraId="3ADC418D">
      <w:pPr>
        <w:widowControl/>
        <w:rPr>
          <w:rFonts w:eastAsia="仿宋_GB2312" w:cs="Calibri"/>
          <w:kern w:val="0"/>
          <w:sz w:val="32"/>
          <w:szCs w:val="32"/>
        </w:rPr>
      </w:pPr>
      <w:r>
        <w:rPr>
          <w:rFonts w:hint="eastAsia" w:eastAsia="仿宋_GB2312" w:cs="Calibri"/>
          <w:kern w:val="0"/>
          <w:sz w:val="32"/>
          <w:szCs w:val="32"/>
        </w:rPr>
        <w:t xml:space="preserve">    </w:t>
      </w:r>
      <w:r>
        <w:rPr>
          <w:rFonts w:hint="eastAsia" w:eastAsia="仿宋_GB2312" w:cs="Calibri"/>
          <w:kern w:val="0"/>
          <w:sz w:val="32"/>
          <w:szCs w:val="32"/>
        </w:rPr>
        <w:drawing>
          <wp:inline distT="0" distB="0" distL="0" distR="0">
            <wp:extent cx="5334000" cy="3111500"/>
            <wp:effectExtent l="1905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C445447">
      <w:pPr>
        <w:widowControl/>
        <w:spacing w:line="560" w:lineRule="exact"/>
        <w:ind w:firstLine="800" w:firstLineChars="250"/>
        <w:rPr>
          <w:rFonts w:ascii="仿宋_GB2312" w:hAnsi="宋体" w:eastAsia="仿宋_GB2312" w:cs="宋体"/>
          <w:kern w:val="0"/>
          <w:sz w:val="32"/>
          <w:szCs w:val="32"/>
        </w:rPr>
      </w:pPr>
      <w:r>
        <w:rPr>
          <w:rFonts w:hint="eastAsia" w:ascii="仿宋_GB2312" w:hAnsi="宋体" w:eastAsia="仿宋_GB2312" w:cs="宋体"/>
          <w:kern w:val="0"/>
          <w:sz w:val="32"/>
          <w:szCs w:val="32"/>
        </w:rPr>
        <w:t>(二)答复情况</w:t>
      </w:r>
    </w:p>
    <w:p w14:paraId="48AFEC12">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申请办结116件，其余未到答复期的按照《条例》要求，在规定时限内答复。其中,100件按时办结,16件延期办结。</w:t>
      </w:r>
    </w:p>
    <w:p w14:paraId="2E314F83">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在已答复的116件中，“已主动公开”7件，占6.0%；“同意公开”81件，占69.8％； “不同意公开”3件，占2.6%,(其中,涉及商业秘密1件,不是条例所指政府信息1件,法律法规规定的其他情形1件)；“不属于本机关公开”3件，占2.6％；“申请信息不存在”17件，占14.7％;告知作出更改补充数1件，占0.9％；“告知通过其它途径办理”4件，占3.4％。</w:t>
      </w:r>
    </w:p>
    <w:p w14:paraId="437229D8">
      <w:pPr>
        <w:widowControl/>
        <w:spacing w:line="560" w:lineRule="exact"/>
        <w:ind w:firstLine="640" w:firstLineChars="200"/>
        <w:rPr>
          <w:rFonts w:ascii="仿宋_GB2312" w:hAnsi="宋体" w:eastAsia="仿宋_GB2312" w:cs="宋体"/>
          <w:kern w:val="0"/>
          <w:sz w:val="32"/>
          <w:szCs w:val="32"/>
        </w:rPr>
      </w:pPr>
    </w:p>
    <w:p w14:paraId="50908981">
      <w:pPr>
        <w:widowControl/>
        <w:ind w:firstLine="420" w:firstLineChars="200"/>
        <w:rPr>
          <w:rFonts w:ascii="仿宋_GB2312" w:eastAsia="仿宋_GB2312"/>
        </w:rPr>
      </w:pPr>
      <w:r>
        <w:rPr>
          <w:rFonts w:ascii="仿宋_GB2312" w:eastAsia="仿宋_GB2312"/>
        </w:rPr>
        <w:drawing>
          <wp:inline distT="0" distB="0" distL="0" distR="0">
            <wp:extent cx="5334000" cy="31115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3F9273">
      <w:pPr>
        <w:widowControl/>
        <w:ind w:firstLine="420" w:firstLineChars="200"/>
        <w:rPr>
          <w:rFonts w:ascii="仿宋_GB2312" w:eastAsia="仿宋_GB2312"/>
        </w:rPr>
      </w:pPr>
    </w:p>
    <w:p w14:paraId="1E3D8C23">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（三）依申请公开政府信息收费情况</w:t>
      </w:r>
    </w:p>
    <w:p w14:paraId="409AA20C">
      <w:pPr>
        <w:widowControl/>
        <w:spacing w:line="560" w:lineRule="exac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按照市财政局、市发展改革委《关于清理规范一批行政事业性收费有关政策的通知》（京财综〔2017〕569号）要求，我委已停止收取依申请公开政府信息费用。</w:t>
      </w:r>
    </w:p>
    <w:p w14:paraId="7AC088B5">
      <w:pPr>
        <w:widowControl/>
        <w:spacing w:beforeLines="100" w:afterLines="100" w:line="56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四</w:t>
      </w:r>
      <w:r>
        <w:rPr>
          <w:rFonts w:ascii="黑体" w:hAnsi="宋体" w:eastAsia="黑体" w:cs="宋体"/>
          <w:color w:val="000000"/>
          <w:kern w:val="0"/>
          <w:sz w:val="32"/>
          <w:szCs w:val="32"/>
        </w:rPr>
        <w:t>、</w:t>
      </w:r>
      <w:r>
        <w:rPr>
          <w:rFonts w:hint="eastAsia" w:ascii="黑体" w:hAnsi="宋体" w:eastAsia="黑体" w:cs="宋体"/>
          <w:color w:val="000000"/>
          <w:kern w:val="0"/>
          <w:sz w:val="32"/>
          <w:szCs w:val="32"/>
        </w:rPr>
        <w:t>行政复议、诉讼及举报情况</w:t>
      </w:r>
    </w:p>
    <w:p w14:paraId="404654AC">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（一）行政复议情况</w:t>
      </w:r>
    </w:p>
    <w:p w14:paraId="2B3496D2">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2018年，我委与政府信息公开有关的行政复议案4件，维持具体行政行为4件。</w:t>
      </w:r>
    </w:p>
    <w:p w14:paraId="309F93B8">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（二）行政诉讼情况</w:t>
      </w:r>
    </w:p>
    <w:p w14:paraId="5D28569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2018年，</w:t>
      </w:r>
      <w:r>
        <w:rPr>
          <w:rFonts w:hint="eastAsia" w:ascii="仿宋_GB2312" w:hAnsi="宋体" w:eastAsia="仿宋_GB2312" w:cs="宋体"/>
          <w:kern w:val="0"/>
          <w:sz w:val="32"/>
          <w:szCs w:val="32"/>
        </w:rPr>
        <w:t>我委与政府信息公开有关的行政诉讼案3件，维持具体行政行为或者驳回原告诉讼请求3件。</w:t>
      </w:r>
    </w:p>
    <w:p w14:paraId="588C849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（三）举报情况</w:t>
      </w:r>
    </w:p>
    <w:p w14:paraId="51135FF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2018年，我委未收到与政府信息公开有关举报。</w:t>
      </w:r>
    </w:p>
    <w:p w14:paraId="782C291E">
      <w:pPr>
        <w:widowControl/>
        <w:spacing w:beforeLines="100" w:afterLines="100" w:line="56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五、组织机构</w:t>
      </w:r>
      <w:r>
        <w:rPr>
          <w:rFonts w:ascii="黑体" w:hAnsi="宋体" w:eastAsia="黑体" w:cs="宋体"/>
          <w:color w:val="000000"/>
          <w:kern w:val="0"/>
          <w:sz w:val="32"/>
          <w:szCs w:val="32"/>
        </w:rPr>
        <w:t>、</w:t>
      </w:r>
      <w:r>
        <w:rPr>
          <w:rFonts w:hint="eastAsia" w:ascii="黑体" w:hAnsi="宋体" w:eastAsia="黑体" w:cs="宋体"/>
          <w:color w:val="000000"/>
          <w:kern w:val="0"/>
          <w:sz w:val="32"/>
          <w:szCs w:val="32"/>
        </w:rPr>
        <w:t>制度建设</w:t>
      </w:r>
      <w:r>
        <w:rPr>
          <w:rFonts w:ascii="黑体" w:hAnsi="宋体" w:eastAsia="黑体" w:cs="宋体"/>
          <w:color w:val="000000"/>
          <w:kern w:val="0"/>
          <w:sz w:val="32"/>
          <w:szCs w:val="32"/>
        </w:rPr>
        <w:t>、</w:t>
      </w:r>
      <w:r>
        <w:rPr>
          <w:rFonts w:hint="eastAsia" w:ascii="黑体" w:hAnsi="宋体" w:eastAsia="黑体" w:cs="宋体"/>
          <w:color w:val="000000"/>
          <w:kern w:val="0"/>
          <w:sz w:val="32"/>
          <w:szCs w:val="32"/>
        </w:rPr>
        <w:t>渠道场所、教育</w:t>
      </w:r>
      <w:r>
        <w:rPr>
          <w:rFonts w:ascii="黑体" w:hAnsi="宋体" w:eastAsia="黑体" w:cs="宋体"/>
          <w:color w:val="000000"/>
          <w:kern w:val="0"/>
          <w:sz w:val="32"/>
          <w:szCs w:val="32"/>
        </w:rPr>
        <w:t>培训情况</w:t>
      </w:r>
    </w:p>
    <w:p w14:paraId="62BB40EE">
      <w:pPr>
        <w:widowControl/>
        <w:spacing w:line="56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我委</w:t>
      </w:r>
      <w:r>
        <w:rPr>
          <w:rFonts w:hint="eastAsia" w:ascii="仿宋_GB2312" w:hAnsi="宋体" w:eastAsia="仿宋_GB2312" w:cs="宋体"/>
          <w:kern w:val="0"/>
          <w:sz w:val="32"/>
          <w:szCs w:val="32"/>
        </w:rPr>
        <w:t>政府信息公开工作专门机构1个，设置政府信息公开查阅点1个。从事政府信息公开工作人员26人，其中专职人员4人，兼职人员22人。建立主动公开、依申请公开等工作程序和相关工作机制。依申请渠道有当面、信函、网络、传真等。</w:t>
      </w:r>
      <w:r>
        <w:rPr>
          <w:rFonts w:ascii="仿宋_GB2312" w:hAnsi="宋体" w:eastAsia="仿宋_GB2312" w:cs="宋体"/>
          <w:kern w:val="0"/>
          <w:sz w:val="32"/>
          <w:szCs w:val="32"/>
        </w:rPr>
        <w:t>201</w:t>
      </w:r>
      <w:r>
        <w:rPr>
          <w:rFonts w:hint="eastAsia" w:ascii="仿宋_GB2312" w:hAnsi="宋体" w:eastAsia="仿宋_GB2312" w:cs="宋体"/>
          <w:kern w:val="0"/>
          <w:sz w:val="32"/>
          <w:szCs w:val="32"/>
        </w:rPr>
        <w:t>8</w:t>
      </w:r>
      <w:r>
        <w:rPr>
          <w:rFonts w:ascii="仿宋_GB2312" w:hAnsi="宋体" w:eastAsia="仿宋_GB2312" w:cs="宋体"/>
          <w:kern w:val="0"/>
          <w:sz w:val="32"/>
          <w:szCs w:val="32"/>
        </w:rPr>
        <w:t>年召开信息公开会议</w:t>
      </w:r>
      <w:r>
        <w:rPr>
          <w:rFonts w:hint="eastAsia" w:ascii="仿宋_GB2312" w:hAnsi="宋体" w:eastAsia="仿宋_GB2312" w:cs="宋体"/>
          <w:kern w:val="0"/>
          <w:sz w:val="32"/>
          <w:szCs w:val="32"/>
        </w:rPr>
        <w:t>3</w:t>
      </w:r>
      <w:r>
        <w:rPr>
          <w:rFonts w:ascii="仿宋_GB2312" w:hAnsi="宋体" w:eastAsia="仿宋_GB2312" w:cs="宋体"/>
          <w:kern w:val="0"/>
          <w:sz w:val="32"/>
          <w:szCs w:val="32"/>
        </w:rPr>
        <w:t>次，举办</w:t>
      </w:r>
      <w:r>
        <w:rPr>
          <w:rFonts w:hint="eastAsia" w:ascii="仿宋_GB2312" w:hAnsi="宋体" w:eastAsia="仿宋_GB2312" w:cs="宋体"/>
          <w:kern w:val="0"/>
          <w:sz w:val="32"/>
          <w:szCs w:val="32"/>
        </w:rPr>
        <w:t>政府信息公开</w:t>
      </w:r>
      <w:r>
        <w:rPr>
          <w:rFonts w:ascii="仿宋_GB2312" w:hAnsi="宋体" w:eastAsia="仿宋_GB2312" w:cs="宋体"/>
          <w:kern w:val="0"/>
          <w:sz w:val="32"/>
          <w:szCs w:val="32"/>
        </w:rPr>
        <w:t>培训班</w:t>
      </w:r>
      <w:r>
        <w:rPr>
          <w:rFonts w:hint="eastAsia" w:ascii="仿宋_GB2312" w:hAnsi="宋体" w:eastAsia="仿宋_GB2312" w:cs="宋体"/>
          <w:kern w:val="0"/>
          <w:sz w:val="32"/>
          <w:szCs w:val="32"/>
        </w:rPr>
        <w:t>1</w:t>
      </w:r>
      <w:r>
        <w:rPr>
          <w:rFonts w:ascii="仿宋_GB2312" w:hAnsi="宋体" w:eastAsia="仿宋_GB2312" w:cs="宋体"/>
          <w:kern w:val="0"/>
          <w:sz w:val="32"/>
          <w:szCs w:val="32"/>
        </w:rPr>
        <w:t>次，接受培训</w:t>
      </w:r>
      <w:r>
        <w:rPr>
          <w:rFonts w:hint="eastAsia" w:ascii="仿宋_GB2312" w:hAnsi="宋体" w:eastAsia="仿宋_GB2312" w:cs="宋体"/>
          <w:kern w:val="0"/>
          <w:sz w:val="32"/>
          <w:szCs w:val="32"/>
        </w:rPr>
        <w:t>人员46</w:t>
      </w:r>
      <w:r>
        <w:rPr>
          <w:rFonts w:ascii="仿宋_GB2312" w:hAnsi="宋体" w:eastAsia="仿宋_GB2312" w:cs="宋体"/>
          <w:kern w:val="0"/>
          <w:sz w:val="32"/>
          <w:szCs w:val="32"/>
        </w:rPr>
        <w:t>人次。</w:t>
      </w:r>
    </w:p>
    <w:p w14:paraId="56E78D89">
      <w:pPr>
        <w:widowControl/>
        <w:spacing w:beforeLines="100" w:afterLines="100" w:line="560" w:lineRule="exact"/>
        <w:ind w:firstLine="640" w:firstLineChars="200"/>
        <w:outlineLvl w:val="0"/>
        <w:rPr>
          <w:rFonts w:ascii="黑体" w:hAnsi="宋体" w:eastAsia="黑体" w:cs="宋体"/>
          <w:kern w:val="0"/>
          <w:sz w:val="32"/>
          <w:szCs w:val="32"/>
        </w:rPr>
      </w:pPr>
      <w:bookmarkStart w:id="9" w:name="OLE_LINK14"/>
      <w:r>
        <w:rPr>
          <w:rFonts w:hint="eastAsia" w:ascii="黑体" w:hAnsi="宋体" w:eastAsia="黑体" w:cs="宋体"/>
          <w:kern w:val="0"/>
          <w:sz w:val="32"/>
          <w:szCs w:val="32"/>
        </w:rPr>
        <w:t>六、</w:t>
      </w:r>
      <w:r>
        <w:rPr>
          <w:rFonts w:ascii="黑体" w:hAnsi="宋体" w:eastAsia="黑体" w:cs="宋体"/>
          <w:kern w:val="0"/>
          <w:sz w:val="32"/>
          <w:szCs w:val="32"/>
        </w:rPr>
        <w:t>存在的不足及改进措施</w:t>
      </w:r>
    </w:p>
    <w:p w14:paraId="301EE8DF">
      <w:pPr>
        <w:pStyle w:val="7"/>
        <w:spacing w:line="560" w:lineRule="exact"/>
        <w:ind w:firstLine="640" w:firstLineChars="200"/>
        <w:rPr>
          <w:rFonts w:ascii="仿宋_GB2312" w:eastAsia="仿宋_GB2312"/>
          <w:color w:val="000000" w:themeColor="text1"/>
          <w:sz w:val="32"/>
          <w:szCs w:val="32"/>
        </w:rPr>
      </w:pPr>
      <w:bookmarkStart w:id="10" w:name="OLE_LINK13"/>
      <w:bookmarkStart w:id="11" w:name="OLE_LINK7"/>
      <w:r>
        <w:rPr>
          <w:rFonts w:hint="eastAsia" w:ascii="仿宋_GB2312" w:eastAsia="仿宋_GB2312"/>
          <w:color w:val="000000" w:themeColor="text1"/>
          <w:sz w:val="32"/>
          <w:szCs w:val="32"/>
        </w:rPr>
        <w:t>2018年政府信息公开工作存在不足：政策解读工作需进一步加强，依申请公开流程和答复需进一步规范。</w:t>
      </w:r>
    </w:p>
    <w:bookmarkEnd w:id="10"/>
    <w:p w14:paraId="7ECE2341">
      <w:pPr>
        <w:pStyle w:val="7"/>
        <w:spacing w:line="560" w:lineRule="exact"/>
        <w:ind w:firstLine="480" w:firstLineChars="150"/>
        <w:rPr>
          <w:rFonts w:ascii="仿宋_GB2312" w:eastAsia="仿宋_GB2312"/>
          <w:color w:val="000000" w:themeColor="text1"/>
          <w:sz w:val="32"/>
          <w:szCs w:val="32"/>
        </w:rPr>
      </w:pPr>
      <w:bookmarkStart w:id="12" w:name="OLE_LINK10"/>
      <w:bookmarkStart w:id="13" w:name="OLE_LINK12"/>
      <w:r>
        <w:rPr>
          <w:rFonts w:hint="eastAsia" w:ascii="仿宋_GB2312" w:eastAsia="仿宋_GB2312"/>
          <w:color w:val="000000" w:themeColor="text1"/>
          <w:sz w:val="32"/>
          <w:szCs w:val="32"/>
        </w:rPr>
        <w:t>2019年将从以下方面改进：一是加强平台建设工作，优化、完善网站服务功能；二是进一步提高政策解读水平，健全政策解读工作机制；三是继续加强培训工作，提高培训实效。</w:t>
      </w:r>
      <w:bookmarkEnd w:id="12"/>
    </w:p>
    <w:bookmarkEnd w:id="9"/>
    <w:bookmarkEnd w:id="11"/>
    <w:bookmarkEnd w:id="13"/>
    <w:p w14:paraId="675F21CC">
      <w:pPr>
        <w:spacing w:line="560" w:lineRule="exact"/>
        <w:rPr>
          <w:rFonts w:ascii="仿宋_GB2312" w:hAnsi="宋体" w:eastAsia="仿宋_GB2312" w:cs="宋体"/>
          <w:kern w:val="0"/>
          <w:sz w:val="32"/>
          <w:szCs w:val="32"/>
        </w:rPr>
      </w:pPr>
    </w:p>
    <w:p w14:paraId="1879942C">
      <w:pPr>
        <w:spacing w:line="560" w:lineRule="exact"/>
        <w:rPr>
          <w:rFonts w:ascii="仿宋_GB2312" w:hAnsi="宋体" w:eastAsia="仿宋_GB2312" w:cs="宋体"/>
          <w:kern w:val="0"/>
          <w:sz w:val="32"/>
          <w:szCs w:val="32"/>
        </w:rPr>
      </w:pPr>
    </w:p>
    <w:p w14:paraId="11334272">
      <w:pPr>
        <w:spacing w:line="560" w:lineRule="exact"/>
        <w:ind w:firstLine="3360" w:firstLineChars="1050"/>
        <w:rPr>
          <w:rFonts w:ascii="仿宋_GB2312" w:hAnsi="宋体" w:eastAsia="仿宋_GB2312" w:cs="宋体"/>
          <w:kern w:val="0"/>
          <w:sz w:val="32"/>
          <w:szCs w:val="32"/>
        </w:rPr>
      </w:pPr>
      <w:bookmarkStart w:id="14" w:name="OLE_LINK11"/>
      <w:r>
        <w:rPr>
          <w:rFonts w:hint="eastAsia" w:ascii="仿宋_GB2312" w:hAnsi="宋体" w:eastAsia="仿宋_GB2312" w:cs="宋体"/>
          <w:kern w:val="0"/>
          <w:sz w:val="32"/>
          <w:szCs w:val="32"/>
        </w:rPr>
        <w:t>北京经济技术开发区管理委员会</w:t>
      </w:r>
    </w:p>
    <w:p w14:paraId="47B3874B">
      <w:pPr>
        <w:spacing w:line="560" w:lineRule="exact"/>
        <w:ind w:firstLine="4800" w:firstLineChars="1500"/>
        <w:rPr>
          <w:rFonts w:ascii="仿宋_GB2312" w:hAnsi="宋体" w:eastAsia="仿宋_GB2312" w:cs="宋体"/>
          <w:kern w:val="0"/>
          <w:sz w:val="32"/>
          <w:szCs w:val="32"/>
        </w:rPr>
      </w:pPr>
      <w:r>
        <w:rPr>
          <w:rFonts w:hint="eastAsia" w:ascii="仿宋_GB2312" w:hAnsi="宋体" w:eastAsia="仿宋_GB2312" w:cs="宋体"/>
          <w:kern w:val="0"/>
          <w:sz w:val="32"/>
          <w:szCs w:val="32"/>
        </w:rPr>
        <w:t>2019年3月</w:t>
      </w:r>
    </w:p>
    <w:bookmarkEnd w:id="1"/>
    <w:bookmarkEnd w:id="14"/>
    <w:p w14:paraId="199F96D8">
      <w:pPr>
        <w:spacing w:line="560" w:lineRule="exact"/>
      </w:pPr>
    </w:p>
    <w:p w14:paraId="4963A5A5">
      <w:pPr>
        <w:spacing w:line="560" w:lineRule="exact"/>
      </w:pPr>
    </w:p>
    <w:p w14:paraId="44379EBD"/>
    <w:p w14:paraId="7BA497C2"/>
    <w:p w14:paraId="10084D45"/>
    <w:p w14:paraId="459F80B6"/>
    <w:p w14:paraId="63011594"/>
    <w:p w14:paraId="4C329F15"/>
    <w:p w14:paraId="0F9452A5"/>
    <w:p w14:paraId="475020EA">
      <w:r>
        <w:rPr>
          <w:rFonts w:hint="eastAsia"/>
        </w:rPr>
        <w:t>附表:</w:t>
      </w:r>
    </w:p>
    <w:bookmarkEnd w:id="2"/>
    <w:tbl>
      <w:tblPr>
        <w:tblStyle w:val="8"/>
        <w:tblW w:w="9509" w:type="dxa"/>
        <w:jc w:val="center"/>
        <w:tblLayout w:type="autofit"/>
        <w:tblCellMar>
          <w:top w:w="0" w:type="dxa"/>
          <w:left w:w="108" w:type="dxa"/>
          <w:bottom w:w="0" w:type="dxa"/>
          <w:right w:w="108" w:type="dxa"/>
        </w:tblCellMar>
      </w:tblPr>
      <w:tblGrid>
        <w:gridCol w:w="7755"/>
        <w:gridCol w:w="720"/>
        <w:gridCol w:w="1034"/>
      </w:tblGrid>
      <w:tr w14:paraId="146E9559">
        <w:tblPrEx>
          <w:tblCellMar>
            <w:top w:w="0" w:type="dxa"/>
            <w:left w:w="108" w:type="dxa"/>
            <w:bottom w:w="0" w:type="dxa"/>
            <w:right w:w="108" w:type="dxa"/>
          </w:tblCellMar>
        </w:tblPrEx>
        <w:trPr>
          <w:trHeight w:val="540" w:hRule="atLeast"/>
          <w:jc w:val="center"/>
        </w:trPr>
        <w:tc>
          <w:tcPr>
            <w:tcW w:w="9509" w:type="dxa"/>
            <w:gridSpan w:val="3"/>
            <w:tcBorders>
              <w:top w:val="nil"/>
              <w:left w:val="nil"/>
              <w:bottom w:val="nil"/>
              <w:right w:val="nil"/>
            </w:tcBorders>
            <w:shd w:val="clear" w:color="FFFFFF" w:fill="auto"/>
            <w:noWrap/>
            <w:vAlign w:val="center"/>
          </w:tcPr>
          <w:p w14:paraId="311F2B84">
            <w:pPr>
              <w:widowControl/>
              <w:jc w:val="center"/>
              <w:rPr>
                <w:rFonts w:ascii="方正小标宋简体" w:hAnsi="宋体" w:eastAsia="方正小标宋简体" w:cs="宋体"/>
                <w:color w:val="000000"/>
                <w:kern w:val="0"/>
                <w:sz w:val="44"/>
                <w:szCs w:val="44"/>
              </w:rPr>
            </w:pPr>
            <w:bookmarkStart w:id="15" w:name="OLE_LINK16"/>
            <w:r>
              <w:rPr>
                <w:rFonts w:hint="eastAsia" w:ascii="方正小标宋简体" w:hAnsi="宋体" w:eastAsia="方正小标宋简体" w:cs="宋体"/>
                <w:color w:val="000000"/>
                <w:kern w:val="0"/>
                <w:sz w:val="44"/>
                <w:szCs w:val="44"/>
              </w:rPr>
              <w:t>政府信息公开情况统计表</w:t>
            </w:r>
          </w:p>
        </w:tc>
      </w:tr>
      <w:tr w14:paraId="16EA3A2B">
        <w:tblPrEx>
          <w:tblCellMar>
            <w:top w:w="0" w:type="dxa"/>
            <w:left w:w="108" w:type="dxa"/>
            <w:bottom w:w="0" w:type="dxa"/>
            <w:right w:w="108" w:type="dxa"/>
          </w:tblCellMar>
        </w:tblPrEx>
        <w:trPr>
          <w:trHeight w:val="285" w:hRule="atLeast"/>
          <w:jc w:val="center"/>
        </w:trPr>
        <w:tc>
          <w:tcPr>
            <w:tcW w:w="9509" w:type="dxa"/>
            <w:gridSpan w:val="3"/>
            <w:tcBorders>
              <w:top w:val="nil"/>
              <w:left w:val="nil"/>
              <w:bottom w:val="nil"/>
              <w:right w:val="nil"/>
            </w:tcBorders>
            <w:shd w:val="clear" w:color="FFFFFF" w:fill="auto"/>
            <w:noWrap/>
            <w:vAlign w:val="center"/>
          </w:tcPr>
          <w:p w14:paraId="18D6F225">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2018年度）</w:t>
            </w:r>
          </w:p>
        </w:tc>
      </w:tr>
      <w:tr w14:paraId="52420C11">
        <w:tblPrEx>
          <w:tblCellMar>
            <w:top w:w="0" w:type="dxa"/>
            <w:left w:w="108" w:type="dxa"/>
            <w:bottom w:w="0" w:type="dxa"/>
            <w:right w:w="108" w:type="dxa"/>
          </w:tblCellMar>
        </w:tblPrEx>
        <w:trPr>
          <w:trHeight w:val="405" w:hRule="atLeast"/>
          <w:jc w:val="center"/>
        </w:trPr>
        <w:tc>
          <w:tcPr>
            <w:tcW w:w="7755" w:type="dxa"/>
            <w:tcBorders>
              <w:top w:val="nil"/>
              <w:left w:val="nil"/>
              <w:bottom w:val="nil"/>
              <w:right w:val="nil"/>
            </w:tcBorders>
            <w:shd w:val="clear" w:color="FFFFFF" w:fill="auto"/>
            <w:noWrap/>
            <w:vAlign w:val="center"/>
          </w:tcPr>
          <w:p w14:paraId="42098B30">
            <w:pPr>
              <w:widowControl/>
              <w:jc w:val="left"/>
              <w:rPr>
                <w:rFonts w:ascii="宋体" w:hAnsi="宋体" w:cs="宋体"/>
                <w:color w:val="000000"/>
                <w:kern w:val="0"/>
                <w:sz w:val="22"/>
              </w:rPr>
            </w:pPr>
          </w:p>
        </w:tc>
        <w:tc>
          <w:tcPr>
            <w:tcW w:w="720" w:type="dxa"/>
            <w:tcBorders>
              <w:top w:val="nil"/>
              <w:left w:val="nil"/>
              <w:bottom w:val="nil"/>
              <w:right w:val="nil"/>
            </w:tcBorders>
            <w:shd w:val="clear" w:color="FFFFFF" w:fill="auto"/>
            <w:noWrap/>
            <w:vAlign w:val="center"/>
          </w:tcPr>
          <w:p w14:paraId="436ABAC4">
            <w:pPr>
              <w:widowControl/>
              <w:jc w:val="center"/>
              <w:rPr>
                <w:rFonts w:ascii="宋体" w:hAnsi="宋体" w:cs="宋体"/>
                <w:color w:val="000000"/>
                <w:kern w:val="0"/>
                <w:sz w:val="22"/>
              </w:rPr>
            </w:pPr>
          </w:p>
        </w:tc>
        <w:tc>
          <w:tcPr>
            <w:tcW w:w="1034" w:type="dxa"/>
            <w:tcBorders>
              <w:top w:val="nil"/>
              <w:left w:val="nil"/>
              <w:bottom w:val="nil"/>
              <w:right w:val="nil"/>
            </w:tcBorders>
            <w:shd w:val="clear" w:color="FFFFFF" w:fill="auto"/>
            <w:noWrap/>
            <w:vAlign w:val="center"/>
          </w:tcPr>
          <w:p w14:paraId="5D61F6F3">
            <w:pPr>
              <w:widowControl/>
              <w:jc w:val="left"/>
              <w:rPr>
                <w:rFonts w:ascii="宋体" w:hAnsi="宋体" w:cs="宋体"/>
                <w:color w:val="000000"/>
                <w:kern w:val="0"/>
                <w:sz w:val="22"/>
              </w:rPr>
            </w:pPr>
          </w:p>
        </w:tc>
      </w:tr>
      <w:tr w14:paraId="170D9BE2">
        <w:tblPrEx>
          <w:tblCellMar>
            <w:top w:w="0" w:type="dxa"/>
            <w:left w:w="108" w:type="dxa"/>
            <w:bottom w:w="0" w:type="dxa"/>
            <w:right w:w="108" w:type="dxa"/>
          </w:tblCellMar>
        </w:tblPrEx>
        <w:trPr>
          <w:trHeight w:val="300" w:hRule="atLeast"/>
          <w:jc w:val="center"/>
        </w:trPr>
        <w:tc>
          <w:tcPr>
            <w:tcW w:w="7755" w:type="dxa"/>
            <w:tcBorders>
              <w:top w:val="nil"/>
              <w:left w:val="nil"/>
              <w:bottom w:val="single" w:color="auto" w:sz="8" w:space="0"/>
              <w:right w:val="nil"/>
            </w:tcBorders>
            <w:shd w:val="clear" w:color="FFFFFF" w:fill="auto"/>
            <w:noWrap/>
            <w:vAlign w:val="center"/>
          </w:tcPr>
          <w:p w14:paraId="37D92053">
            <w:pPr>
              <w:widowControl/>
              <w:jc w:val="left"/>
              <w:rPr>
                <w:rFonts w:ascii="仿宋_GB2312" w:hAnsi="宋体" w:eastAsia="仿宋_GB2312" w:cs="宋体"/>
                <w:kern w:val="0"/>
                <w:sz w:val="24"/>
              </w:rPr>
            </w:pPr>
          </w:p>
        </w:tc>
        <w:tc>
          <w:tcPr>
            <w:tcW w:w="720" w:type="dxa"/>
            <w:tcBorders>
              <w:top w:val="nil"/>
              <w:left w:val="nil"/>
              <w:bottom w:val="single" w:color="auto" w:sz="8" w:space="0"/>
              <w:right w:val="nil"/>
            </w:tcBorders>
            <w:shd w:val="clear" w:color="FFFFFF" w:fill="auto"/>
            <w:noWrap/>
            <w:vAlign w:val="center"/>
          </w:tcPr>
          <w:p w14:paraId="28D034E7">
            <w:pPr>
              <w:widowControl/>
              <w:rPr>
                <w:rFonts w:ascii="仿宋_GB2312" w:hAnsi="宋体" w:eastAsia="仿宋_GB2312" w:cs="宋体"/>
                <w:color w:val="000000"/>
                <w:kern w:val="0"/>
                <w:sz w:val="24"/>
              </w:rPr>
            </w:pPr>
          </w:p>
        </w:tc>
        <w:tc>
          <w:tcPr>
            <w:tcW w:w="1034" w:type="dxa"/>
            <w:tcBorders>
              <w:top w:val="nil"/>
              <w:left w:val="nil"/>
              <w:bottom w:val="single" w:color="auto" w:sz="8" w:space="0"/>
              <w:right w:val="nil"/>
            </w:tcBorders>
            <w:shd w:val="clear" w:color="FFFFFF" w:fill="auto"/>
            <w:noWrap/>
            <w:vAlign w:val="center"/>
          </w:tcPr>
          <w:p w14:paraId="1665FC2D">
            <w:pPr>
              <w:widowControl/>
              <w:jc w:val="left"/>
              <w:rPr>
                <w:rFonts w:ascii="仿宋_GB2312" w:hAnsi="宋体" w:eastAsia="仿宋_GB2312" w:cs="宋体"/>
                <w:color w:val="000000"/>
                <w:kern w:val="0"/>
                <w:sz w:val="24"/>
              </w:rPr>
            </w:pPr>
          </w:p>
        </w:tc>
      </w:tr>
      <w:tr w14:paraId="7275F908">
        <w:tblPrEx>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noWrap/>
            <w:vAlign w:val="center"/>
          </w:tcPr>
          <w:p w14:paraId="72CDF55F">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noWrap/>
            <w:vAlign w:val="center"/>
          </w:tcPr>
          <w:p w14:paraId="2DC03780">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34" w:type="dxa"/>
            <w:tcBorders>
              <w:top w:val="single" w:color="auto" w:sz="8" w:space="0"/>
              <w:left w:val="nil"/>
              <w:bottom w:val="single" w:color="auto" w:sz="4" w:space="0"/>
              <w:right w:val="single" w:color="auto" w:sz="8" w:space="0"/>
            </w:tcBorders>
            <w:shd w:val="clear" w:color="auto" w:fill="auto"/>
            <w:noWrap/>
            <w:vAlign w:val="center"/>
          </w:tcPr>
          <w:p w14:paraId="184CC690">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14:paraId="206164B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83D3AA9">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42A8526D">
            <w:pPr>
              <w:widowControl/>
              <w:jc w:val="center"/>
              <w:rPr>
                <w:rFonts w:ascii="宋体" w:hAnsi="宋体" w:cs="宋体"/>
                <w:color w:val="000000"/>
                <w:kern w:val="0"/>
                <w:sz w:val="24"/>
              </w:rPr>
            </w:pPr>
          </w:p>
        </w:tc>
        <w:tc>
          <w:tcPr>
            <w:tcW w:w="1034" w:type="dxa"/>
            <w:tcBorders>
              <w:top w:val="nil"/>
              <w:left w:val="nil"/>
              <w:bottom w:val="single" w:color="auto" w:sz="4" w:space="0"/>
              <w:right w:val="single" w:color="auto" w:sz="8" w:space="0"/>
            </w:tcBorders>
            <w:shd w:val="clear" w:color="auto" w:fill="auto"/>
            <w:noWrap/>
            <w:vAlign w:val="center"/>
          </w:tcPr>
          <w:p w14:paraId="7F9BBD98">
            <w:pPr>
              <w:widowControl/>
              <w:jc w:val="center"/>
              <w:rPr>
                <w:rFonts w:ascii="宋体" w:hAnsi="宋体" w:cs="宋体"/>
                <w:color w:val="000000"/>
                <w:kern w:val="0"/>
                <w:sz w:val="24"/>
              </w:rPr>
            </w:pPr>
          </w:p>
        </w:tc>
      </w:tr>
      <w:tr w14:paraId="41A0CE34">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4599F17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p>
          <w:p w14:paraId="444DF0F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noWrap/>
            <w:vAlign w:val="center"/>
          </w:tcPr>
          <w:p w14:paraId="3820A499">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454F6F78">
            <w:pPr>
              <w:widowControl/>
              <w:jc w:val="center"/>
              <w:rPr>
                <w:rFonts w:ascii="仿宋_GB2312" w:hAnsi="宋体" w:eastAsia="仿宋_GB2312" w:cs="宋体"/>
                <w:kern w:val="0"/>
                <w:sz w:val="24"/>
              </w:rPr>
            </w:pPr>
            <w:r>
              <w:rPr>
                <w:rFonts w:hint="eastAsia" w:ascii="仿宋_GB2312" w:hAnsi="宋体" w:eastAsia="仿宋_GB2312" w:cs="宋体"/>
                <w:kern w:val="0"/>
                <w:sz w:val="24"/>
              </w:rPr>
              <w:t>4466</w:t>
            </w:r>
          </w:p>
        </w:tc>
      </w:tr>
      <w:tr w14:paraId="0AEC0EC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52C756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noWrap/>
            <w:vAlign w:val="center"/>
          </w:tcPr>
          <w:p w14:paraId="29D52378">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11BF5E2D">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690BADD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noWrap/>
            <w:vAlign w:val="center"/>
          </w:tcPr>
          <w:p w14:paraId="5747300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noWrap/>
            <w:vAlign w:val="center"/>
          </w:tcPr>
          <w:p w14:paraId="2B516FF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7A6E9AD5">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279DECA0">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14:paraId="2940EF4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p>
          <w:p w14:paraId="6A15BF9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noWrap/>
            <w:vAlign w:val="center"/>
          </w:tcPr>
          <w:p w14:paraId="5B71BA8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0E89159F">
            <w:pPr>
              <w:widowControl/>
              <w:jc w:val="center"/>
              <w:rPr>
                <w:rFonts w:ascii="仿宋_GB2312" w:hAnsi="宋体" w:eastAsia="仿宋_GB2312" w:cs="宋体"/>
                <w:kern w:val="0"/>
                <w:sz w:val="24"/>
              </w:rPr>
            </w:pPr>
            <w:r>
              <w:rPr>
                <w:rFonts w:hint="eastAsia" w:ascii="仿宋_GB2312" w:hAnsi="宋体" w:eastAsia="仿宋_GB2312" w:cs="宋体"/>
                <w:kern w:val="0"/>
                <w:sz w:val="24"/>
              </w:rPr>
              <w:t>316</w:t>
            </w:r>
          </w:p>
        </w:tc>
      </w:tr>
      <w:tr w14:paraId="2A6B715B">
        <w:tblPrEx>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959E807">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w:t>
            </w:r>
            <w:r>
              <w:rPr>
                <w:rFonts w:hint="eastAsia" w:ascii="仿宋_GB2312" w:hAnsi="宋体" w:eastAsia="仿宋_GB2312" w:cs="宋体"/>
                <w:kern w:val="0"/>
                <w:sz w:val="24"/>
                <w:lang w:eastAsia="zh-CN"/>
              </w:rPr>
              <w:t>“三公”经费</w:t>
            </w:r>
            <w:r>
              <w:rPr>
                <w:rFonts w:hint="eastAsia" w:ascii="仿宋_GB2312" w:hAnsi="宋体" w:eastAsia="仿宋_GB2312" w:cs="宋体"/>
                <w:kern w:val="0"/>
                <w:sz w:val="24"/>
              </w:rPr>
              <w:t>和行政经费信息数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59B3E6D3">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58953D06">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r>
      <w:tr w14:paraId="014A147C">
        <w:tblPrEx>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472CDEDD">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1AFECE16">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705E16B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BC0AC03">
        <w:tblPrEx>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A8FA7C8">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22B57BD9">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6A89907C">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3F23A59">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0DCD26B9">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1DF9566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589A095D">
            <w:pPr>
              <w:widowControl/>
              <w:jc w:val="center"/>
              <w:rPr>
                <w:rFonts w:ascii="仿宋_GB2312" w:hAnsi="宋体" w:eastAsia="仿宋_GB2312" w:cs="宋体"/>
                <w:kern w:val="0"/>
                <w:sz w:val="24"/>
              </w:rPr>
            </w:pPr>
            <w:r>
              <w:rPr>
                <w:rFonts w:hint="eastAsia" w:ascii="仿宋_GB2312" w:hAnsi="宋体" w:eastAsia="仿宋_GB2312" w:cs="宋体"/>
                <w:kern w:val="0"/>
                <w:sz w:val="24"/>
              </w:rPr>
              <w:t>311</w:t>
            </w:r>
          </w:p>
        </w:tc>
      </w:tr>
      <w:tr w14:paraId="2E106DF4">
        <w:tblPrEx>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F89B46C">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03D18EB5">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7D21EBDE">
            <w:pPr>
              <w:widowControl/>
              <w:jc w:val="center"/>
              <w:rPr>
                <w:rFonts w:ascii="仿宋_GB2312" w:hAnsi="宋体" w:eastAsia="仿宋_GB2312" w:cs="宋体"/>
                <w:color w:val="000000" w:themeColor="text1"/>
                <w:kern w:val="0"/>
                <w:sz w:val="24"/>
              </w:rPr>
            </w:pPr>
            <w:r>
              <w:rPr>
                <w:rFonts w:hint="eastAsia" w:ascii="仿宋_GB2312" w:hAnsi="宋体" w:eastAsia="仿宋_GB2312" w:cs="宋体"/>
                <w:kern w:val="0"/>
                <w:sz w:val="24"/>
              </w:rPr>
              <w:t>0</w:t>
            </w:r>
          </w:p>
        </w:tc>
      </w:tr>
      <w:tr w14:paraId="1C137B6E">
        <w:tblPrEx>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5FC6D098">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62BE6C6B">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6FB8759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61DA806">
        <w:tblPrEx>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11FC315">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5286070C">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18DF110E">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311E6667">
        <w:tblPrEx>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2D567CBC">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062F1EEE">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4335121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10BF6E5">
        <w:tblPrEx>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1A93B9B">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noWrap/>
            <w:vAlign w:val="center"/>
          </w:tcPr>
          <w:p w14:paraId="6F7411B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3549F022">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DFCFB8C">
        <w:tblPrEx>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5472483">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14:paraId="484CD548">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vAlign w:val="center"/>
          </w:tcPr>
          <w:p w14:paraId="68634755">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DDB906F">
        <w:tblPrEx>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341B6972">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14:paraId="7A7FCAED">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8" w:space="0"/>
              <w:right w:val="single" w:color="auto" w:sz="8" w:space="0"/>
            </w:tcBorders>
            <w:shd w:val="clear" w:color="auto" w:fill="auto"/>
            <w:vAlign w:val="center"/>
          </w:tcPr>
          <w:p w14:paraId="0F113A1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7B8F60D">
        <w:tblPrEx>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D67823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14:paraId="1C5563D3">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single" w:color="auto" w:sz="8" w:space="0"/>
              <w:left w:val="single" w:color="auto" w:sz="8" w:space="0"/>
              <w:bottom w:val="single" w:color="auto" w:sz="8" w:space="0"/>
              <w:right w:val="single" w:color="auto" w:sz="8" w:space="0"/>
            </w:tcBorders>
            <w:shd w:val="clear" w:color="auto" w:fill="auto"/>
            <w:vAlign w:val="center"/>
          </w:tcPr>
          <w:p w14:paraId="622F6D53">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751D8C8">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4ED2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noWrap/>
            <w:vAlign w:val="center"/>
          </w:tcPr>
          <w:p w14:paraId="10F0893C">
            <w:pPr>
              <w:widowControl/>
              <w:jc w:val="center"/>
              <w:rPr>
                <w:rFonts w:ascii="仿宋_GB2312" w:hAnsi="宋体" w:eastAsia="仿宋_GB2312" w:cs="宋体"/>
                <w:kern w:val="0"/>
                <w:sz w:val="24"/>
              </w:rPr>
            </w:pPr>
          </w:p>
        </w:tc>
        <w:tc>
          <w:tcPr>
            <w:tcW w:w="1034" w:type="dxa"/>
            <w:tcBorders>
              <w:top w:val="single" w:color="auto" w:sz="8" w:space="0"/>
              <w:left w:val="nil"/>
              <w:bottom w:val="single" w:color="auto" w:sz="4" w:space="0"/>
              <w:right w:val="single" w:color="auto" w:sz="8" w:space="0"/>
            </w:tcBorders>
            <w:shd w:val="clear" w:color="auto" w:fill="auto"/>
            <w:noWrap/>
            <w:vAlign w:val="center"/>
          </w:tcPr>
          <w:p w14:paraId="13777FBE">
            <w:pPr>
              <w:widowControl/>
              <w:jc w:val="center"/>
              <w:rPr>
                <w:rFonts w:ascii="仿宋_GB2312" w:hAnsi="宋体" w:eastAsia="仿宋_GB2312" w:cs="宋体"/>
                <w:kern w:val="0"/>
                <w:sz w:val="24"/>
              </w:rPr>
            </w:pPr>
          </w:p>
        </w:tc>
      </w:tr>
      <w:tr w14:paraId="7FEC7A94">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CA14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noWrap/>
            <w:vAlign w:val="center"/>
          </w:tcPr>
          <w:p w14:paraId="6C6695B3">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65ABC94D">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AEF6259">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5488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noWrap/>
            <w:vAlign w:val="center"/>
          </w:tcPr>
          <w:p w14:paraId="737B1104">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49D9AC79">
            <w:pPr>
              <w:widowControl/>
              <w:jc w:val="center"/>
              <w:rPr>
                <w:rFonts w:ascii="仿宋_GB2312" w:hAnsi="宋体" w:eastAsia="仿宋_GB2312" w:cs="宋体"/>
                <w:kern w:val="0"/>
                <w:sz w:val="24"/>
              </w:rPr>
            </w:pPr>
            <w:r>
              <w:rPr>
                <w:rFonts w:hint="eastAsia" w:ascii="仿宋_GB2312" w:hAnsi="宋体" w:eastAsia="仿宋_GB2312" w:cs="宋体"/>
                <w:kern w:val="0"/>
                <w:sz w:val="24"/>
              </w:rPr>
              <w:t>3350</w:t>
            </w:r>
          </w:p>
        </w:tc>
      </w:tr>
      <w:tr w14:paraId="0B72B40C">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CE9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noWrap/>
            <w:vAlign w:val="center"/>
          </w:tcPr>
          <w:p w14:paraId="70B886BF">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615DC33B">
            <w:pPr>
              <w:widowControl/>
              <w:jc w:val="center"/>
              <w:rPr>
                <w:rFonts w:ascii="仿宋_GB2312" w:hAnsi="宋体" w:eastAsia="仿宋_GB2312" w:cs="宋体"/>
                <w:kern w:val="0"/>
                <w:sz w:val="24"/>
              </w:rPr>
            </w:pPr>
            <w:r>
              <w:rPr>
                <w:rFonts w:hint="eastAsia" w:ascii="仿宋_GB2312" w:hAnsi="宋体" w:eastAsia="仿宋_GB2312" w:cs="宋体"/>
                <w:kern w:val="0"/>
                <w:sz w:val="24"/>
              </w:rPr>
              <w:t>950</w:t>
            </w:r>
          </w:p>
        </w:tc>
      </w:tr>
      <w:tr w14:paraId="472D1A07">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B964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noWrap/>
            <w:vAlign w:val="center"/>
          </w:tcPr>
          <w:p w14:paraId="0D4780F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731F4441">
            <w:pPr>
              <w:widowControl/>
              <w:jc w:val="center"/>
              <w:rPr>
                <w:rFonts w:ascii="仿宋_GB2312" w:hAnsi="宋体" w:eastAsia="仿宋_GB2312" w:cs="宋体"/>
                <w:kern w:val="0"/>
                <w:sz w:val="24"/>
              </w:rPr>
            </w:pPr>
            <w:r>
              <w:rPr>
                <w:rFonts w:hint="eastAsia" w:ascii="仿宋_GB2312" w:hAnsi="宋体" w:eastAsia="仿宋_GB2312" w:cs="宋体"/>
                <w:kern w:val="0"/>
                <w:sz w:val="24"/>
              </w:rPr>
              <w:t>363</w:t>
            </w:r>
          </w:p>
        </w:tc>
      </w:tr>
      <w:tr w14:paraId="5D8E4B28">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6625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noWrap/>
            <w:vAlign w:val="center"/>
          </w:tcPr>
          <w:p w14:paraId="0FEDC450">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34" w:type="dxa"/>
            <w:tcBorders>
              <w:top w:val="nil"/>
              <w:left w:val="nil"/>
              <w:bottom w:val="single" w:color="auto" w:sz="4" w:space="0"/>
              <w:right w:val="single" w:color="auto" w:sz="8" w:space="0"/>
            </w:tcBorders>
            <w:shd w:val="clear" w:color="auto" w:fill="auto"/>
            <w:noWrap/>
            <w:vAlign w:val="center"/>
          </w:tcPr>
          <w:p w14:paraId="3C151AD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E454CE3">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72354">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6948EDD4">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4" w:type="dxa"/>
            <w:tcBorders>
              <w:top w:val="nil"/>
              <w:left w:val="nil"/>
              <w:bottom w:val="single" w:color="auto" w:sz="4" w:space="0"/>
              <w:right w:val="single" w:color="auto" w:sz="8" w:space="0"/>
            </w:tcBorders>
            <w:shd w:val="clear" w:color="auto" w:fill="auto"/>
            <w:noWrap/>
            <w:vAlign w:val="center"/>
          </w:tcPr>
          <w:p w14:paraId="17FF4BF4">
            <w:pPr>
              <w:widowControl/>
              <w:jc w:val="center"/>
              <w:rPr>
                <w:rFonts w:ascii="宋体" w:hAnsi="宋体" w:cs="宋体"/>
                <w:color w:val="000000"/>
                <w:kern w:val="0"/>
                <w:sz w:val="24"/>
              </w:rPr>
            </w:pPr>
          </w:p>
        </w:tc>
      </w:tr>
      <w:tr w14:paraId="52FE8F67">
        <w:tblPrEx>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7AAC0A9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p>
          <w:p w14:paraId="152C93F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noWrap/>
            <w:vAlign w:val="center"/>
          </w:tcPr>
          <w:p w14:paraId="2F9171E1">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64779469">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r>
      <w:tr w14:paraId="64DDEFA7">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14:paraId="66A6B76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269331D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34" w:type="dxa"/>
            <w:tcBorders>
              <w:top w:val="nil"/>
              <w:left w:val="nil"/>
              <w:bottom w:val="single" w:color="auto" w:sz="4" w:space="0"/>
              <w:right w:val="single" w:color="auto" w:sz="8" w:space="0"/>
            </w:tcBorders>
            <w:shd w:val="clear" w:color="auto" w:fill="auto"/>
            <w:noWrap/>
            <w:vAlign w:val="center"/>
          </w:tcPr>
          <w:p w14:paraId="3A0BE648">
            <w:pPr>
              <w:widowControl/>
              <w:jc w:val="center"/>
              <w:rPr>
                <w:rFonts w:ascii="仿宋_GB2312" w:hAnsi="宋体" w:eastAsia="仿宋_GB2312" w:cs="宋体"/>
                <w:kern w:val="0"/>
                <w:sz w:val="24"/>
              </w:rPr>
            </w:pPr>
          </w:p>
        </w:tc>
      </w:tr>
      <w:tr w14:paraId="61BEC26C">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BE9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noWrap/>
            <w:vAlign w:val="center"/>
          </w:tcPr>
          <w:p w14:paraId="5A6D1FD5">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0461F645">
            <w:pPr>
              <w:widowControl/>
              <w:jc w:val="center"/>
              <w:rPr>
                <w:rFonts w:ascii="仿宋_GB2312" w:hAnsi="宋体" w:eastAsia="仿宋_GB2312" w:cs="宋体"/>
                <w:kern w:val="0"/>
                <w:sz w:val="24"/>
              </w:rPr>
            </w:pPr>
            <w:r>
              <w:rPr>
                <w:rFonts w:hint="eastAsia" w:ascii="仿宋_GB2312" w:hAnsi="宋体" w:eastAsia="仿宋_GB2312" w:cs="宋体"/>
                <w:kern w:val="0"/>
                <w:sz w:val="24"/>
              </w:rPr>
              <w:t>29</w:t>
            </w:r>
          </w:p>
        </w:tc>
      </w:tr>
      <w:tr w14:paraId="33A69D39">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1240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noWrap/>
            <w:vAlign w:val="center"/>
          </w:tcPr>
          <w:p w14:paraId="5FA70D4B">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309886FF">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r>
      <w:tr w14:paraId="58EDCE28">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0A2E87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noWrap/>
            <w:vAlign w:val="center"/>
          </w:tcPr>
          <w:p w14:paraId="713610AE">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256997AE">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B66CF24">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17F21B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noWrap/>
            <w:vAlign w:val="center"/>
          </w:tcPr>
          <w:p w14:paraId="2D80E7FF">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5799E364">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55B683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794A4F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noWrap/>
            <w:vAlign w:val="center"/>
          </w:tcPr>
          <w:p w14:paraId="499A0029">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34" w:type="dxa"/>
            <w:tcBorders>
              <w:top w:val="nil"/>
              <w:left w:val="nil"/>
              <w:bottom w:val="single" w:color="auto" w:sz="4" w:space="0"/>
              <w:right w:val="single" w:color="auto" w:sz="8" w:space="0"/>
            </w:tcBorders>
            <w:shd w:val="clear" w:color="auto" w:fill="auto"/>
            <w:noWrap/>
            <w:vAlign w:val="center"/>
          </w:tcPr>
          <w:p w14:paraId="5B1A1AF1">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r>
      <w:tr w14:paraId="7333859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EE2B69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noWrap/>
            <w:vAlign w:val="center"/>
          </w:tcPr>
          <w:p w14:paraId="72B3196B">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5F84B4C3">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r>
      <w:tr w14:paraId="0BDC1843">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9CB082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noWrap/>
            <w:vAlign w:val="center"/>
          </w:tcPr>
          <w:p w14:paraId="10E9B4C2">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6B50D70A">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314598A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E8C7F87">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619344A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4" w:type="dxa"/>
            <w:tcBorders>
              <w:top w:val="nil"/>
              <w:left w:val="nil"/>
              <w:bottom w:val="single" w:color="auto" w:sz="4" w:space="0"/>
              <w:right w:val="single" w:color="auto" w:sz="8" w:space="0"/>
            </w:tcBorders>
            <w:shd w:val="clear" w:color="auto" w:fill="auto"/>
            <w:noWrap/>
            <w:vAlign w:val="center"/>
          </w:tcPr>
          <w:p w14:paraId="6BF2B4F4">
            <w:pPr>
              <w:widowControl/>
              <w:jc w:val="center"/>
              <w:rPr>
                <w:rFonts w:ascii="宋体" w:hAnsi="宋体" w:cs="宋体"/>
                <w:color w:val="000000"/>
                <w:kern w:val="0"/>
                <w:sz w:val="24"/>
              </w:rPr>
            </w:pPr>
          </w:p>
        </w:tc>
      </w:tr>
      <w:tr w14:paraId="421F575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D561E8E">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noWrap/>
            <w:vAlign w:val="center"/>
          </w:tcPr>
          <w:p w14:paraId="1BB5121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3F5EB569">
            <w:pPr>
              <w:widowControl/>
              <w:jc w:val="center"/>
              <w:rPr>
                <w:rFonts w:ascii="仿宋_GB2312" w:hAnsi="宋体" w:eastAsia="仿宋_GB2312" w:cs="宋体"/>
                <w:kern w:val="0"/>
                <w:sz w:val="24"/>
              </w:rPr>
            </w:pPr>
            <w:r>
              <w:rPr>
                <w:rFonts w:hint="eastAsia" w:ascii="仿宋_GB2312" w:hAnsi="宋体" w:eastAsia="仿宋_GB2312" w:cs="宋体"/>
                <w:kern w:val="0"/>
                <w:sz w:val="24"/>
              </w:rPr>
              <w:t>109</w:t>
            </w:r>
          </w:p>
        </w:tc>
      </w:tr>
      <w:tr w14:paraId="1CCEA1C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DB05D5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noWrap/>
            <w:vAlign w:val="center"/>
          </w:tcPr>
          <w:p w14:paraId="61939B9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12B2C73E">
            <w:pPr>
              <w:widowControl/>
              <w:jc w:val="center"/>
              <w:rPr>
                <w:rFonts w:ascii="仿宋_GB2312" w:hAnsi="宋体" w:eastAsia="仿宋_GB2312" w:cs="宋体"/>
                <w:kern w:val="0"/>
                <w:sz w:val="24"/>
              </w:rPr>
            </w:pPr>
            <w:r>
              <w:rPr>
                <w:rFonts w:hint="eastAsia" w:ascii="仿宋_GB2312" w:hAnsi="宋体" w:eastAsia="仿宋_GB2312" w:cs="宋体"/>
                <w:kern w:val="0"/>
                <w:sz w:val="24"/>
              </w:rPr>
              <w:t>84</w:t>
            </w:r>
          </w:p>
        </w:tc>
      </w:tr>
      <w:tr w14:paraId="66C57C6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3E2A84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noWrap/>
            <w:vAlign w:val="center"/>
          </w:tcPr>
          <w:p w14:paraId="39287167">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67F1F83">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147B9F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575FE6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noWrap/>
            <w:vAlign w:val="center"/>
          </w:tcPr>
          <w:p w14:paraId="6E98CED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3CB5EE7F">
            <w:pPr>
              <w:widowControl/>
              <w:jc w:val="center"/>
              <w:rPr>
                <w:rFonts w:ascii="仿宋_GB2312" w:hAnsi="宋体" w:eastAsia="仿宋_GB2312" w:cs="宋体"/>
                <w:kern w:val="0"/>
                <w:sz w:val="24"/>
              </w:rPr>
            </w:pPr>
            <w:r>
              <w:rPr>
                <w:rFonts w:hint="eastAsia" w:ascii="仿宋_GB2312" w:hAnsi="宋体" w:eastAsia="仿宋_GB2312" w:cs="宋体"/>
                <w:kern w:val="0"/>
                <w:sz w:val="24"/>
              </w:rPr>
              <w:t>18</w:t>
            </w:r>
          </w:p>
        </w:tc>
      </w:tr>
      <w:tr w14:paraId="76C0A15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101B3B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noWrap/>
            <w:vAlign w:val="center"/>
          </w:tcPr>
          <w:p w14:paraId="4C155D9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0D598793">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r>
      <w:tr w14:paraId="70E8909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0F8C855">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noWrap/>
            <w:vAlign w:val="center"/>
          </w:tcPr>
          <w:p w14:paraId="027E406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61FAFD23">
            <w:pPr>
              <w:widowControl/>
              <w:jc w:val="center"/>
              <w:rPr>
                <w:rFonts w:ascii="仿宋_GB2312" w:hAnsi="宋体" w:eastAsia="仿宋_GB2312" w:cs="宋体"/>
                <w:kern w:val="0"/>
                <w:sz w:val="24"/>
              </w:rPr>
            </w:pPr>
            <w:r>
              <w:rPr>
                <w:rFonts w:hint="eastAsia" w:ascii="仿宋_GB2312" w:hAnsi="宋体" w:eastAsia="仿宋_GB2312" w:cs="宋体"/>
                <w:kern w:val="0"/>
                <w:sz w:val="24"/>
              </w:rPr>
              <w:t>116</w:t>
            </w:r>
          </w:p>
        </w:tc>
      </w:tr>
      <w:tr w14:paraId="3551CEB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EE9712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noWrap/>
            <w:vAlign w:val="center"/>
          </w:tcPr>
          <w:p w14:paraId="6DF4204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7ED383A">
            <w:pPr>
              <w:widowControl/>
              <w:jc w:val="center"/>
              <w:rPr>
                <w:rFonts w:ascii="仿宋_GB2312" w:hAnsi="宋体" w:eastAsia="仿宋_GB2312" w:cs="宋体"/>
                <w:kern w:val="0"/>
                <w:sz w:val="24"/>
              </w:rPr>
            </w:pPr>
            <w:r>
              <w:rPr>
                <w:rFonts w:hint="eastAsia" w:ascii="仿宋_GB2312" w:hAnsi="宋体" w:eastAsia="仿宋_GB2312" w:cs="宋体"/>
                <w:kern w:val="0"/>
                <w:sz w:val="24"/>
              </w:rPr>
              <w:t>100</w:t>
            </w:r>
          </w:p>
        </w:tc>
      </w:tr>
      <w:tr w14:paraId="3F9F046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BA76B8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noWrap/>
            <w:vAlign w:val="center"/>
          </w:tcPr>
          <w:p w14:paraId="71EFA75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12A66E4F">
            <w:pPr>
              <w:widowControl/>
              <w:jc w:val="center"/>
              <w:rPr>
                <w:rFonts w:ascii="仿宋_GB2312" w:hAnsi="宋体" w:eastAsia="仿宋_GB2312" w:cs="宋体"/>
                <w:kern w:val="0"/>
                <w:sz w:val="24"/>
              </w:rPr>
            </w:pPr>
            <w:r>
              <w:rPr>
                <w:rFonts w:hint="eastAsia" w:ascii="仿宋_GB2312" w:hAnsi="宋体" w:eastAsia="仿宋_GB2312" w:cs="宋体"/>
                <w:kern w:val="0"/>
                <w:sz w:val="24"/>
              </w:rPr>
              <w:t>16</w:t>
            </w:r>
          </w:p>
        </w:tc>
      </w:tr>
      <w:tr w14:paraId="3494CEB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788477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noWrap/>
            <w:vAlign w:val="center"/>
          </w:tcPr>
          <w:p w14:paraId="59F3BBC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7957F70B">
            <w:pPr>
              <w:widowControl/>
              <w:jc w:val="center"/>
              <w:rPr>
                <w:rFonts w:ascii="仿宋_GB2312" w:hAnsi="宋体" w:eastAsia="仿宋_GB2312" w:cs="宋体"/>
                <w:kern w:val="0"/>
                <w:sz w:val="24"/>
              </w:rPr>
            </w:pPr>
          </w:p>
        </w:tc>
      </w:tr>
      <w:tr w14:paraId="1A65132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E3E6E9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noWrap/>
            <w:vAlign w:val="center"/>
          </w:tcPr>
          <w:p w14:paraId="33378101">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03A65B61">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r>
      <w:tr w14:paraId="730FA94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42F0BC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noWrap/>
            <w:vAlign w:val="center"/>
          </w:tcPr>
          <w:p w14:paraId="5052DC5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6FB89A52">
            <w:pPr>
              <w:widowControl/>
              <w:jc w:val="center"/>
              <w:rPr>
                <w:rFonts w:ascii="仿宋_GB2312" w:hAnsi="宋体" w:eastAsia="仿宋_GB2312" w:cs="宋体"/>
                <w:kern w:val="0"/>
                <w:sz w:val="24"/>
              </w:rPr>
            </w:pPr>
            <w:r>
              <w:rPr>
                <w:rFonts w:hint="eastAsia" w:ascii="仿宋_GB2312" w:hAnsi="宋体" w:eastAsia="仿宋_GB2312" w:cs="宋体"/>
                <w:kern w:val="0"/>
                <w:sz w:val="24"/>
              </w:rPr>
              <w:t>81</w:t>
            </w:r>
          </w:p>
        </w:tc>
      </w:tr>
      <w:tr w14:paraId="165DE6C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5611F3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noWrap/>
            <w:vAlign w:val="center"/>
          </w:tcPr>
          <w:p w14:paraId="6550C35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33CDBF0">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69ADC5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AFE413A">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noWrap/>
            <w:vAlign w:val="center"/>
          </w:tcPr>
          <w:p w14:paraId="2FE6B90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13278CED">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7331994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5CCAF65">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noWrap/>
            <w:vAlign w:val="center"/>
          </w:tcPr>
          <w:p w14:paraId="0E4EC03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7698AB50">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0D72AC3">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2C8F9A5">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noWrap/>
            <w:vAlign w:val="center"/>
          </w:tcPr>
          <w:p w14:paraId="5AF9C50D">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6A5CF216">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5ED73BC3">
        <w:tblPrEx>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087D7">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11BC42B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single" w:color="auto" w:sz="4" w:space="0"/>
              <w:left w:val="nil"/>
              <w:bottom w:val="single" w:color="auto" w:sz="4" w:space="0"/>
              <w:right w:val="single" w:color="auto" w:sz="4" w:space="0"/>
            </w:tcBorders>
            <w:shd w:val="clear" w:color="auto" w:fill="auto"/>
            <w:noWrap/>
            <w:vAlign w:val="center"/>
          </w:tcPr>
          <w:p w14:paraId="50D8F1A0">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5DB32FA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2C204F2">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noWrap/>
            <w:vAlign w:val="center"/>
          </w:tcPr>
          <w:p w14:paraId="06E6073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3548812A">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713AE81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1C90436">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noWrap/>
            <w:vAlign w:val="center"/>
          </w:tcPr>
          <w:p w14:paraId="3CC07224">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3D8EDD48">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15512A9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D518F17">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noWrap/>
            <w:vAlign w:val="center"/>
          </w:tcPr>
          <w:p w14:paraId="50A6E82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3378B42">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B96A7E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9FAB297">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noWrap/>
            <w:vAlign w:val="center"/>
          </w:tcPr>
          <w:p w14:paraId="1D3BD6C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4DAB5B51">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130DD30A">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7EB54BB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noWrap/>
            <w:vAlign w:val="center"/>
          </w:tcPr>
          <w:p w14:paraId="536571DA">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0B27C529">
            <w:pPr>
              <w:widowControl/>
              <w:jc w:val="center"/>
              <w:rPr>
                <w:rFonts w:ascii="仿宋_GB2312" w:hAnsi="宋体" w:eastAsia="仿宋_GB2312" w:cs="宋体"/>
                <w:kern w:val="0"/>
                <w:sz w:val="24"/>
              </w:rPr>
            </w:pPr>
            <w:r>
              <w:rPr>
                <w:rFonts w:hint="eastAsia" w:ascii="仿宋_GB2312" w:hAnsi="宋体" w:eastAsia="仿宋_GB2312" w:cs="宋体"/>
                <w:kern w:val="0"/>
                <w:sz w:val="24"/>
              </w:rPr>
              <w:t>17</w:t>
            </w:r>
          </w:p>
        </w:tc>
      </w:tr>
      <w:tr w14:paraId="72F510DF">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AB5385F">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noWrap/>
            <w:vAlign w:val="center"/>
          </w:tcPr>
          <w:p w14:paraId="62A74F3D">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0A7AC059">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3A1AB22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44BEBC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noWrap/>
            <w:vAlign w:val="center"/>
          </w:tcPr>
          <w:p w14:paraId="4720EF1C">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3F59135A">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5A83B5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84A44D4">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noWrap/>
            <w:vAlign w:val="center"/>
          </w:tcPr>
          <w:p w14:paraId="77BD4C3A">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97F3D06">
            <w:pPr>
              <w:widowControl/>
              <w:jc w:val="center"/>
              <w:rPr>
                <w:rFonts w:ascii="宋体" w:hAnsi="宋体" w:cs="宋体"/>
                <w:color w:val="000000"/>
                <w:kern w:val="0"/>
                <w:sz w:val="24"/>
              </w:rPr>
            </w:pPr>
            <w:r>
              <w:rPr>
                <w:rFonts w:hint="eastAsia" w:ascii="宋体" w:hAnsi="宋体" w:cs="宋体"/>
                <w:color w:val="000000"/>
                <w:kern w:val="0"/>
                <w:sz w:val="24"/>
              </w:rPr>
              <w:t>4</w:t>
            </w:r>
          </w:p>
        </w:tc>
      </w:tr>
      <w:tr w14:paraId="71D85171">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741E40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noWrap/>
            <w:vAlign w:val="center"/>
          </w:tcPr>
          <w:p w14:paraId="029F7908">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5B242C08">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44000237">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C93202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noWrap/>
            <w:vAlign w:val="center"/>
          </w:tcPr>
          <w:p w14:paraId="000E8E7F">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8824BB3">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0B8980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D25806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noWrap/>
            <w:vAlign w:val="center"/>
          </w:tcPr>
          <w:p w14:paraId="5D19DAF3">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E16AF12">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4987D46B">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FA8B552">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noWrap/>
            <w:vAlign w:val="center"/>
          </w:tcPr>
          <w:p w14:paraId="251F790A">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1B3DE4E2">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109072B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8B14D7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noWrap/>
            <w:vAlign w:val="center"/>
          </w:tcPr>
          <w:p w14:paraId="14F70980">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474B4373">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38F827C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5385E59C">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noWrap/>
            <w:vAlign w:val="center"/>
          </w:tcPr>
          <w:p w14:paraId="62EFA792">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24C3C80B">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6D30FB5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3AD6BE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noWrap/>
            <w:vAlign w:val="center"/>
          </w:tcPr>
          <w:p w14:paraId="261F5465">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76DC9AA6">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1B16C88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F92A8F1">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noWrap/>
            <w:vAlign w:val="center"/>
          </w:tcPr>
          <w:p w14:paraId="18F2B04D">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34" w:type="dxa"/>
            <w:tcBorders>
              <w:top w:val="nil"/>
              <w:left w:val="nil"/>
              <w:bottom w:val="single" w:color="auto" w:sz="4" w:space="0"/>
              <w:right w:val="single" w:color="auto" w:sz="8" w:space="0"/>
            </w:tcBorders>
            <w:shd w:val="clear" w:color="auto" w:fill="auto"/>
            <w:noWrap/>
            <w:vAlign w:val="center"/>
          </w:tcPr>
          <w:p w14:paraId="022EA4D9">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4A6C7AB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767509E">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noWrap/>
            <w:vAlign w:val="center"/>
          </w:tcPr>
          <w:p w14:paraId="78FA609D">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34" w:type="dxa"/>
            <w:tcBorders>
              <w:top w:val="nil"/>
              <w:left w:val="nil"/>
              <w:bottom w:val="single" w:color="auto" w:sz="4" w:space="0"/>
              <w:right w:val="single" w:color="auto" w:sz="8" w:space="0"/>
            </w:tcBorders>
            <w:shd w:val="clear" w:color="auto" w:fill="auto"/>
            <w:noWrap/>
            <w:vAlign w:val="center"/>
          </w:tcPr>
          <w:p w14:paraId="5E67D00F">
            <w:pPr>
              <w:widowControl/>
              <w:jc w:val="center"/>
              <w:rPr>
                <w:rFonts w:ascii="宋体" w:hAnsi="宋体" w:cs="宋体"/>
                <w:color w:val="000000"/>
                <w:kern w:val="0"/>
                <w:sz w:val="24"/>
              </w:rPr>
            </w:pPr>
            <w:r>
              <w:rPr>
                <w:rFonts w:hint="eastAsia" w:ascii="宋体" w:hAnsi="宋体" w:cs="宋体"/>
                <w:color w:val="000000"/>
                <w:kern w:val="0"/>
                <w:sz w:val="24"/>
              </w:rPr>
              <w:t>0</w:t>
            </w:r>
          </w:p>
        </w:tc>
      </w:tr>
      <w:tr w14:paraId="7C3E6C84">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2556C19">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454B57E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4" w:type="dxa"/>
            <w:tcBorders>
              <w:top w:val="nil"/>
              <w:left w:val="nil"/>
              <w:bottom w:val="single" w:color="auto" w:sz="4" w:space="0"/>
              <w:right w:val="single" w:color="auto" w:sz="8" w:space="0"/>
            </w:tcBorders>
            <w:shd w:val="clear" w:color="auto" w:fill="auto"/>
            <w:noWrap/>
            <w:vAlign w:val="center"/>
          </w:tcPr>
          <w:p w14:paraId="4B045ADB">
            <w:pPr>
              <w:widowControl/>
              <w:jc w:val="center"/>
              <w:rPr>
                <w:rFonts w:ascii="宋体" w:hAnsi="宋体" w:cs="宋体"/>
                <w:color w:val="000000"/>
                <w:kern w:val="0"/>
                <w:sz w:val="24"/>
              </w:rPr>
            </w:pPr>
          </w:p>
        </w:tc>
      </w:tr>
      <w:tr w14:paraId="1CCFC81C">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6DF3481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noWrap/>
            <w:vAlign w:val="center"/>
          </w:tcPr>
          <w:p w14:paraId="1EE319D2">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34" w:type="dxa"/>
            <w:tcBorders>
              <w:top w:val="nil"/>
              <w:left w:val="nil"/>
              <w:bottom w:val="single" w:color="auto" w:sz="4" w:space="0"/>
              <w:right w:val="single" w:color="auto" w:sz="8" w:space="0"/>
            </w:tcBorders>
            <w:shd w:val="clear" w:color="auto" w:fill="auto"/>
            <w:noWrap/>
            <w:vAlign w:val="center"/>
          </w:tcPr>
          <w:p w14:paraId="7655FDFD">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1B91A919">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43B3080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noWrap/>
            <w:vAlign w:val="center"/>
          </w:tcPr>
          <w:p w14:paraId="46771AF7">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34" w:type="dxa"/>
            <w:tcBorders>
              <w:top w:val="nil"/>
              <w:left w:val="nil"/>
              <w:bottom w:val="single" w:color="auto" w:sz="4" w:space="0"/>
              <w:right w:val="single" w:color="auto" w:sz="8" w:space="0"/>
            </w:tcBorders>
            <w:shd w:val="clear" w:color="auto" w:fill="auto"/>
            <w:noWrap/>
            <w:vAlign w:val="center"/>
          </w:tcPr>
          <w:p w14:paraId="73769AAD">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2102363D">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22B2E420">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noWrap/>
            <w:vAlign w:val="center"/>
          </w:tcPr>
          <w:p w14:paraId="2B77E784">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34" w:type="dxa"/>
            <w:tcBorders>
              <w:top w:val="nil"/>
              <w:left w:val="nil"/>
              <w:bottom w:val="single" w:color="auto" w:sz="4" w:space="0"/>
              <w:right w:val="single" w:color="auto" w:sz="8" w:space="0"/>
            </w:tcBorders>
            <w:shd w:val="clear" w:color="auto" w:fill="auto"/>
            <w:noWrap/>
            <w:vAlign w:val="center"/>
          </w:tcPr>
          <w:p w14:paraId="5F5A4C5B">
            <w:pPr>
              <w:widowControl/>
              <w:jc w:val="center"/>
              <w:rPr>
                <w:rFonts w:ascii="仿宋_GB2312" w:hAnsi="宋体" w:eastAsia="仿宋_GB2312" w:cs="宋体"/>
                <w:kern w:val="0"/>
                <w:sz w:val="24"/>
              </w:rPr>
            </w:pPr>
            <w:r>
              <w:rPr>
                <w:rFonts w:hint="eastAsia" w:ascii="仿宋_GB2312" w:hAnsi="宋体" w:eastAsia="仿宋_GB2312" w:cs="宋体"/>
                <w:kern w:val="0"/>
                <w:sz w:val="24"/>
              </w:rPr>
              <w:t>26</w:t>
            </w:r>
          </w:p>
        </w:tc>
      </w:tr>
      <w:tr w14:paraId="71463C62">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56B4C94">
            <w:pPr>
              <w:widowControl/>
              <w:ind w:left="1560" w:hanging="1560" w:hangingChars="650"/>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noWrap/>
            <w:vAlign w:val="center"/>
          </w:tcPr>
          <w:p w14:paraId="71C958FB">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34" w:type="dxa"/>
            <w:tcBorders>
              <w:top w:val="nil"/>
              <w:left w:val="nil"/>
              <w:bottom w:val="single" w:color="auto" w:sz="4" w:space="0"/>
              <w:right w:val="single" w:color="auto" w:sz="8" w:space="0"/>
            </w:tcBorders>
            <w:shd w:val="clear" w:color="auto" w:fill="auto"/>
            <w:noWrap/>
            <w:vAlign w:val="center"/>
          </w:tcPr>
          <w:p w14:paraId="3D951041">
            <w:pPr>
              <w:widowControl/>
              <w:jc w:val="center"/>
              <w:rPr>
                <w:rFonts w:ascii="仿宋_GB2312" w:hAnsi="宋体" w:eastAsia="仿宋_GB2312" w:cs="宋体"/>
                <w:kern w:val="0"/>
                <w:sz w:val="24"/>
              </w:rPr>
            </w:pPr>
            <w:r>
              <w:rPr>
                <w:rFonts w:hint="eastAsia" w:ascii="仿宋_GB2312" w:hAnsi="宋体" w:eastAsia="仿宋_GB2312" w:cs="宋体"/>
                <w:kern w:val="0"/>
                <w:sz w:val="24"/>
              </w:rPr>
              <w:t>22</w:t>
            </w:r>
          </w:p>
        </w:tc>
      </w:tr>
      <w:tr w14:paraId="466E2E85">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B13D4D3">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noWrap/>
            <w:vAlign w:val="center"/>
          </w:tcPr>
          <w:p w14:paraId="3D53B472">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34" w:type="dxa"/>
            <w:tcBorders>
              <w:top w:val="nil"/>
              <w:left w:val="nil"/>
              <w:bottom w:val="single" w:color="auto" w:sz="4" w:space="0"/>
              <w:right w:val="single" w:color="auto" w:sz="8" w:space="0"/>
            </w:tcBorders>
            <w:shd w:val="clear" w:color="auto" w:fill="auto"/>
            <w:noWrap/>
            <w:vAlign w:val="center"/>
          </w:tcPr>
          <w:p w14:paraId="46FF38E0">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r>
      <w:tr w14:paraId="0C86EFEC">
        <w:tblPrEx>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14:paraId="000B1AE0">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noWrap/>
            <w:vAlign w:val="center"/>
          </w:tcPr>
          <w:p w14:paraId="32D694A0">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34" w:type="dxa"/>
            <w:tcBorders>
              <w:top w:val="nil"/>
              <w:left w:val="nil"/>
              <w:bottom w:val="single" w:color="auto" w:sz="4" w:space="0"/>
              <w:right w:val="single" w:color="auto" w:sz="8" w:space="0"/>
            </w:tcBorders>
            <w:shd w:val="clear" w:color="auto" w:fill="auto"/>
            <w:noWrap/>
            <w:vAlign w:val="center"/>
          </w:tcPr>
          <w:p w14:paraId="1E783FDF">
            <w:pPr>
              <w:widowControl/>
              <w:jc w:val="center"/>
              <w:rPr>
                <w:rFonts w:ascii="仿宋_GB2312" w:hAnsi="宋体" w:eastAsia="仿宋_GB2312" w:cs="宋体"/>
                <w:kern w:val="0"/>
                <w:sz w:val="24"/>
              </w:rPr>
            </w:pPr>
            <w:r>
              <w:rPr>
                <w:rFonts w:hint="eastAsia" w:ascii="仿宋_GB2312" w:hAnsi="宋体" w:eastAsia="仿宋_GB2312" w:cs="宋体"/>
                <w:kern w:val="0"/>
                <w:sz w:val="24"/>
              </w:rPr>
              <w:t>0</w:t>
            </w:r>
          </w:p>
        </w:tc>
      </w:tr>
      <w:tr w14:paraId="0C51177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1E280C01">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noWrap/>
            <w:vAlign w:val="center"/>
          </w:tcPr>
          <w:p w14:paraId="2AEB6F34">
            <w:pPr>
              <w:widowControl/>
              <w:jc w:val="center"/>
              <w:rPr>
                <w:rFonts w:ascii="宋体" w:hAnsi="宋体" w:cs="宋体"/>
                <w:color w:val="000000"/>
                <w:kern w:val="0"/>
                <w:sz w:val="24"/>
              </w:rPr>
            </w:pPr>
          </w:p>
        </w:tc>
        <w:tc>
          <w:tcPr>
            <w:tcW w:w="1034" w:type="dxa"/>
            <w:tcBorders>
              <w:top w:val="nil"/>
              <w:left w:val="nil"/>
              <w:bottom w:val="single" w:color="auto" w:sz="4" w:space="0"/>
              <w:right w:val="single" w:color="auto" w:sz="8" w:space="0"/>
            </w:tcBorders>
            <w:shd w:val="clear" w:color="auto" w:fill="auto"/>
            <w:noWrap/>
            <w:vAlign w:val="center"/>
          </w:tcPr>
          <w:p w14:paraId="1E87708D">
            <w:pPr>
              <w:widowControl/>
              <w:jc w:val="center"/>
              <w:rPr>
                <w:rFonts w:ascii="宋体" w:hAnsi="宋体" w:cs="宋体"/>
                <w:color w:val="000000"/>
                <w:kern w:val="0"/>
                <w:sz w:val="24"/>
              </w:rPr>
            </w:pPr>
          </w:p>
        </w:tc>
      </w:tr>
      <w:tr w14:paraId="067A0556">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0C5304A8">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noWrap/>
            <w:vAlign w:val="center"/>
          </w:tcPr>
          <w:p w14:paraId="2157E753">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08D59856">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r>
      <w:tr w14:paraId="4CBABD10">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noWrap/>
            <w:vAlign w:val="center"/>
          </w:tcPr>
          <w:p w14:paraId="31D59981">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noWrap/>
            <w:vAlign w:val="center"/>
          </w:tcPr>
          <w:p w14:paraId="796C96D5">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34" w:type="dxa"/>
            <w:tcBorders>
              <w:top w:val="nil"/>
              <w:left w:val="nil"/>
              <w:bottom w:val="single" w:color="auto" w:sz="4" w:space="0"/>
              <w:right w:val="single" w:color="auto" w:sz="8" w:space="0"/>
            </w:tcBorders>
            <w:shd w:val="clear" w:color="auto" w:fill="auto"/>
            <w:noWrap/>
            <w:vAlign w:val="center"/>
          </w:tcPr>
          <w:p w14:paraId="2A12CAA9">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r>
      <w:tr w14:paraId="3B2FABCE">
        <w:tblPrEx>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noWrap/>
            <w:vAlign w:val="center"/>
          </w:tcPr>
          <w:p w14:paraId="7E95CC96">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noWrap/>
            <w:vAlign w:val="center"/>
          </w:tcPr>
          <w:p w14:paraId="3EE97941">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34" w:type="dxa"/>
            <w:tcBorders>
              <w:top w:val="nil"/>
              <w:left w:val="nil"/>
              <w:bottom w:val="single" w:color="auto" w:sz="8" w:space="0"/>
              <w:right w:val="single" w:color="auto" w:sz="8" w:space="0"/>
            </w:tcBorders>
            <w:shd w:val="clear" w:color="auto" w:fill="auto"/>
            <w:noWrap/>
            <w:vAlign w:val="center"/>
          </w:tcPr>
          <w:p w14:paraId="536A7EF6">
            <w:pPr>
              <w:widowControl/>
              <w:jc w:val="center"/>
              <w:rPr>
                <w:rFonts w:ascii="仿宋_GB2312" w:hAnsi="宋体" w:eastAsia="仿宋_GB2312" w:cs="宋体"/>
                <w:kern w:val="0"/>
                <w:sz w:val="24"/>
              </w:rPr>
            </w:pPr>
            <w:r>
              <w:rPr>
                <w:rFonts w:hint="eastAsia" w:ascii="仿宋_GB2312" w:hAnsi="宋体" w:eastAsia="仿宋_GB2312" w:cs="宋体"/>
                <w:kern w:val="0"/>
                <w:sz w:val="24"/>
              </w:rPr>
              <w:t>46</w:t>
            </w:r>
          </w:p>
        </w:tc>
      </w:tr>
      <w:bookmarkEnd w:id="3"/>
      <w:bookmarkEnd w:id="4"/>
      <w:bookmarkEnd w:id="5"/>
      <w:bookmarkEnd w:id="6"/>
      <w:bookmarkEnd w:id="7"/>
      <w:bookmarkEnd w:id="15"/>
    </w:tbl>
    <w:p w14:paraId="5364FBF8"/>
    <w:sectPr>
      <w:pgSz w:w="11906" w:h="16838"/>
      <w:pgMar w:top="1276" w:right="1753" w:bottom="1134"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汉仪大宋简">
    <w:altName w:val="Arial"/>
    <w:panose1 w:val="00000000000000000000"/>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5A67"/>
    <w:rsid w:val="00011715"/>
    <w:rsid w:val="00020467"/>
    <w:rsid w:val="00020603"/>
    <w:rsid w:val="00023CFB"/>
    <w:rsid w:val="00025825"/>
    <w:rsid w:val="000346FA"/>
    <w:rsid w:val="000364FF"/>
    <w:rsid w:val="000404EC"/>
    <w:rsid w:val="000439A0"/>
    <w:rsid w:val="00050C55"/>
    <w:rsid w:val="00056F7A"/>
    <w:rsid w:val="000710BA"/>
    <w:rsid w:val="00077EF5"/>
    <w:rsid w:val="00083B5D"/>
    <w:rsid w:val="00087D17"/>
    <w:rsid w:val="000D3855"/>
    <w:rsid w:val="000D7AD1"/>
    <w:rsid w:val="000F0BE1"/>
    <w:rsid w:val="000F543A"/>
    <w:rsid w:val="001125B9"/>
    <w:rsid w:val="001134C3"/>
    <w:rsid w:val="00134A2A"/>
    <w:rsid w:val="00137254"/>
    <w:rsid w:val="00156D3B"/>
    <w:rsid w:val="00160BF2"/>
    <w:rsid w:val="001705F3"/>
    <w:rsid w:val="00190DBC"/>
    <w:rsid w:val="00192ABC"/>
    <w:rsid w:val="001D1E1E"/>
    <w:rsid w:val="001F0BBF"/>
    <w:rsid w:val="00201229"/>
    <w:rsid w:val="00207164"/>
    <w:rsid w:val="002170C5"/>
    <w:rsid w:val="002232DB"/>
    <w:rsid w:val="00225978"/>
    <w:rsid w:val="002357AA"/>
    <w:rsid w:val="00243B35"/>
    <w:rsid w:val="0024489D"/>
    <w:rsid w:val="00261BF6"/>
    <w:rsid w:val="00287C56"/>
    <w:rsid w:val="002A1F2C"/>
    <w:rsid w:val="002A47CE"/>
    <w:rsid w:val="002B6DD6"/>
    <w:rsid w:val="002F7909"/>
    <w:rsid w:val="0031653E"/>
    <w:rsid w:val="00317198"/>
    <w:rsid w:val="00322BB6"/>
    <w:rsid w:val="003540E5"/>
    <w:rsid w:val="00357662"/>
    <w:rsid w:val="00370776"/>
    <w:rsid w:val="00370F23"/>
    <w:rsid w:val="003A7582"/>
    <w:rsid w:val="003B2525"/>
    <w:rsid w:val="003B2A0C"/>
    <w:rsid w:val="003E1A10"/>
    <w:rsid w:val="003E7525"/>
    <w:rsid w:val="003F12ED"/>
    <w:rsid w:val="00401403"/>
    <w:rsid w:val="004159AC"/>
    <w:rsid w:val="0042594B"/>
    <w:rsid w:val="0045536B"/>
    <w:rsid w:val="004640BD"/>
    <w:rsid w:val="00473D61"/>
    <w:rsid w:val="0049169F"/>
    <w:rsid w:val="00496279"/>
    <w:rsid w:val="004A145B"/>
    <w:rsid w:val="004A70F4"/>
    <w:rsid w:val="004C093B"/>
    <w:rsid w:val="004D2E5B"/>
    <w:rsid w:val="004E6236"/>
    <w:rsid w:val="004F5016"/>
    <w:rsid w:val="00513073"/>
    <w:rsid w:val="00520F36"/>
    <w:rsid w:val="00530B33"/>
    <w:rsid w:val="005325E2"/>
    <w:rsid w:val="005340E0"/>
    <w:rsid w:val="005469D4"/>
    <w:rsid w:val="00552C90"/>
    <w:rsid w:val="005801D5"/>
    <w:rsid w:val="00584416"/>
    <w:rsid w:val="00585E3A"/>
    <w:rsid w:val="00587AE4"/>
    <w:rsid w:val="005916EA"/>
    <w:rsid w:val="00592576"/>
    <w:rsid w:val="00594A47"/>
    <w:rsid w:val="005959CF"/>
    <w:rsid w:val="00596D3D"/>
    <w:rsid w:val="005A0F50"/>
    <w:rsid w:val="005A716C"/>
    <w:rsid w:val="005B353D"/>
    <w:rsid w:val="005D5E80"/>
    <w:rsid w:val="005F2F67"/>
    <w:rsid w:val="0060210A"/>
    <w:rsid w:val="00614CCA"/>
    <w:rsid w:val="00615790"/>
    <w:rsid w:val="00615DEC"/>
    <w:rsid w:val="00622C27"/>
    <w:rsid w:val="006564EF"/>
    <w:rsid w:val="00657EBE"/>
    <w:rsid w:val="006643E7"/>
    <w:rsid w:val="006715DA"/>
    <w:rsid w:val="006D21E3"/>
    <w:rsid w:val="006D5A67"/>
    <w:rsid w:val="00714408"/>
    <w:rsid w:val="00714B33"/>
    <w:rsid w:val="00731CBF"/>
    <w:rsid w:val="007339B2"/>
    <w:rsid w:val="00760EF0"/>
    <w:rsid w:val="00790606"/>
    <w:rsid w:val="007B1B3C"/>
    <w:rsid w:val="007C42E6"/>
    <w:rsid w:val="007D608F"/>
    <w:rsid w:val="007E1193"/>
    <w:rsid w:val="007F09C0"/>
    <w:rsid w:val="007F62CC"/>
    <w:rsid w:val="008112BA"/>
    <w:rsid w:val="00812861"/>
    <w:rsid w:val="008212D9"/>
    <w:rsid w:val="00843315"/>
    <w:rsid w:val="0086416F"/>
    <w:rsid w:val="0086534A"/>
    <w:rsid w:val="008A1701"/>
    <w:rsid w:val="008B2878"/>
    <w:rsid w:val="008B4E71"/>
    <w:rsid w:val="008E353A"/>
    <w:rsid w:val="008F338B"/>
    <w:rsid w:val="00905726"/>
    <w:rsid w:val="00907261"/>
    <w:rsid w:val="00921605"/>
    <w:rsid w:val="00921736"/>
    <w:rsid w:val="00926790"/>
    <w:rsid w:val="00944CC0"/>
    <w:rsid w:val="009634BA"/>
    <w:rsid w:val="009657CF"/>
    <w:rsid w:val="00966FD7"/>
    <w:rsid w:val="00994D2E"/>
    <w:rsid w:val="009A46EC"/>
    <w:rsid w:val="009B4174"/>
    <w:rsid w:val="009C3DB5"/>
    <w:rsid w:val="009D58D5"/>
    <w:rsid w:val="009E552E"/>
    <w:rsid w:val="00A10C69"/>
    <w:rsid w:val="00A14132"/>
    <w:rsid w:val="00A159B0"/>
    <w:rsid w:val="00A30B81"/>
    <w:rsid w:val="00A82FDC"/>
    <w:rsid w:val="00A84A79"/>
    <w:rsid w:val="00A9036E"/>
    <w:rsid w:val="00A9740A"/>
    <w:rsid w:val="00AA0270"/>
    <w:rsid w:val="00AB3CAF"/>
    <w:rsid w:val="00AD31B7"/>
    <w:rsid w:val="00AD7E8B"/>
    <w:rsid w:val="00AE0C59"/>
    <w:rsid w:val="00AE2C62"/>
    <w:rsid w:val="00AE5471"/>
    <w:rsid w:val="00AF3123"/>
    <w:rsid w:val="00B10EDA"/>
    <w:rsid w:val="00B164E2"/>
    <w:rsid w:val="00B37185"/>
    <w:rsid w:val="00B4438D"/>
    <w:rsid w:val="00B5276D"/>
    <w:rsid w:val="00B61BEA"/>
    <w:rsid w:val="00B61D84"/>
    <w:rsid w:val="00B6591B"/>
    <w:rsid w:val="00B8420F"/>
    <w:rsid w:val="00B85BD9"/>
    <w:rsid w:val="00B87D9E"/>
    <w:rsid w:val="00BB2B01"/>
    <w:rsid w:val="00BC280E"/>
    <w:rsid w:val="00BC2CCB"/>
    <w:rsid w:val="00BF28D5"/>
    <w:rsid w:val="00C34765"/>
    <w:rsid w:val="00C34AA2"/>
    <w:rsid w:val="00C42E1F"/>
    <w:rsid w:val="00C64628"/>
    <w:rsid w:val="00C749B6"/>
    <w:rsid w:val="00C8134B"/>
    <w:rsid w:val="00CA1219"/>
    <w:rsid w:val="00CA1E40"/>
    <w:rsid w:val="00CA4789"/>
    <w:rsid w:val="00CC54D7"/>
    <w:rsid w:val="00CD024C"/>
    <w:rsid w:val="00CF7D61"/>
    <w:rsid w:val="00D05DC3"/>
    <w:rsid w:val="00D20289"/>
    <w:rsid w:val="00D20BBD"/>
    <w:rsid w:val="00D30B69"/>
    <w:rsid w:val="00D31062"/>
    <w:rsid w:val="00D34740"/>
    <w:rsid w:val="00D54871"/>
    <w:rsid w:val="00D60827"/>
    <w:rsid w:val="00D72962"/>
    <w:rsid w:val="00D72B60"/>
    <w:rsid w:val="00D73E89"/>
    <w:rsid w:val="00D8576F"/>
    <w:rsid w:val="00DC3EB0"/>
    <w:rsid w:val="00DE3789"/>
    <w:rsid w:val="00DF52D6"/>
    <w:rsid w:val="00E03808"/>
    <w:rsid w:val="00E1286B"/>
    <w:rsid w:val="00E30429"/>
    <w:rsid w:val="00E42862"/>
    <w:rsid w:val="00E47B38"/>
    <w:rsid w:val="00E5011D"/>
    <w:rsid w:val="00E502AA"/>
    <w:rsid w:val="00E57AFC"/>
    <w:rsid w:val="00E6261D"/>
    <w:rsid w:val="00E803DF"/>
    <w:rsid w:val="00E842E1"/>
    <w:rsid w:val="00E93FAC"/>
    <w:rsid w:val="00EA1E7B"/>
    <w:rsid w:val="00EA2693"/>
    <w:rsid w:val="00EC5440"/>
    <w:rsid w:val="00ED207F"/>
    <w:rsid w:val="00ED4D13"/>
    <w:rsid w:val="00F04BC0"/>
    <w:rsid w:val="00F04FF5"/>
    <w:rsid w:val="00F16956"/>
    <w:rsid w:val="00F22ACB"/>
    <w:rsid w:val="00F33AA1"/>
    <w:rsid w:val="00F470BC"/>
    <w:rsid w:val="00F50371"/>
    <w:rsid w:val="00F81246"/>
    <w:rsid w:val="00F95805"/>
    <w:rsid w:val="00FA79CC"/>
    <w:rsid w:val="00FB00F2"/>
    <w:rsid w:val="00FB7382"/>
    <w:rsid w:val="00FC5018"/>
    <w:rsid w:val="00FE133D"/>
    <w:rsid w:val="00FF6BC4"/>
    <w:rsid w:val="35FA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uppressAutoHyphens/>
      <w:jc w:val="center"/>
    </w:pPr>
    <w:rPr>
      <w:rFonts w:ascii="方正小标宋简体" w:hAnsi="汉仪大宋简" w:eastAsia="方正小标宋简体"/>
      <w:color w:val="000000"/>
      <w:kern w:val="0"/>
      <w:sz w:val="44"/>
      <w:szCs w:val="20"/>
    </w:rPr>
  </w:style>
  <w:style w:type="paragraph" w:styleId="3">
    <w:name w:val="Plain Text"/>
    <w:basedOn w:val="1"/>
    <w:link w:val="13"/>
    <w:unhideWhenUsed/>
    <w:qFormat/>
    <w:uiPriority w:val="99"/>
    <w:rPr>
      <w:rFonts w:ascii="宋体" w:hAnsi="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纯文本 Char"/>
    <w:basedOn w:val="9"/>
    <w:link w:val="3"/>
    <w:qFormat/>
    <w:uiPriority w:val="99"/>
    <w:rPr>
      <w:rFonts w:ascii="宋体" w:hAnsi="Courier New" w:eastAsia="宋体" w:cs="Times New Roman"/>
      <w:szCs w:val="21"/>
    </w:rPr>
  </w:style>
  <w:style w:type="character" w:customStyle="1" w:styleId="14">
    <w:name w:val="正文文本 Char"/>
    <w:basedOn w:val="9"/>
    <w:link w:val="2"/>
    <w:qFormat/>
    <w:uiPriority w:val="0"/>
    <w:rPr>
      <w:rFonts w:ascii="方正小标宋简体" w:hAnsi="汉仪大宋简" w:eastAsia="方正小标宋简体" w:cs="Times New Roman"/>
      <w:color w:val="000000"/>
      <w:kern w:val="0"/>
      <w:sz w:val="44"/>
      <w:szCs w:val="20"/>
    </w:rPr>
  </w:style>
  <w:style w:type="character" w:customStyle="1" w:styleId="15">
    <w:name w:val="批注框文本 Char"/>
    <w:basedOn w:val="9"/>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4186351706041"/>
          <c:y val="0.0453164068777128"/>
          <c:w val="0.903771841019883"/>
          <c:h val="0.818863892013509"/>
        </c:manualLayout>
      </c:layout>
      <c:barChart>
        <c:barDir val="col"/>
        <c:grouping val="stacked"/>
        <c:varyColors val="0"/>
        <c:ser>
          <c:idx val="0"/>
          <c:order val="0"/>
          <c:tx>
            <c:strRef>
              <c:f>Sheet1!$B$1</c:f>
              <c:strCache>
                <c:ptCount val="1"/>
                <c:pt idx="0">
                  <c:v>列4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当面申请</c:v>
                </c:pt>
                <c:pt idx="1">
                  <c:v>通过互联网申请</c:v>
                </c:pt>
                <c:pt idx="2">
                  <c:v>以信函形式申请</c:v>
                </c:pt>
              </c:strCache>
            </c:strRef>
          </c:cat>
          <c:val>
            <c:numRef>
              <c:f>Sheet1!$B$2:$B$4</c:f>
              <c:numCache>
                <c:formatCode>General</c:formatCode>
                <c:ptCount val="3"/>
                <c:pt idx="0">
                  <c:v>84</c:v>
                </c:pt>
                <c:pt idx="1">
                  <c:v>18</c:v>
                </c:pt>
                <c:pt idx="2">
                  <c:v>7</c:v>
                </c:pt>
              </c:numCache>
            </c:numRef>
          </c:val>
        </c:ser>
        <c:ser>
          <c:idx val="1"/>
          <c:order val="1"/>
          <c:tx>
            <c:strRef>
              <c:f>Sheet1!$C$1</c:f>
              <c:strCache>
                <c:ptCount val="1"/>
                <c:pt idx="0">
                  <c:v>列1</c:v>
                </c:pt>
              </c:strCache>
            </c:strRef>
          </c:tx>
          <c:invertIfNegative val="0"/>
          <c:dLbls>
            <c:delete val="1"/>
          </c:dLbls>
          <c:cat>
            <c:strRef>
              <c:f>Sheet1!$A$2:$A$4</c:f>
              <c:strCache>
                <c:ptCount val="3"/>
                <c:pt idx="0">
                  <c:v>当面申请</c:v>
                </c:pt>
                <c:pt idx="1">
                  <c:v>通过互联网申请</c:v>
                </c:pt>
                <c:pt idx="2">
                  <c:v>以信函形式申请</c:v>
                </c:pt>
              </c:strCache>
            </c:strRef>
          </c:cat>
          <c:val>
            <c:numRef>
              <c:f>Sheet1!$C$2:$C$4</c:f>
              <c:numCache>
                <c:formatCode>General</c:formatCode>
                <c:ptCount val="3"/>
              </c:numCache>
            </c:numRef>
          </c:val>
        </c:ser>
        <c:ser>
          <c:idx val="2"/>
          <c:order val="2"/>
          <c:tx>
            <c:strRef>
              <c:f>Sheet1!$D$1</c:f>
              <c:strCache>
                <c:ptCount val="1"/>
                <c:pt idx="0">
                  <c:v>列3</c:v>
                </c:pt>
              </c:strCache>
            </c:strRef>
          </c:tx>
          <c:invertIfNegative val="0"/>
          <c:dLbls>
            <c:delete val="1"/>
          </c:dLbls>
          <c:cat>
            <c:strRef>
              <c:f>Sheet1!$A$2:$A$4</c:f>
              <c:strCache>
                <c:ptCount val="3"/>
                <c:pt idx="0">
                  <c:v>当面申请</c:v>
                </c:pt>
                <c:pt idx="1">
                  <c:v>通过互联网申请</c:v>
                </c:pt>
                <c:pt idx="2">
                  <c:v>以信函形式申请</c:v>
                </c:pt>
              </c:strCache>
            </c:strRef>
          </c:cat>
          <c:val>
            <c:numRef>
              <c:f>Sheet1!$D$2:$D$4</c:f>
              <c:numCache>
                <c:formatCode>General</c:formatCode>
                <c:ptCount val="3"/>
              </c:numCache>
            </c:numRef>
          </c:val>
        </c:ser>
        <c:dLbls>
          <c:showLegendKey val="0"/>
          <c:showVal val="0"/>
          <c:showCatName val="0"/>
          <c:showSerName val="0"/>
          <c:showPercent val="0"/>
          <c:showBubbleSize val="0"/>
        </c:dLbls>
        <c:gapWidth val="150"/>
        <c:overlap val="100"/>
        <c:axId val="95393664"/>
        <c:axId val="95395200"/>
      </c:barChart>
      <c:catAx>
        <c:axId val="95393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395200"/>
        <c:crosses val="autoZero"/>
        <c:auto val="1"/>
        <c:lblAlgn val="ctr"/>
        <c:lblOffset val="100"/>
        <c:noMultiLvlLbl val="0"/>
      </c:catAx>
      <c:valAx>
        <c:axId val="95395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5393664"/>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9da59378-06bd-44b6-8e35-686e7fa95cea}"/>
      </c:ext>
    </c:extLst>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列2</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已主动公开</c:v>
                </c:pt>
                <c:pt idx="1">
                  <c:v>同意公开</c:v>
                </c:pt>
                <c:pt idx="2">
                  <c:v>不同意公开</c:v>
                </c:pt>
                <c:pt idx="3">
                  <c:v>不属于本机关公开范围</c:v>
                </c:pt>
                <c:pt idx="4">
                  <c:v>申请信息不存在</c:v>
                </c:pt>
                <c:pt idx="5">
                  <c:v>告知作出更改补充</c:v>
                </c:pt>
                <c:pt idx="6">
                  <c:v>告知通过其他途径办理</c:v>
                </c:pt>
              </c:strCache>
            </c:strRef>
          </c:cat>
          <c:val>
            <c:numRef>
              <c:f>Sheet1!$B$2:$B$8</c:f>
              <c:numCache>
                <c:formatCode>General</c:formatCode>
                <c:ptCount val="7"/>
                <c:pt idx="0">
                  <c:v>7</c:v>
                </c:pt>
                <c:pt idx="1">
                  <c:v>81</c:v>
                </c:pt>
                <c:pt idx="2">
                  <c:v>3</c:v>
                </c:pt>
                <c:pt idx="3">
                  <c:v>3</c:v>
                </c:pt>
                <c:pt idx="4">
                  <c:v>17</c:v>
                </c:pt>
                <c:pt idx="5">
                  <c:v>1</c:v>
                </c:pt>
                <c:pt idx="6">
                  <c:v>4</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76ee004-37d9-4ffd-a30e-f0dcf0d8cf8e}"/>
      </c:ext>
    </c:extLst>
  </c:chart>
  <c:spPr>
    <a:noFill/>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1106-8B85-4A3F-BF6A-5F2D6A1A9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1842</Words>
  <Characters>1993</Characters>
  <Lines>32</Lines>
  <Paragraphs>9</Paragraphs>
  <TotalTime>843</TotalTime>
  <ScaleCrop>false</ScaleCrop>
  <LinksUpToDate>false</LinksUpToDate>
  <CharactersWithSpaces>2043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2019-03-14T04:36:00Z</dcterms:created>
  <dc:creator>admin</dc:creator>
  <cp:lastModifiedBy>名字不重要</cp:lastModifiedBy>
  <cp:lastPrinted>2019-03-15T08:09:00Z</cp:lastPrinted>
  <dcterms:modified xsi:type="dcterms:W3CDTF">2025-03-11T07:09:26Z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eyJoZGlkIjoiNzdjMzE4MGRjYzlmYzc1ZDA5NmEyZjM0NWU3ZTRmNTUiLCJ1c2VySWQiOiI2ODg0NzY1NzYifQ==</vt:lpwstr>
  </property>
  <property fmtid="{D5CDD505-2E9C-101B-9397-08002B2CF9AE}" pid="3" name="KSOProductBuildVer">
    <vt:lpwstr>2052-12.1.0.20305</vt:lpwstr>
  </property>
  <property fmtid="{D5CDD505-2E9C-101B-9397-08002B2CF9AE}" pid="4" name="ICV">
    <vt:lpwstr>33C0596B43B44F3C8EA1C0B02C6FAAE6_12</vt:lpwstr>
  </property>
</Properties>
</file>