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6C2" w:rsidRDefault="00E316C2" w:rsidP="00E316C2">
      <w:pPr>
        <w:jc w:val="center"/>
        <w:rPr>
          <w:rFonts w:ascii="方正小标宋简体" w:eastAsia="方正小标宋简体" w:hint="eastAsia"/>
          <w:sz w:val="44"/>
          <w:szCs w:val="44"/>
        </w:rPr>
      </w:pPr>
      <w:bookmarkStart w:id="0" w:name="RANGE!A1:C56"/>
      <w:r w:rsidRPr="00E316C2">
        <w:rPr>
          <w:rFonts w:ascii="方正小标宋简体" w:eastAsia="方正小标宋简体" w:hint="eastAsia"/>
          <w:sz w:val="44"/>
          <w:szCs w:val="44"/>
        </w:rPr>
        <w:t>北京经济技术</w:t>
      </w:r>
      <w:r w:rsidRPr="00E316C2">
        <w:rPr>
          <w:rFonts w:ascii="方正小标宋简体" w:eastAsia="方正小标宋简体" w:hint="eastAsia"/>
          <w:sz w:val="44"/>
          <w:szCs w:val="44"/>
        </w:rPr>
        <w:t>开发区上半年绩效任务进展情况</w:t>
      </w:r>
    </w:p>
    <w:p w:rsidR="00E316C2" w:rsidRPr="00E316C2" w:rsidRDefault="00E316C2" w:rsidP="00E316C2">
      <w:pPr>
        <w:jc w:val="center"/>
        <w:rPr>
          <w:rFonts w:ascii="Times New Roman" w:eastAsia="仿宋_GB2312" w:hAnsi="Times New Roman" w:cs="Times New Roman"/>
          <w:sz w:val="28"/>
          <w:szCs w:val="28"/>
        </w:rPr>
      </w:pPr>
      <w:bookmarkStart w:id="1" w:name="_GoBack"/>
    </w:p>
    <w:tbl>
      <w:tblPr>
        <w:tblStyle w:val="a3"/>
        <w:tblW w:w="10844" w:type="dxa"/>
        <w:tblLook w:val="04A0" w:firstRow="1" w:lastRow="0" w:firstColumn="1" w:lastColumn="0" w:noHBand="0" w:noVBand="1"/>
      </w:tblPr>
      <w:tblGrid>
        <w:gridCol w:w="675"/>
        <w:gridCol w:w="4499"/>
        <w:gridCol w:w="5670"/>
      </w:tblGrid>
      <w:tr w:rsidR="00E316C2" w:rsidRPr="00E316C2" w:rsidTr="00E316C2">
        <w:trPr>
          <w:trHeight w:val="450"/>
        </w:trPr>
        <w:tc>
          <w:tcPr>
            <w:tcW w:w="675" w:type="dxa"/>
            <w:hideMark/>
          </w:tcPr>
          <w:bookmarkEnd w:id="0"/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4499" w:type="dxa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b/>
                <w:bCs/>
                <w:sz w:val="28"/>
                <w:szCs w:val="28"/>
              </w:rPr>
              <w:t>年度任务</w:t>
            </w:r>
          </w:p>
        </w:tc>
        <w:tc>
          <w:tcPr>
            <w:tcW w:w="5670" w:type="dxa"/>
            <w:noWrap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b/>
                <w:bCs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b/>
                <w:bCs/>
                <w:sz w:val="28"/>
                <w:szCs w:val="28"/>
              </w:rPr>
              <w:t>上半年进展情况</w:t>
            </w:r>
          </w:p>
        </w:tc>
      </w:tr>
      <w:tr w:rsidR="00E316C2" w:rsidRPr="00E316C2" w:rsidTr="00E316C2">
        <w:trPr>
          <w:trHeight w:val="171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亦庄新城及周边地区整合规划。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按照市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规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土委关于规划编制的统一工作进度要求，开发区及周边地区整合规划（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193k</w:t>
            </w:r>
            <w:r w:rsidRPr="00E316C2">
              <w:rPr>
                <w:rFonts w:ascii="Times New Roman" w:eastAsia="宋体" w:hAnsi="Times New Roman" w:cs="Times New Roman"/>
                <w:sz w:val="28"/>
                <w:szCs w:val="28"/>
              </w:rPr>
              <w:t>㎡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）已于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月底形成初步成果，预计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月底达到报审要求。</w:t>
            </w:r>
          </w:p>
        </w:tc>
      </w:tr>
      <w:tr w:rsidR="00E316C2" w:rsidRPr="00E316C2" w:rsidTr="00E316C2">
        <w:trPr>
          <w:trHeight w:val="144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99" w:type="dxa"/>
            <w:vMerge w:val="restart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落实市政府新的城市南部地区发展三年行动计划，解决生态环境、公共服务、交通设施等方面问题，加大腾笼换鸟力度，承接核心区功能疏解，推动高精尖产业发展。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1.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E9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E13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学校和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X88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幼儿园项目规划手续；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2.X39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学校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月份完成项目立项批复。</w:t>
            </w:r>
          </w:p>
        </w:tc>
      </w:tr>
      <w:tr w:rsidR="00E316C2" w:rsidRPr="00E316C2" w:rsidTr="00E316C2">
        <w:trPr>
          <w:trHeight w:val="361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99" w:type="dxa"/>
            <w:vMerge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1.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荣昌康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定下穿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涵洞项目：形成初步设计方案并报送市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规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土委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,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待批复；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br/>
              <w:t>2.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太和东桥项目：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日。核发建设项目规划条件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2018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规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（开）条市政字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0031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号；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br/>
              <w:t>3.E9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小学已核发工程证；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br/>
              <w:t>4.X88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幼儿园与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E13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学校：正在准备工程证申报材料。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br/>
              <w:t>5.X39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学校方案月底进行专题会议审查。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99" w:type="dxa"/>
            <w:vMerge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日，完成桥梁承台施工、启动管线施工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引导制造业企业加大研发经费投入。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日，形成关于引导加大研发投入政策的初稿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建设具有自主知识产权的高成长创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新型企业。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日，完成德勤亦庄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强评选方案</w:t>
            </w:r>
          </w:p>
        </w:tc>
      </w:tr>
      <w:tr w:rsidR="00E316C2" w:rsidRPr="00E316C2" w:rsidTr="00E316C2">
        <w:trPr>
          <w:trHeight w:val="123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新能源汽车和高端汽车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基于宽带移动互联网的智能汽车与智慧交通应用示范。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已完成项目立项、招投标等工作。</w:t>
            </w:r>
          </w:p>
        </w:tc>
      </w:tr>
      <w:tr w:rsidR="00E316C2" w:rsidRPr="00E316C2" w:rsidTr="00E316C2">
        <w:trPr>
          <w:trHeight w:val="114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新能源汽车和高端汽车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北京奔驰发动机二工厂。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设备安装已完成，已开始调试工作</w:t>
            </w:r>
          </w:p>
        </w:tc>
      </w:tr>
      <w:tr w:rsidR="00E316C2" w:rsidRPr="00E316C2" w:rsidTr="00E316C2">
        <w:trPr>
          <w:trHeight w:val="153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新能源汽车和高端汽车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奔驰新能源汽车。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1.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奔驰纯电动乘用车技术改造项目：已开始焊装工艺设备安装；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2.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奔驰动力电池工厂：已完成基础施工</w:t>
            </w:r>
          </w:p>
        </w:tc>
      </w:tr>
      <w:tr w:rsidR="00E316C2" w:rsidRPr="00E316C2" w:rsidTr="00E316C2">
        <w:trPr>
          <w:trHeight w:val="82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新能源汽车和高端汽车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阿尔特汽车。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完成地下室正负零</w:t>
            </w:r>
          </w:p>
        </w:tc>
      </w:tr>
      <w:tr w:rsidR="00E316C2" w:rsidRPr="00E316C2" w:rsidTr="00E316C2">
        <w:trPr>
          <w:trHeight w:val="133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新能源汽车和高端汽车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北汽新能源科技创新中心配套项目。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已完成相关手续办理，项目已开工，基建改造进度完成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60%.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集成电路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集成电路标准厂房一期。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日，完成主体结构封顶和消防主管道安装。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集成电路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耐威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英寸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MEMS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传感器芯片。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日，主厂房和动力中心出正负零。</w:t>
            </w:r>
          </w:p>
        </w:tc>
      </w:tr>
      <w:tr w:rsidR="00E316C2" w:rsidRPr="00E316C2" w:rsidTr="00E316C2">
        <w:trPr>
          <w:trHeight w:val="45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集成电路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华卓精科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半导体装备关键零部件研发制造。</w:t>
            </w:r>
          </w:p>
        </w:tc>
        <w:tc>
          <w:tcPr>
            <w:tcW w:w="5670" w:type="dxa"/>
            <w:noWrap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日，取得开工证并开工</w:t>
            </w:r>
          </w:p>
        </w:tc>
      </w:tr>
      <w:tr w:rsidR="00E316C2" w:rsidRPr="00E316C2" w:rsidTr="00E316C2">
        <w:trPr>
          <w:trHeight w:val="112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集成电路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京东方研发中心。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日，完成防水、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筏板基础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施工，地下三层、二层工程施工</w:t>
            </w:r>
          </w:p>
        </w:tc>
      </w:tr>
      <w:tr w:rsidR="00E316C2" w:rsidRPr="00E316C2" w:rsidTr="00E316C2">
        <w:trPr>
          <w:trHeight w:val="61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集成电路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电控燕东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英寸集成电路生产线。</w:t>
            </w:r>
          </w:p>
        </w:tc>
        <w:tc>
          <w:tcPr>
            <w:tcW w:w="5670" w:type="dxa"/>
            <w:noWrap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日，主厂房已实现正负零</w:t>
            </w:r>
          </w:p>
        </w:tc>
      </w:tr>
      <w:tr w:rsidR="00E316C2" w:rsidRPr="00E316C2" w:rsidTr="00E316C2">
        <w:trPr>
          <w:trHeight w:val="61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生物医药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赛升药业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产业化基地。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日，完成室内装修工程、机电安装工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程施工</w:t>
            </w:r>
          </w:p>
        </w:tc>
      </w:tr>
      <w:tr w:rsidR="00E316C2" w:rsidRPr="00E316C2" w:rsidTr="00E316C2">
        <w:trPr>
          <w:trHeight w:val="69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18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生物医药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义翘神州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诊断试剂产业化。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27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日已完成投产。</w:t>
            </w:r>
          </w:p>
        </w:tc>
      </w:tr>
      <w:tr w:rsidR="00E316C2" w:rsidRPr="00E316C2" w:rsidTr="00E316C2">
        <w:trPr>
          <w:trHeight w:val="109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互联网和智能装备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小米互联网电子产业园。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日，主体厂房外檐装修完成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50%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，进行机电安装；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号楼完成土建施工，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号楼完成钢结构施工。</w:t>
            </w:r>
          </w:p>
        </w:tc>
      </w:tr>
      <w:tr w:rsidR="00E316C2" w:rsidRPr="00E316C2" w:rsidTr="00E316C2">
        <w:trPr>
          <w:trHeight w:val="45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互联网和智能装备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智同机器人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RV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减速器生产线。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日，完成所有设备调试，开始生产试运营。</w:t>
            </w:r>
          </w:p>
        </w:tc>
      </w:tr>
      <w:tr w:rsidR="00E316C2" w:rsidRPr="00E316C2" w:rsidTr="00E316C2">
        <w:trPr>
          <w:trHeight w:val="94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互联网和智能装备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京东集团全球总部二期。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日，完成土地摘牌。</w:t>
            </w:r>
          </w:p>
        </w:tc>
      </w:tr>
      <w:tr w:rsidR="00E316C2" w:rsidRPr="00E316C2" w:rsidTr="00E316C2">
        <w:trPr>
          <w:trHeight w:val="136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建立与三大科学城的对接转化机制，抓好重大项目落地，打造创新型产业集群。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“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建立与三大科学城对接机制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”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初稿</w:t>
            </w:r>
          </w:p>
        </w:tc>
      </w:tr>
      <w:tr w:rsidR="00E316C2" w:rsidRPr="00E316C2" w:rsidTr="00E316C2">
        <w:trPr>
          <w:trHeight w:val="85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实际利用外资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亿美元以上。</w:t>
            </w:r>
          </w:p>
        </w:tc>
        <w:tc>
          <w:tcPr>
            <w:tcW w:w="5670" w:type="dxa"/>
            <w:noWrap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31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日，完成利用外资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3.65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亿美元</w:t>
            </w:r>
          </w:p>
        </w:tc>
      </w:tr>
      <w:tr w:rsidR="00E316C2" w:rsidRPr="00E316C2" w:rsidTr="00E316C2">
        <w:trPr>
          <w:trHeight w:val="162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推动中国制造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2025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示范区建设，支持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家企业实施智能工厂、数字化车间升级改造，培育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“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中国制造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2025”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试点示范企业。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日，形成遴选方案；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日汇总评审材料；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日完成项目清单。</w:t>
            </w:r>
          </w:p>
        </w:tc>
      </w:tr>
      <w:tr w:rsidR="00E316C2" w:rsidRPr="00E316C2" w:rsidTr="00E316C2">
        <w:trPr>
          <w:trHeight w:val="94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499" w:type="dxa"/>
            <w:vMerge w:val="restart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通过统筹产业布局，推动全市产业向重点园区聚集、园区产业向主导产业聚集、主导产业向创新型企业聚集。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日，取得施工许可证。</w:t>
            </w:r>
          </w:p>
        </w:tc>
      </w:tr>
      <w:tr w:rsidR="00E316C2" w:rsidRPr="00E316C2" w:rsidTr="00E316C2">
        <w:trPr>
          <w:trHeight w:val="94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499" w:type="dxa"/>
            <w:vMerge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noWrap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日，完成投资协议签署。</w:t>
            </w:r>
          </w:p>
        </w:tc>
      </w:tr>
      <w:tr w:rsidR="00E316C2" w:rsidRPr="00E316C2" w:rsidTr="00E316C2">
        <w:trPr>
          <w:trHeight w:val="126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促进中芯北方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B2B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项目实现量产，推动集成电路制造技术创新中心建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设。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日，完成洁净室第一阶段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9400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平米装修。</w:t>
            </w:r>
          </w:p>
        </w:tc>
      </w:tr>
      <w:tr w:rsidR="00E316C2" w:rsidRPr="00E316C2" w:rsidTr="00E316C2">
        <w:trPr>
          <w:trHeight w:val="178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28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完善国家级高新技术企业认定工作预警机制，建立国高新技术企业认定储备库，新增高新技术企业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90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家以上。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日，完成第一批高新申报；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日完成第二批高新申报</w:t>
            </w:r>
          </w:p>
        </w:tc>
      </w:tr>
      <w:tr w:rsidR="00E316C2" w:rsidRPr="00E316C2" w:rsidTr="00E316C2">
        <w:trPr>
          <w:trHeight w:val="190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启动国家知识产权示范园区建设，新培育北京市专利试点、示范单位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家，新培育知识产权贯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标企业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家。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1.5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日完成知识产权试点示范申报工作；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2.5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日完成征集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12330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联络点并确定建成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家联络点；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3.4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日完成《国家知识产权示范园区工作计划》、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日完成报送《三年工作规划》</w:t>
            </w:r>
          </w:p>
        </w:tc>
      </w:tr>
      <w:tr w:rsidR="00E316C2" w:rsidRPr="00E316C2" w:rsidTr="00E316C2">
        <w:trPr>
          <w:trHeight w:val="126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一般公共预算收入增长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12%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以上。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截至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31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日，一般公共预算收入累计完成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135.42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亿元，提前一个月完成二季度任务。</w:t>
            </w:r>
          </w:p>
        </w:tc>
      </w:tr>
      <w:tr w:rsidR="00E316C2" w:rsidRPr="00E316C2" w:rsidTr="00E316C2">
        <w:trPr>
          <w:trHeight w:val="90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提高土地节约集约利用水平，全面实行工业用地出让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年。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日挂牌出让两宗工业用地共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8.5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公顷，出让年限为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年，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7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日已成交。</w:t>
            </w:r>
          </w:p>
        </w:tc>
      </w:tr>
      <w:tr w:rsidR="00E316C2" w:rsidRPr="00E316C2" w:rsidTr="00E316C2">
        <w:trPr>
          <w:trHeight w:val="69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大羊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坊桥区京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沪高速进开发区定向匝道工程。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日，启动桥梁桩基施工</w:t>
            </w:r>
          </w:p>
        </w:tc>
      </w:tr>
      <w:tr w:rsidR="00E316C2" w:rsidRPr="00E316C2" w:rsidTr="00E316C2">
        <w:trPr>
          <w:trHeight w:val="120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开展区内河道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“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一河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一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策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”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编制。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月已经完成初稿编制，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月征求了各部门意见，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月已经完成了修改。</w:t>
            </w:r>
          </w:p>
        </w:tc>
      </w:tr>
      <w:tr w:rsidR="00E316C2" w:rsidRPr="00E316C2" w:rsidTr="00E316C2">
        <w:trPr>
          <w:trHeight w:val="112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开展海绵城市建设现状调查。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完成工作大纲的制定，并已梳理部分项目资料，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完成中芯国际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、京东方运营中心等项目的调研踏勘工作。</w:t>
            </w:r>
          </w:p>
        </w:tc>
      </w:tr>
      <w:tr w:rsidR="00E316C2" w:rsidRPr="00E316C2" w:rsidTr="00E316C2">
        <w:trPr>
          <w:trHeight w:val="169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35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编制北京经济技术开发区海绵城市专项规划。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月份与相关部门对接，完成现状资料收集、整理，开展现场踏勘和调研。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月根据调研成果分析，完成建设条件评价。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月与开发区分区规划动态对接，完善规划方案大纲。</w:t>
            </w:r>
          </w:p>
        </w:tc>
      </w:tr>
      <w:tr w:rsidR="00E316C2" w:rsidRPr="00E316C2" w:rsidTr="00E316C2">
        <w:trPr>
          <w:trHeight w:val="169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空气质量实现持续改善。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日。落实开发区蓝天保卫战相关措施，做好机动车污染和扬尘污染防治工作，推动治污减排，提高精细化管理水平。</w:t>
            </w:r>
          </w:p>
        </w:tc>
      </w:tr>
      <w:tr w:rsidR="00E316C2" w:rsidRPr="00E316C2" w:rsidTr="00E316C2">
        <w:trPr>
          <w:trHeight w:val="226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强化重型柴油车管控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聚焦重点时段、区内重点道路，深入开展人工路检夜查执法工作，公安交管、环保部门全年完成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万辆次重型柴油车路检。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10000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辆重型柴油车抽查</w:t>
            </w:r>
          </w:p>
        </w:tc>
      </w:tr>
      <w:tr w:rsidR="00E316C2" w:rsidRPr="00E316C2" w:rsidTr="00E316C2">
        <w:trPr>
          <w:trHeight w:val="120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加强非道路移动机械排放监管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进一步加大检查执法力度。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90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次执法检查</w:t>
            </w:r>
          </w:p>
        </w:tc>
      </w:tr>
      <w:tr w:rsidR="00E316C2" w:rsidRPr="00E316C2" w:rsidTr="00E316C2">
        <w:trPr>
          <w:trHeight w:val="171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加强重点行业车辆、加油站排放监管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组织辖区内年销售汽油量超过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2000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吨（含）的加油站完成油气回收在线监控改造。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日。改造单位已完成油气回收在线监控建设方案</w:t>
            </w:r>
          </w:p>
        </w:tc>
      </w:tr>
      <w:tr w:rsidR="00E316C2" w:rsidRPr="00E316C2" w:rsidTr="00E316C2">
        <w:trPr>
          <w:trHeight w:val="105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加强裸露地面扬尘污染控制。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30 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日。完成对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E9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地块环境综合整治工程，并搭建围挡。</w:t>
            </w:r>
          </w:p>
        </w:tc>
      </w:tr>
      <w:tr w:rsidR="00E316C2" w:rsidRPr="00E316C2" w:rsidTr="00E316C2">
        <w:trPr>
          <w:trHeight w:val="142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完善扬尘管理考评体系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加快推进粗颗粒物监测网络配套设施建设。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日。完成了粗颗粒物监测网络配套设施选址工作</w:t>
            </w:r>
          </w:p>
        </w:tc>
      </w:tr>
      <w:tr w:rsidR="00E316C2" w:rsidRPr="00E316C2" w:rsidTr="00E316C2">
        <w:trPr>
          <w:trHeight w:val="205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42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加强重点行业挥发性有机物治理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各区结合实际组织开展印刷、家具、汽修、医药、电子、机械等重点行业企业挥发性有机物排放专项检查。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日。已完成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90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家次专项检查</w:t>
            </w:r>
          </w:p>
        </w:tc>
      </w:tr>
      <w:tr w:rsidR="00E316C2" w:rsidRPr="00E316C2" w:rsidTr="00E316C2">
        <w:trPr>
          <w:trHeight w:val="226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有序推进餐饮行业达标排放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严格执行北京市《餐饮业大气污染物排放标准》，组织实施餐饮企业和食堂专项整治，加强执法检查，推进餐饮油烟达标排放。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日。已检查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360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家</w:t>
            </w:r>
          </w:p>
        </w:tc>
      </w:tr>
      <w:tr w:rsidR="00E316C2" w:rsidRPr="00E316C2" w:rsidTr="00E316C2">
        <w:trPr>
          <w:trHeight w:val="91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挥发性有机物减排。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日。已完成方案制定、部署</w:t>
            </w:r>
          </w:p>
        </w:tc>
      </w:tr>
      <w:tr w:rsidR="00E316C2" w:rsidRPr="00E316C2" w:rsidTr="00E316C2">
        <w:trPr>
          <w:trHeight w:val="94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氮氧化物减排。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日。已完成非道路机械监管相关任务</w:t>
            </w:r>
          </w:p>
        </w:tc>
      </w:tr>
      <w:tr w:rsidR="00E316C2" w:rsidRPr="00E316C2" w:rsidTr="00E316C2">
        <w:trPr>
          <w:trHeight w:val="180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积极推进全民共治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持续宣传大气污染防治措施进展和成果，强化正面宣传解读；加大环保科普宣传和信息公开力度，保障公众知情权；充分利用各类媒体开展宣传报道，曝光环境违法行为。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日。已开展大型宣传活动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次，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微信公众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账号已发布信息不少于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期</w:t>
            </w:r>
          </w:p>
        </w:tc>
      </w:tr>
      <w:tr w:rsidR="00E316C2" w:rsidRPr="00E316C2" w:rsidTr="00E316C2">
        <w:trPr>
          <w:trHeight w:val="90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落实行业和属地环保责任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-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制定本辖区、本行业细化实施方案，并报市大气污染综合治理领导小组备案。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日。已完成《实施方案》的制定并报备</w:t>
            </w:r>
          </w:p>
        </w:tc>
      </w:tr>
      <w:tr w:rsidR="00E316C2" w:rsidRPr="00E316C2" w:rsidTr="00E316C2">
        <w:trPr>
          <w:trHeight w:val="78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规范渣土车运输管理。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日，完成渣土运输车辆执法检查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次，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形成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基础台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账</w:t>
            </w:r>
          </w:p>
        </w:tc>
      </w:tr>
      <w:tr w:rsidR="00E316C2" w:rsidRPr="00E316C2" w:rsidTr="00E316C2">
        <w:trPr>
          <w:trHeight w:val="780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lastRenderedPageBreak/>
              <w:t>49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加强扬尘污染执法监督。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日，完成工地扬尘污染专项检查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25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次，形成</w:t>
            </w:r>
            <w:proofErr w:type="gramStart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基础台</w:t>
            </w:r>
            <w:proofErr w:type="gramEnd"/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账</w:t>
            </w:r>
          </w:p>
        </w:tc>
      </w:tr>
      <w:tr w:rsidR="00E316C2" w:rsidRPr="00E316C2" w:rsidTr="00E316C2">
        <w:trPr>
          <w:trHeight w:val="12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深入推进经济责任审计，促进党政领导干部和国有企业负责人依法履行经济责任。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日。形成实施方案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强化政府重大投资项目跟踪审计。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日。形成跟踪审计情况专报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深化财政预算执行审计。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日。形成审计报告</w:t>
            </w:r>
          </w:p>
        </w:tc>
      </w:tr>
      <w:tr w:rsidR="00E316C2" w:rsidRPr="00E316C2" w:rsidTr="00E316C2">
        <w:trPr>
          <w:trHeight w:val="67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开展重大政策落实情况审计调查。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日。形成审计报告</w:t>
            </w:r>
          </w:p>
        </w:tc>
      </w:tr>
      <w:tr w:rsidR="00E316C2" w:rsidRPr="00E316C2" w:rsidTr="00E316C2">
        <w:trPr>
          <w:trHeight w:val="1305"/>
        </w:trPr>
        <w:tc>
          <w:tcPr>
            <w:tcW w:w="675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4499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承担北京大数据行动计划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2018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年工作任务第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7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21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、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31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项。</w:t>
            </w:r>
          </w:p>
        </w:tc>
        <w:tc>
          <w:tcPr>
            <w:tcW w:w="5670" w:type="dxa"/>
            <w:vAlign w:val="center"/>
            <w:hideMark/>
          </w:tcPr>
          <w:p w:rsidR="00E316C2" w:rsidRPr="00E316C2" w:rsidRDefault="00E316C2" w:rsidP="00E316C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1.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市级文件未下发；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2.6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22</w:t>
            </w:r>
            <w:r w:rsidRPr="00E316C2">
              <w:rPr>
                <w:rFonts w:ascii="Times New Roman" w:eastAsia="仿宋_GB2312" w:hAnsi="Times New Roman" w:cs="Times New Roman"/>
                <w:sz w:val="28"/>
                <w:szCs w:val="28"/>
              </w:rPr>
              <w:t>日。完成项目立项，招投标工作进行中</w:t>
            </w:r>
          </w:p>
        </w:tc>
      </w:tr>
      <w:bookmarkEnd w:id="1"/>
    </w:tbl>
    <w:p w:rsidR="00FF1075" w:rsidRPr="00E316C2" w:rsidRDefault="00FF1075" w:rsidP="00E316C2">
      <w:pPr>
        <w:jc w:val="center"/>
        <w:rPr>
          <w:rFonts w:ascii="Times New Roman" w:eastAsia="仿宋_GB2312" w:hAnsi="Times New Roman" w:cs="Times New Roman"/>
          <w:sz w:val="28"/>
          <w:szCs w:val="28"/>
        </w:rPr>
      </w:pPr>
    </w:p>
    <w:sectPr w:rsidR="00FF1075" w:rsidRPr="00E316C2" w:rsidSect="00E316C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8A7"/>
    <w:rsid w:val="00E316C2"/>
    <w:rsid w:val="00F468A7"/>
    <w:rsid w:val="00FF1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1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1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0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6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503</Words>
  <Characters>2872</Characters>
  <Application>Microsoft Office Word</Application>
  <DocSecurity>0</DocSecurity>
  <Lines>23</Lines>
  <Paragraphs>6</Paragraphs>
  <ScaleCrop>false</ScaleCrop>
  <Company>Microsoft</Company>
  <LinksUpToDate>false</LinksUpToDate>
  <CharactersWithSpaces>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2018-07-03T03:35:00Z</dcterms:created>
  <dcterms:modified xsi:type="dcterms:W3CDTF">2018-07-03T03:39:00Z</dcterms:modified>
</cp:coreProperties>
</file>