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ind w:firstLine="300" w:firstLineChars="50"/>
        <w:rPr>
          <w:rFonts w:ascii="宋体" w:hAnsi="宋体"/>
          <w:sz w:val="60"/>
          <w:szCs w:val="60"/>
        </w:rPr>
      </w:pPr>
    </w:p>
    <w:p>
      <w:pPr>
        <w:pStyle w:val="35"/>
        <w:rPr>
          <w:rFonts w:ascii="宋体" w:hAnsi="宋体"/>
        </w:rPr>
      </w:pPr>
    </w:p>
    <w:p>
      <w:pPr>
        <w:jc w:val="center"/>
        <w:rPr>
          <w:rFonts w:ascii="宋体" w:hAnsi="宋体"/>
          <w:b/>
          <w:bCs/>
          <w:sz w:val="60"/>
          <w:szCs w:val="60"/>
        </w:rPr>
      </w:pPr>
    </w:p>
    <w:p>
      <w:pPr>
        <w:jc w:val="center"/>
        <w:rPr>
          <w:rFonts w:ascii="宋体" w:hAnsi="宋体"/>
          <w:b/>
          <w:bCs/>
          <w:sz w:val="60"/>
          <w:szCs w:val="60"/>
        </w:rPr>
      </w:pPr>
      <w:r>
        <w:rPr>
          <w:rFonts w:ascii="宋体" w:hAnsi="宋体"/>
          <w:b/>
          <w:bCs/>
          <w:sz w:val="60"/>
          <w:szCs w:val="60"/>
        </w:rPr>
        <w:t>北京市政府采购项目</w:t>
      </w:r>
    </w:p>
    <w:p>
      <w:pPr>
        <w:jc w:val="center"/>
        <w:rPr>
          <w:rFonts w:ascii="宋体" w:hAnsi="宋体"/>
          <w:b/>
          <w:bCs/>
          <w:sz w:val="60"/>
          <w:szCs w:val="60"/>
        </w:rPr>
      </w:pPr>
      <w:r>
        <w:rPr>
          <w:rFonts w:hint="eastAsia" w:ascii="宋体" w:hAnsi="宋体"/>
          <w:b/>
          <w:bCs/>
          <w:sz w:val="60"/>
          <w:szCs w:val="60"/>
        </w:rPr>
        <w:t>公开</w:t>
      </w:r>
      <w:r>
        <w:rPr>
          <w:rFonts w:ascii="宋体" w:hAnsi="宋体"/>
          <w:b/>
          <w:bCs/>
          <w:sz w:val="60"/>
          <w:szCs w:val="60"/>
        </w:rPr>
        <w:t>招标文件</w:t>
      </w:r>
    </w:p>
    <w:p>
      <w:pPr>
        <w:jc w:val="center"/>
        <w:rPr>
          <w:rFonts w:ascii="宋体" w:hAnsi="宋体"/>
          <w:b/>
          <w:bCs/>
          <w:sz w:val="60"/>
          <w:szCs w:val="60"/>
        </w:rPr>
      </w:pPr>
    </w:p>
    <w:p>
      <w:pPr>
        <w:pStyle w:val="35"/>
        <w:ind w:left="0" w:leftChars="0"/>
      </w:pPr>
    </w:p>
    <w:p/>
    <w:p>
      <w:pPr>
        <w:tabs>
          <w:tab w:val="left" w:pos="3240"/>
          <w:tab w:val="left" w:pos="3420"/>
        </w:tabs>
        <w:spacing w:line="720" w:lineRule="auto"/>
        <w:ind w:left="1" w:firstLine="2"/>
        <w:jc w:val="left"/>
        <w:rPr>
          <w:rFonts w:ascii="宋体" w:hAnsi="宋体"/>
          <w:b/>
          <w:bCs/>
          <w:sz w:val="36"/>
          <w:szCs w:val="36"/>
        </w:rPr>
      </w:pPr>
      <w:r>
        <w:rPr>
          <w:rFonts w:ascii="宋体" w:hAnsi="宋体"/>
          <w:b/>
          <w:bCs/>
          <w:sz w:val="36"/>
          <w:szCs w:val="36"/>
        </w:rPr>
        <w:t>项目名称：</w:t>
      </w:r>
      <w:r>
        <w:rPr>
          <w:rFonts w:hint="eastAsia" w:ascii="宋体" w:hAnsi="宋体"/>
          <w:b/>
          <w:bCs/>
          <w:sz w:val="36"/>
          <w:szCs w:val="36"/>
          <w:u w:val="none"/>
        </w:rPr>
        <w:t>上海沙龙亦城家园中心运营管理服务</w:t>
      </w:r>
    </w:p>
    <w:p>
      <w:pPr>
        <w:tabs>
          <w:tab w:val="left" w:pos="3240"/>
          <w:tab w:val="left" w:pos="3420"/>
        </w:tabs>
        <w:spacing w:line="720" w:lineRule="auto"/>
        <w:ind w:firstLine="2"/>
        <w:jc w:val="left"/>
        <w:rPr>
          <w:rFonts w:hint="default" w:ascii="宋体" w:hAnsi="宋体" w:eastAsia="宋体"/>
          <w:b/>
          <w:bCs/>
          <w:color w:val="FF0000"/>
          <w:sz w:val="36"/>
          <w:szCs w:val="36"/>
          <w:lang w:val="en-US" w:eastAsia="zh-CN"/>
        </w:rPr>
      </w:pPr>
      <w:r>
        <w:rPr>
          <w:rFonts w:hint="eastAsia" w:ascii="宋体" w:hAnsi="宋体"/>
          <w:b/>
          <w:bCs/>
          <w:sz w:val="36"/>
          <w:szCs w:val="36"/>
        </w:rPr>
        <w:t>项目编号</w:t>
      </w:r>
      <w:r>
        <w:rPr>
          <w:rFonts w:hint="eastAsia" w:ascii="宋体" w:hAnsi="宋体"/>
          <w:b/>
          <w:bCs/>
          <w:sz w:val="36"/>
          <w:szCs w:val="36"/>
          <w:lang w:val="en-US" w:eastAsia="zh-CN"/>
        </w:rPr>
        <w:t>/包号</w:t>
      </w:r>
      <w:r>
        <w:rPr>
          <w:rFonts w:ascii="宋体" w:hAnsi="宋体"/>
          <w:b/>
          <w:bCs/>
          <w:sz w:val="36"/>
          <w:szCs w:val="36"/>
        </w:rPr>
        <w:t>：</w:t>
      </w:r>
      <w:r>
        <w:rPr>
          <w:rFonts w:hint="eastAsia" w:ascii="宋体" w:hAnsi="宋体"/>
          <w:b/>
          <w:bCs/>
          <w:sz w:val="36"/>
          <w:szCs w:val="36"/>
        </w:rPr>
        <w:t>JKQCG_23_0945</w:t>
      </w:r>
      <w:r>
        <w:rPr>
          <w:rFonts w:hint="eastAsia" w:ascii="宋体" w:hAnsi="宋体"/>
          <w:b/>
          <w:bCs/>
          <w:sz w:val="36"/>
          <w:szCs w:val="36"/>
          <w:lang w:val="en-US" w:eastAsia="zh-CN"/>
        </w:rPr>
        <w:t>/第3包</w:t>
      </w:r>
    </w:p>
    <w:p>
      <w:pPr>
        <w:tabs>
          <w:tab w:val="left" w:pos="3240"/>
          <w:tab w:val="left" w:pos="3420"/>
        </w:tabs>
        <w:spacing w:line="720" w:lineRule="auto"/>
        <w:ind w:firstLine="2"/>
        <w:jc w:val="left"/>
        <w:rPr>
          <w:rFonts w:ascii="宋体" w:hAnsi="宋体"/>
          <w:b/>
          <w:bCs/>
          <w:sz w:val="36"/>
          <w:szCs w:val="36"/>
        </w:rPr>
      </w:pPr>
      <w:r>
        <w:rPr>
          <w:rFonts w:ascii="宋体" w:hAnsi="宋体"/>
          <w:b/>
          <w:bCs/>
          <w:sz w:val="36"/>
          <w:szCs w:val="36"/>
        </w:rPr>
        <w:t>采购人：</w:t>
      </w:r>
      <w:r>
        <w:rPr>
          <w:rFonts w:hint="eastAsia" w:ascii="宋体" w:hAnsi="宋体"/>
          <w:b/>
          <w:bCs/>
          <w:sz w:val="36"/>
          <w:szCs w:val="36"/>
          <w:u w:val="none"/>
        </w:rPr>
        <w:t>北京经济技术开发区社会保险保障中心</w:t>
      </w:r>
    </w:p>
    <w:p>
      <w:pPr>
        <w:tabs>
          <w:tab w:val="left" w:pos="3240"/>
          <w:tab w:val="left" w:pos="3420"/>
        </w:tabs>
        <w:spacing w:line="720" w:lineRule="auto"/>
        <w:ind w:left="1" w:firstLine="2"/>
        <w:rPr>
          <w:rFonts w:ascii="宋体" w:hAnsi="宋体"/>
          <w:b/>
          <w:bCs/>
          <w:sz w:val="36"/>
          <w:szCs w:val="36"/>
          <w:u w:val="single"/>
        </w:rPr>
      </w:pPr>
      <w:r>
        <w:rPr>
          <w:rFonts w:hint="eastAsia" w:ascii="宋体" w:hAnsi="宋体"/>
          <w:b/>
          <w:bCs/>
          <w:sz w:val="36"/>
          <w:szCs w:val="36"/>
        </w:rPr>
        <w:t>采购</w:t>
      </w:r>
      <w:r>
        <w:rPr>
          <w:rFonts w:ascii="宋体" w:hAnsi="宋体"/>
          <w:b/>
          <w:bCs/>
          <w:sz w:val="36"/>
          <w:szCs w:val="36"/>
        </w:rPr>
        <w:t>代理机构：</w:t>
      </w:r>
      <w:r>
        <w:rPr>
          <w:rFonts w:hint="eastAsia" w:ascii="宋体" w:hAnsi="宋体"/>
          <w:b/>
          <w:bCs/>
          <w:sz w:val="36"/>
          <w:szCs w:val="36"/>
          <w:u w:val="none"/>
        </w:rPr>
        <w:t>中承国汇咨询（北京）有限公司</w:t>
      </w:r>
    </w:p>
    <w:p>
      <w:pPr>
        <w:tabs>
          <w:tab w:val="left" w:pos="3240"/>
          <w:tab w:val="left" w:pos="3420"/>
        </w:tabs>
        <w:spacing w:line="720" w:lineRule="auto"/>
        <w:ind w:left="1" w:firstLine="2"/>
        <w:jc w:val="center"/>
        <w:rPr>
          <w:rFonts w:hint="eastAsia" w:ascii="宋体" w:hAnsi="宋体"/>
          <w:b/>
          <w:bCs/>
          <w:sz w:val="36"/>
          <w:szCs w:val="36"/>
        </w:rPr>
        <w:sectPr>
          <w:footerReference r:id="rId3" w:type="first"/>
          <w:pgSz w:w="11907" w:h="16840"/>
          <w:pgMar w:top="1418" w:right="1134" w:bottom="1418" w:left="1701" w:header="851" w:footer="851" w:gutter="0"/>
          <w:pgNumType w:start="1"/>
          <w:cols w:space="720" w:num="1"/>
          <w:titlePg/>
          <w:docGrid w:linePitch="286" w:charSpace="0"/>
        </w:sectPr>
      </w:pP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年1</w:t>
      </w:r>
      <w:r>
        <w:rPr>
          <w:rFonts w:hint="eastAsia" w:ascii="宋体" w:hAnsi="宋体"/>
          <w:b/>
          <w:bCs/>
          <w:sz w:val="36"/>
          <w:szCs w:val="36"/>
          <w:lang w:val="en-US" w:eastAsia="zh-CN"/>
        </w:rPr>
        <w:t>2</w:t>
      </w:r>
      <w:r>
        <w:rPr>
          <w:rFonts w:hint="eastAsia" w:ascii="宋体" w:hAnsi="宋体"/>
          <w:b/>
          <w:bCs/>
          <w:sz w:val="36"/>
          <w:szCs w:val="36"/>
        </w:rPr>
        <w:t>月</w:t>
      </w:r>
      <w:bookmarkStart w:id="0" w:name="_Toc99301418"/>
    </w:p>
    <w:p>
      <w:pPr>
        <w:tabs>
          <w:tab w:val="left" w:pos="3240"/>
          <w:tab w:val="left" w:pos="3420"/>
        </w:tabs>
        <w:spacing w:line="720" w:lineRule="auto"/>
        <w:ind w:left="1" w:firstLine="2"/>
        <w:jc w:val="center"/>
        <w:rPr>
          <w:rFonts w:ascii="宋体" w:hAnsi="宋体"/>
          <w:b/>
          <w:bCs/>
          <w:sz w:val="36"/>
          <w:szCs w:val="36"/>
          <w:u w:val="single"/>
        </w:rPr>
      </w:pPr>
      <w:r>
        <w:rPr>
          <w:rFonts w:ascii="宋体" w:hAnsi="宋体"/>
          <w:b/>
          <w:sz w:val="48"/>
          <w:szCs w:val="40"/>
        </w:rPr>
        <w:t>目  录</w:t>
      </w:r>
      <w:bookmarkEnd w:id="0"/>
    </w:p>
    <w:p>
      <w:pPr>
        <w:rPr>
          <w:rFonts w:ascii="宋体" w:hAnsi="宋体"/>
        </w:rPr>
      </w:pPr>
    </w:p>
    <w:p>
      <w:pPr>
        <w:rPr>
          <w:rFonts w:ascii="宋体" w:hAnsi="宋体"/>
        </w:rPr>
      </w:pPr>
    </w:p>
    <w:p>
      <w:pPr>
        <w:rPr>
          <w:rFonts w:ascii="宋体" w:hAnsi="宋体"/>
        </w:rPr>
      </w:pPr>
    </w:p>
    <w:p>
      <w:pPr>
        <w:pStyle w:val="30"/>
        <w:tabs>
          <w:tab w:val="right" w:leader="dot" w:pos="9072"/>
          <w:tab w:val="clear" w:pos="1050"/>
          <w:tab w:val="clear" w:pos="8937"/>
        </w:tabs>
        <w:rPr>
          <w:color w:val="auto"/>
          <w:sz w:val="32"/>
          <w:szCs w:val="32"/>
          <w:highlight w:val="none"/>
        </w:rPr>
      </w:pPr>
      <w:r>
        <w:rPr>
          <w:b w:val="0"/>
          <w:color w:val="auto"/>
          <w:sz w:val="48"/>
          <w:szCs w:val="48"/>
          <w:highlight w:val="none"/>
        </w:rPr>
        <w:fldChar w:fldCharType="begin"/>
      </w:r>
      <w:r>
        <w:rPr>
          <w:b w:val="0"/>
          <w:color w:val="auto"/>
          <w:sz w:val="48"/>
          <w:szCs w:val="48"/>
          <w:highlight w:val="none"/>
        </w:rPr>
        <w:instrText xml:space="preserve"> TOC \o "1-1" \h \z \u </w:instrText>
      </w:r>
      <w:r>
        <w:rPr>
          <w:b w:val="0"/>
          <w:color w:val="auto"/>
          <w:sz w:val="48"/>
          <w:szCs w:val="48"/>
          <w:highlight w:val="none"/>
        </w:rPr>
        <w:fldChar w:fldCharType="separate"/>
      </w:r>
      <w:r>
        <w:rPr>
          <w:color w:val="auto"/>
          <w:highlight w:val="none"/>
        </w:rPr>
        <w:fldChar w:fldCharType="begin"/>
      </w:r>
      <w:r>
        <w:rPr>
          <w:color w:val="auto"/>
          <w:highlight w:val="none"/>
        </w:rPr>
        <w:instrText xml:space="preserve"> HYPERLINK \l "_Toc5010" </w:instrText>
      </w:r>
      <w:r>
        <w:rPr>
          <w:color w:val="auto"/>
          <w:highlight w:val="none"/>
        </w:rPr>
        <w:fldChar w:fldCharType="separate"/>
      </w:r>
      <w:r>
        <w:rPr>
          <w:color w:val="auto"/>
          <w:sz w:val="32"/>
          <w:szCs w:val="44"/>
          <w:highlight w:val="none"/>
        </w:rPr>
        <w:t>第一章   投标邀请</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_Toc5010 \h </w:instrText>
      </w:r>
      <w:r>
        <w:rPr>
          <w:color w:val="auto"/>
          <w:sz w:val="32"/>
          <w:szCs w:val="32"/>
          <w:highlight w:val="none"/>
        </w:rPr>
        <w:fldChar w:fldCharType="separate"/>
      </w:r>
      <w:r>
        <w:rPr>
          <w:color w:val="auto"/>
          <w:sz w:val="32"/>
          <w:szCs w:val="32"/>
          <w:highlight w:val="none"/>
        </w:rPr>
        <w:t>2</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"_Toc5366" </w:instrText>
      </w:r>
      <w:r>
        <w:rPr>
          <w:color w:val="auto"/>
          <w:highlight w:val="none"/>
        </w:rPr>
        <w:fldChar w:fldCharType="separate"/>
      </w:r>
      <w:r>
        <w:rPr>
          <w:rFonts w:hint="eastAsia"/>
          <w:color w:val="auto"/>
          <w:sz w:val="32"/>
          <w:szCs w:val="44"/>
          <w:highlight w:val="none"/>
        </w:rPr>
        <w:t>第二章   投标人须知</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_Toc5366 \h </w:instrText>
      </w:r>
      <w:r>
        <w:rPr>
          <w:color w:val="auto"/>
          <w:sz w:val="32"/>
          <w:szCs w:val="32"/>
          <w:highlight w:val="none"/>
        </w:rPr>
        <w:fldChar w:fldCharType="separate"/>
      </w:r>
      <w:r>
        <w:rPr>
          <w:color w:val="auto"/>
          <w:sz w:val="32"/>
          <w:szCs w:val="32"/>
          <w:highlight w:val="none"/>
        </w:rPr>
        <w:t>5</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"_Toc8412" </w:instrText>
      </w:r>
      <w:r>
        <w:rPr>
          <w:color w:val="auto"/>
          <w:highlight w:val="none"/>
        </w:rPr>
        <w:fldChar w:fldCharType="separate"/>
      </w:r>
      <w:r>
        <w:rPr>
          <w:rFonts w:hint="eastAsia"/>
          <w:color w:val="auto"/>
          <w:sz w:val="32"/>
          <w:szCs w:val="44"/>
          <w:highlight w:val="none"/>
        </w:rPr>
        <w:t>第三章   资格审查</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_Toc8412 \h </w:instrText>
      </w:r>
      <w:r>
        <w:rPr>
          <w:color w:val="auto"/>
          <w:sz w:val="32"/>
          <w:szCs w:val="32"/>
          <w:highlight w:val="none"/>
        </w:rPr>
        <w:fldChar w:fldCharType="separate"/>
      </w:r>
      <w:r>
        <w:rPr>
          <w:color w:val="auto"/>
          <w:sz w:val="32"/>
          <w:szCs w:val="32"/>
          <w:highlight w:val="none"/>
        </w:rPr>
        <w:t>21</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"_Toc30760" </w:instrText>
      </w:r>
      <w:r>
        <w:rPr>
          <w:color w:val="auto"/>
          <w:highlight w:val="none"/>
        </w:rPr>
        <w:fldChar w:fldCharType="separate"/>
      </w:r>
      <w:r>
        <w:rPr>
          <w:rFonts w:hint="eastAsia"/>
          <w:color w:val="auto"/>
          <w:sz w:val="32"/>
          <w:szCs w:val="44"/>
          <w:highlight w:val="none"/>
        </w:rPr>
        <w:t>第四章   评标程序、评标方法和评标标准</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_Toc30760 \h </w:instrText>
      </w:r>
      <w:r>
        <w:rPr>
          <w:color w:val="auto"/>
          <w:sz w:val="32"/>
          <w:szCs w:val="32"/>
          <w:highlight w:val="none"/>
        </w:rPr>
        <w:fldChar w:fldCharType="separate"/>
      </w:r>
      <w:r>
        <w:rPr>
          <w:color w:val="auto"/>
          <w:sz w:val="32"/>
          <w:szCs w:val="32"/>
          <w:highlight w:val="none"/>
        </w:rPr>
        <w:t>24</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"_Toc16317" </w:instrText>
      </w:r>
      <w:r>
        <w:rPr>
          <w:color w:val="auto"/>
          <w:highlight w:val="none"/>
        </w:rPr>
        <w:fldChar w:fldCharType="separate"/>
      </w:r>
      <w:r>
        <w:rPr>
          <w:rFonts w:hint="eastAsia"/>
          <w:color w:val="auto"/>
          <w:sz w:val="32"/>
          <w:szCs w:val="44"/>
          <w:highlight w:val="none"/>
        </w:rPr>
        <w:t>第五章   采购需求</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_Toc16317 \h </w:instrText>
      </w:r>
      <w:r>
        <w:rPr>
          <w:color w:val="auto"/>
          <w:sz w:val="32"/>
          <w:szCs w:val="32"/>
          <w:highlight w:val="none"/>
        </w:rPr>
        <w:fldChar w:fldCharType="separate"/>
      </w:r>
      <w:r>
        <w:rPr>
          <w:color w:val="auto"/>
          <w:sz w:val="32"/>
          <w:szCs w:val="32"/>
          <w:highlight w:val="none"/>
        </w:rPr>
        <w:t>32</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"_Toc1347" </w:instrText>
      </w:r>
      <w:r>
        <w:rPr>
          <w:color w:val="auto"/>
          <w:highlight w:val="none"/>
        </w:rPr>
        <w:fldChar w:fldCharType="separate"/>
      </w:r>
      <w:r>
        <w:rPr>
          <w:rFonts w:hint="eastAsia"/>
          <w:color w:val="auto"/>
          <w:sz w:val="32"/>
          <w:szCs w:val="44"/>
          <w:highlight w:val="none"/>
        </w:rPr>
        <w:t>第六章   拟签订的合同文本</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_Toc1347 \h </w:instrText>
      </w:r>
      <w:r>
        <w:rPr>
          <w:color w:val="auto"/>
          <w:sz w:val="32"/>
          <w:szCs w:val="32"/>
          <w:highlight w:val="none"/>
        </w:rPr>
        <w:fldChar w:fldCharType="separate"/>
      </w:r>
      <w:r>
        <w:rPr>
          <w:color w:val="auto"/>
          <w:sz w:val="32"/>
          <w:szCs w:val="32"/>
          <w:highlight w:val="none"/>
        </w:rPr>
        <w:t>33</w:t>
      </w:r>
      <w:r>
        <w:rPr>
          <w:color w:val="auto"/>
          <w:sz w:val="32"/>
          <w:szCs w:val="32"/>
          <w:highlight w:val="none"/>
        </w:rPr>
        <w:fldChar w:fldCharType="end"/>
      </w:r>
      <w:r>
        <w:rPr>
          <w:color w:val="auto"/>
          <w:sz w:val="32"/>
          <w:szCs w:val="32"/>
          <w:highlight w:val="none"/>
        </w:rPr>
        <w:fldChar w:fldCharType="end"/>
      </w:r>
    </w:p>
    <w:p>
      <w:pPr>
        <w:pStyle w:val="30"/>
        <w:tabs>
          <w:tab w:val="right" w:leader="dot" w:pos="9072"/>
          <w:tab w:val="clear" w:pos="1050"/>
          <w:tab w:val="clear" w:pos="8937"/>
        </w:tabs>
        <w:rPr>
          <w:color w:val="auto"/>
          <w:sz w:val="32"/>
          <w:szCs w:val="32"/>
          <w:highlight w:val="none"/>
        </w:rPr>
      </w:pPr>
      <w:r>
        <w:rPr>
          <w:color w:val="auto"/>
          <w:highlight w:val="none"/>
        </w:rPr>
        <w:fldChar w:fldCharType="begin"/>
      </w:r>
      <w:r>
        <w:rPr>
          <w:color w:val="auto"/>
          <w:highlight w:val="none"/>
        </w:rPr>
        <w:instrText xml:space="preserve"> HYPERLINK \l "_Toc4564" </w:instrText>
      </w:r>
      <w:r>
        <w:rPr>
          <w:color w:val="auto"/>
          <w:highlight w:val="none"/>
        </w:rPr>
        <w:fldChar w:fldCharType="separate"/>
      </w:r>
      <w:r>
        <w:rPr>
          <w:rFonts w:hint="eastAsia"/>
          <w:color w:val="auto"/>
          <w:sz w:val="32"/>
          <w:szCs w:val="44"/>
          <w:highlight w:val="none"/>
        </w:rPr>
        <w:t>第七章   投标文件格式</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_Toc4564 \h </w:instrText>
      </w:r>
      <w:r>
        <w:rPr>
          <w:color w:val="auto"/>
          <w:sz w:val="32"/>
          <w:szCs w:val="32"/>
          <w:highlight w:val="none"/>
        </w:rPr>
        <w:fldChar w:fldCharType="separate"/>
      </w:r>
      <w:r>
        <w:rPr>
          <w:color w:val="auto"/>
          <w:sz w:val="32"/>
          <w:szCs w:val="32"/>
          <w:highlight w:val="none"/>
        </w:rPr>
        <w:t>42</w:t>
      </w:r>
      <w:r>
        <w:rPr>
          <w:color w:val="auto"/>
          <w:sz w:val="32"/>
          <w:szCs w:val="32"/>
          <w:highlight w:val="none"/>
        </w:rPr>
        <w:fldChar w:fldCharType="end"/>
      </w:r>
      <w:r>
        <w:rPr>
          <w:color w:val="auto"/>
          <w:sz w:val="32"/>
          <w:szCs w:val="32"/>
          <w:highlight w:val="none"/>
        </w:rPr>
        <w:fldChar w:fldCharType="end"/>
      </w:r>
    </w:p>
    <w:p>
      <w:pPr>
        <w:pStyle w:val="30"/>
        <w:spacing w:line="360" w:lineRule="auto"/>
        <w:rPr>
          <w:b w:val="0"/>
          <w:color w:val="auto"/>
          <w:sz w:val="40"/>
          <w:szCs w:val="40"/>
          <w:highlight w:val="none"/>
        </w:rPr>
      </w:pPr>
      <w:r>
        <w:rPr>
          <w:color w:val="auto"/>
          <w:sz w:val="32"/>
          <w:szCs w:val="48"/>
          <w:highlight w:val="none"/>
        </w:rPr>
        <w:fldChar w:fldCharType="end"/>
      </w:r>
    </w:p>
    <w:p>
      <w:pPr>
        <w:pStyle w:val="3"/>
        <w:spacing w:before="0" w:line="360" w:lineRule="auto"/>
        <w:rPr>
          <w:rFonts w:hint="eastAsia" w:ascii="宋体" w:hAnsi="宋体" w:eastAsia="宋体" w:cs="宋体"/>
          <w:color w:val="auto"/>
          <w:kern w:val="2"/>
          <w:sz w:val="36"/>
          <w:szCs w:val="36"/>
          <w:highlight w:val="none"/>
        </w:rPr>
      </w:pPr>
      <w:r>
        <w:rPr>
          <w:rFonts w:hAnsi="宋体"/>
          <w:color w:val="auto"/>
          <w:sz w:val="24"/>
          <w:highlight w:val="none"/>
        </w:rPr>
        <w:br w:type="page"/>
      </w:r>
      <w:bookmarkStart w:id="1" w:name="_Toc5010"/>
      <w:r>
        <w:rPr>
          <w:rFonts w:hint="eastAsia" w:ascii="宋体" w:hAnsi="宋体" w:eastAsia="宋体" w:cs="宋体"/>
          <w:color w:val="auto"/>
          <w:sz w:val="36"/>
          <w:szCs w:val="36"/>
          <w:highlight w:val="none"/>
        </w:rPr>
        <w:t>第一章   投标邀请</w:t>
      </w:r>
      <w:bookmarkEnd w:id="1"/>
      <w:bookmarkStart w:id="2" w:name="_Toc28359010"/>
      <w:bookmarkStart w:id="3" w:name="_Toc28359087"/>
    </w:p>
    <w:bookmarkEnd w:id="2"/>
    <w:bookmarkEnd w:id="3"/>
    <w:p>
      <w:pPr>
        <w:pStyle w:val="4"/>
        <w:spacing w:before="0" w:line="360" w:lineRule="auto"/>
        <w:jc w:val="left"/>
        <w:rPr>
          <w:rFonts w:hint="eastAsia" w:ascii="宋体" w:hAnsi="宋体" w:eastAsia="宋体" w:cs="宋体"/>
          <w:color w:val="auto"/>
          <w:sz w:val="24"/>
          <w:szCs w:val="24"/>
          <w:highlight w:val="none"/>
        </w:rPr>
      </w:pPr>
      <w:bookmarkStart w:id="4" w:name="_Toc495952024"/>
      <w:bookmarkStart w:id="5" w:name="_Toc353873665"/>
      <w:bookmarkStart w:id="6" w:name="_Ref467378499"/>
      <w:bookmarkStart w:id="7" w:name="_Toc195842920"/>
      <w:bookmarkStart w:id="8" w:name="_Toc226337251"/>
      <w:bookmarkStart w:id="9" w:name="_Toc496106195"/>
      <w:bookmarkStart w:id="10" w:name="_Toc74844149"/>
      <w:bookmarkStart w:id="11" w:name="_Toc226965828"/>
      <w:bookmarkStart w:id="12" w:name="_Ref467379109"/>
      <w:bookmarkStart w:id="13" w:name="_Ref467379195"/>
      <w:bookmarkStart w:id="14" w:name="_Ref467378463"/>
      <w:bookmarkStart w:id="15" w:name="_Toc142311057"/>
      <w:bookmarkStart w:id="16" w:name="_Toc17744"/>
      <w:bookmarkStart w:id="17" w:name="_Toc305158897"/>
      <w:bookmarkStart w:id="18" w:name="_Toc74845098"/>
      <w:bookmarkStart w:id="19" w:name="_Toc264969245"/>
      <w:bookmarkStart w:id="20" w:name="_Toc310195732"/>
      <w:bookmarkStart w:id="21" w:name="_Toc265228393"/>
      <w:bookmarkStart w:id="22" w:name="_Ref467378404"/>
      <w:bookmarkStart w:id="23" w:name="_Toc353873935"/>
      <w:bookmarkStart w:id="24" w:name="_Ref467379101"/>
      <w:bookmarkStart w:id="25" w:name="_Toc305158823"/>
      <w:bookmarkStart w:id="26" w:name="_Toc487900349"/>
      <w:bookmarkStart w:id="27" w:name="_Toc353825545"/>
      <w:bookmarkStart w:id="28" w:name="_Toc150774760"/>
      <w:bookmarkStart w:id="29" w:name="_Ref467379205"/>
      <w:bookmarkStart w:id="30" w:name="_Ref467379094"/>
      <w:bookmarkStart w:id="31" w:name="_Ref467379214"/>
      <w:bookmarkStart w:id="32" w:name="_Toc127151555"/>
      <w:bookmarkStart w:id="33" w:name="_Toc74844060"/>
      <w:bookmarkStart w:id="34" w:name="_Toc150480793"/>
      <w:bookmarkStart w:id="35" w:name="_Ref467379225"/>
      <w:r>
        <w:rPr>
          <w:rFonts w:hint="eastAsia" w:ascii="宋体" w:hAnsi="宋体" w:eastAsia="宋体" w:cs="宋体"/>
          <w:color w:val="auto"/>
          <w:sz w:val="24"/>
          <w:szCs w:val="24"/>
          <w:highlight w:val="none"/>
        </w:rPr>
        <w:t>一、项目基本情况</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1.项目编号：JKQCG_23_0945</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2.项目名称：上海沙龙亦城家园中心运营管理服务</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3.项目预算金额：</w:t>
      </w:r>
      <w:r>
        <w:rPr>
          <w:rFonts w:hint="eastAsia" w:ascii="宋体" w:hAnsi="宋体" w:eastAsia="宋体" w:cs="宋体"/>
          <w:color w:val="auto"/>
          <w:sz w:val="24"/>
          <w:highlight w:val="none"/>
          <w:lang w:val="en-US" w:eastAsia="zh-CN"/>
        </w:rPr>
        <w:t>202.12</w:t>
      </w:r>
      <w:r>
        <w:rPr>
          <w:rFonts w:hint="eastAsia" w:ascii="宋体" w:hAnsi="宋体" w:eastAsia="宋体" w:cs="宋体"/>
          <w:color w:val="auto"/>
          <w:sz w:val="24"/>
          <w:highlight w:val="none"/>
        </w:rPr>
        <w:t>万元、最高限价：</w:t>
      </w:r>
      <w:r>
        <w:rPr>
          <w:rFonts w:hint="eastAsia" w:ascii="宋体" w:hAnsi="宋体" w:eastAsia="宋体" w:cs="宋体"/>
          <w:color w:val="auto"/>
          <w:sz w:val="24"/>
          <w:highlight w:val="none"/>
          <w:lang w:val="en-US" w:eastAsia="zh-CN"/>
        </w:rPr>
        <w:t>202.12</w:t>
      </w:r>
      <w:r>
        <w:rPr>
          <w:rFonts w:hint="eastAsia" w:ascii="宋体" w:hAnsi="宋体" w:eastAsia="宋体" w:cs="宋体"/>
          <w:color w:val="auto"/>
          <w:sz w:val="24"/>
          <w:highlight w:val="none"/>
        </w:rPr>
        <w:t>万元</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4.采购需求：</w:t>
      </w:r>
    </w:p>
    <w:tbl>
      <w:tblPr>
        <w:tblStyle w:val="45"/>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683"/>
        <w:gridCol w:w="701"/>
        <w:gridCol w:w="4705"/>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包号</w:t>
            </w:r>
          </w:p>
        </w:tc>
        <w:tc>
          <w:tcPr>
            <w:tcW w:w="1683"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采购内容</w:t>
            </w:r>
          </w:p>
        </w:tc>
        <w:tc>
          <w:tcPr>
            <w:tcW w:w="701"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4705" w:type="dxa"/>
            <w:shd w:val="clear" w:color="auto" w:fill="auto"/>
            <w:vAlign w:val="center"/>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采购需求(详见招标文件)</w:t>
            </w:r>
          </w:p>
        </w:tc>
        <w:tc>
          <w:tcPr>
            <w:tcW w:w="1416" w:type="dxa"/>
            <w:shd w:val="clear" w:color="auto" w:fill="auto"/>
          </w:tcPr>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采购包</w:t>
            </w:r>
          </w:p>
          <w:p>
            <w:pPr>
              <w:keepNext w:val="0"/>
              <w:keepLines w:val="0"/>
              <w:suppressLineNumbers w:val="0"/>
              <w:suppressAutoHyphens/>
              <w:adjustRightInd w:val="0"/>
              <w:snapToGrid w:val="0"/>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第</w:t>
            </w:r>
            <w:r>
              <w:rPr>
                <w:rFonts w:hint="eastAsia" w:ascii="宋体" w:hAnsi="宋体" w:eastAsia="宋体" w:cs="宋体"/>
                <w:color w:val="auto"/>
                <w:sz w:val="24"/>
                <w:highlight w:val="none"/>
              </w:rPr>
              <w:t>1</w:t>
            </w:r>
            <w:r>
              <w:rPr>
                <w:rFonts w:hint="eastAsia" w:ascii="宋体" w:hAnsi="宋体" w:cs="宋体"/>
                <w:color w:val="auto"/>
                <w:sz w:val="24"/>
                <w:highlight w:val="none"/>
                <w:lang w:eastAsia="zh-CN"/>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委托运营服务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具体对公益教育服务、活动组织管理服务开展运营工作，保证服务质量、提高工作效率；进行资产监管，公共空间管理，安全管理等……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25.3</w:t>
            </w:r>
            <w:r>
              <w:rPr>
                <w:rFonts w:hint="eastAsia" w:ascii="宋体" w:hAnsi="宋体" w:eastAsia="宋体" w:cs="宋体"/>
                <w:color w:val="auto"/>
                <w:sz w:val="24"/>
                <w:highlight w:val="none"/>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第</w:t>
            </w:r>
            <w:r>
              <w:rPr>
                <w:rFonts w:hint="eastAsia" w:ascii="宋体" w:hAnsi="宋体" w:eastAsia="宋体" w:cs="宋体"/>
                <w:color w:val="auto"/>
                <w:sz w:val="24"/>
                <w:highlight w:val="none"/>
                <w:lang w:val="en-US" w:eastAsia="zh-CN"/>
              </w:rPr>
              <w:t>2</w:t>
            </w:r>
            <w:r>
              <w:rPr>
                <w:rFonts w:hint="eastAsia" w:ascii="宋体" w:hAnsi="宋体" w:cs="宋体"/>
                <w:color w:val="auto"/>
                <w:sz w:val="24"/>
                <w:highlight w:val="none"/>
                <w:lang w:val="en-US" w:eastAsia="zh-CN"/>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公益教育服务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坚持政府主导、坚持教育服务的公益性、普惠性、便捷性、参与性原则，结合开发区居民实际需求、社会热点及相关工作要求等，制定教学方案，合理安排教学内容等……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93.92万元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第</w:t>
            </w:r>
            <w:r>
              <w:rPr>
                <w:rFonts w:hint="eastAsia" w:ascii="宋体" w:hAnsi="宋体" w:eastAsia="宋体" w:cs="宋体"/>
                <w:color w:val="auto"/>
                <w:sz w:val="24"/>
                <w:highlight w:val="none"/>
                <w:lang w:val="en-US" w:eastAsia="zh-CN"/>
              </w:rPr>
              <w:t>3</w:t>
            </w:r>
            <w:r>
              <w:rPr>
                <w:rFonts w:hint="eastAsia" w:ascii="宋体" w:hAnsi="宋体" w:cs="宋体"/>
                <w:color w:val="auto"/>
                <w:sz w:val="24"/>
                <w:highlight w:val="none"/>
                <w:lang w:val="en-US" w:eastAsia="zh-CN"/>
              </w:rPr>
              <w:t>包</w:t>
            </w:r>
          </w:p>
        </w:tc>
        <w:tc>
          <w:tcPr>
            <w:tcW w:w="1683"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公益活动服务</w:t>
            </w:r>
          </w:p>
        </w:tc>
        <w:tc>
          <w:tcPr>
            <w:tcW w:w="701" w:type="dxa"/>
            <w:shd w:val="clear" w:color="auto" w:fill="auto"/>
            <w:vAlign w:val="center"/>
          </w:tcPr>
          <w:p>
            <w:pPr>
              <w:keepNext w:val="0"/>
              <w:keepLines w:val="0"/>
              <w:suppressLineNumbers w:val="0"/>
              <w:suppressAutoHyphens/>
              <w:spacing w:before="0" w:beforeAutospacing="0" w:after="0" w:afterAutospacing="0"/>
              <w:ind w:left="0" w:right="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1项</w:t>
            </w:r>
          </w:p>
        </w:tc>
        <w:tc>
          <w:tcPr>
            <w:tcW w:w="4705" w:type="dxa"/>
            <w:shd w:val="clear" w:color="auto" w:fill="auto"/>
            <w:vAlign w:val="center"/>
          </w:tcPr>
          <w:p>
            <w:pPr>
              <w:keepNext w:val="0"/>
              <w:keepLines w:val="0"/>
              <w:suppressLineNumbers w:val="0"/>
              <w:tabs>
                <w:tab w:val="right" w:pos="2834"/>
              </w:tabs>
              <w:suppressAutoHyphens/>
              <w:spacing w:before="0" w:beforeAutospacing="0" w:after="0" w:afterAutospacing="0"/>
              <w:ind w:left="0" w:right="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坚持政府主导、坚持公益活动的公益性、普惠性、多样性原则，做好场地管理服务、做好日常运营和服务工作等……</w:t>
            </w:r>
          </w:p>
        </w:tc>
        <w:tc>
          <w:tcPr>
            <w:tcW w:w="1416" w:type="dxa"/>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82.9万元</w:t>
            </w:r>
          </w:p>
        </w:tc>
      </w:tr>
    </w:tbl>
    <w:p>
      <w:pPr>
        <w:numPr>
          <w:ilvl w:val="0"/>
          <w:numId w:val="8"/>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合同履行期限：自合同签订之日起至2024年12月31日。</w:t>
      </w:r>
    </w:p>
    <w:p>
      <w:pPr>
        <w:numPr>
          <w:ilvl w:val="0"/>
          <w:numId w:val="8"/>
        </w:num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本项目是否接受联合体投标：否。</w:t>
      </w:r>
    </w:p>
    <w:p>
      <w:pPr>
        <w:pStyle w:val="4"/>
        <w:spacing w:before="0" w:line="360" w:lineRule="auto"/>
        <w:jc w:val="left"/>
        <w:rPr>
          <w:rFonts w:hint="eastAsia" w:ascii="宋体" w:hAnsi="宋体" w:eastAsia="宋体" w:cs="宋体"/>
          <w:color w:val="auto"/>
          <w:sz w:val="24"/>
          <w:szCs w:val="24"/>
          <w:highlight w:val="none"/>
        </w:rPr>
      </w:pPr>
      <w:bookmarkStart w:id="36" w:name="_Toc28359003"/>
      <w:bookmarkStart w:id="37" w:name="_Toc28359080"/>
      <w:bookmarkStart w:id="38" w:name="_Toc35393791"/>
      <w:bookmarkStart w:id="39" w:name="_Toc35393622"/>
      <w:r>
        <w:rPr>
          <w:rFonts w:hint="eastAsia" w:ascii="宋体" w:hAnsi="宋体" w:eastAsia="宋体" w:cs="宋体"/>
          <w:color w:val="auto"/>
          <w:sz w:val="24"/>
          <w:szCs w:val="24"/>
          <w:highlight w:val="none"/>
        </w:rPr>
        <w:t>二、申请人的资格要求（须同时满足）</w:t>
      </w:r>
      <w:bookmarkEnd w:id="36"/>
      <w:bookmarkEnd w:id="37"/>
      <w:bookmarkEnd w:id="38"/>
      <w:bookmarkEnd w:id="39"/>
    </w:p>
    <w:p>
      <w:pPr>
        <w:spacing w:line="360" w:lineRule="auto"/>
        <w:ind w:firstLine="480" w:firstLineChars="200"/>
        <w:rPr>
          <w:rFonts w:hint="eastAsia" w:ascii="宋体" w:hAnsi="宋体" w:eastAsia="宋体" w:cs="宋体"/>
          <w:color w:val="auto"/>
          <w:sz w:val="24"/>
          <w:highlight w:val="none"/>
        </w:rPr>
      </w:pPr>
      <w:bookmarkStart w:id="40" w:name="_Toc28359081"/>
      <w:bookmarkStart w:id="41" w:name="_Toc28359004"/>
      <w:r>
        <w:rPr>
          <w:rFonts w:hint="eastAsia" w:ascii="宋体" w:hAnsi="宋体" w:eastAsia="宋体" w:cs="宋体"/>
          <w:color w:val="auto"/>
          <w:sz w:val="24"/>
          <w:highlight w:val="none"/>
        </w:rPr>
        <w:t>1.满足《中华人民共和国政府采购法》第二十二条规定；</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2.落实政府采购政策需满足的资格要求：</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中小企业政策</w:t>
      </w:r>
    </w:p>
    <w:p>
      <w:pPr>
        <w:spacing w:line="360" w:lineRule="auto"/>
        <w:ind w:firstLine="960" w:firstLineChars="4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本项目</w:t>
      </w:r>
      <w:r>
        <w:rPr>
          <w:rFonts w:hint="eastAsia" w:ascii="宋体" w:hAnsi="宋体" w:cs="宋体"/>
          <w:color w:val="auto"/>
          <w:sz w:val="24"/>
          <w:highlight w:val="none"/>
          <w:lang w:eastAsia="zh-CN"/>
        </w:rPr>
        <w:t>第</w:t>
      </w:r>
      <w:r>
        <w:rPr>
          <w:rFonts w:hint="eastAsia" w:ascii="宋体" w:hAnsi="宋体" w:cs="宋体"/>
          <w:color w:val="auto"/>
          <w:sz w:val="24"/>
          <w:highlight w:val="none"/>
          <w:lang w:val="en-US" w:eastAsia="zh-CN"/>
        </w:rPr>
        <w:t>1包</w:t>
      </w:r>
      <w:r>
        <w:rPr>
          <w:rFonts w:hint="eastAsia" w:ascii="宋体" w:hAnsi="宋体" w:eastAsia="宋体" w:cs="宋体"/>
          <w:color w:val="auto"/>
          <w:sz w:val="24"/>
          <w:highlight w:val="none"/>
        </w:rPr>
        <w:t>不专门面向中小企业预留采购份额</w:t>
      </w:r>
      <w:r>
        <w:rPr>
          <w:rFonts w:hint="eastAsia" w:ascii="宋体" w:hAnsi="宋体" w:cs="宋体"/>
          <w:color w:val="auto"/>
          <w:sz w:val="24"/>
          <w:highlight w:val="none"/>
          <w:lang w:eastAsia="zh-CN"/>
        </w:rPr>
        <w:t>；</w:t>
      </w:r>
    </w:p>
    <w:p>
      <w:pPr>
        <w:spacing w:line="360" w:lineRule="auto"/>
        <w:ind w:firstLine="960" w:firstLineChars="400"/>
        <w:rPr>
          <w:rFonts w:hint="eastAsia" w:ascii="宋体" w:hAnsi="宋体" w:eastAsia="宋体" w:cs="宋体"/>
          <w:color w:val="auto"/>
          <w:sz w:val="24"/>
          <w:highlight w:val="none"/>
        </w:rPr>
      </w:pPr>
      <w:r>
        <w:rPr>
          <w:rFonts w:hint="eastAsia" w:ascii="宋体" w:hAnsi="宋体" w:cs="宋体"/>
          <w:color w:val="auto"/>
          <w:sz w:val="24"/>
          <w:highlight w:val="none"/>
          <w:lang w:eastAsia="zh-CN"/>
        </w:rPr>
        <w:t>第</w:t>
      </w:r>
      <w:r>
        <w:rPr>
          <w:rFonts w:hint="eastAsia" w:ascii="宋体" w:hAnsi="宋体" w:cs="宋体"/>
          <w:color w:val="auto"/>
          <w:sz w:val="24"/>
          <w:highlight w:val="none"/>
          <w:lang w:val="en-US" w:eastAsia="zh-CN"/>
        </w:rPr>
        <w:t>2包和第3包专门面向小微企业预留采购份额</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其它落实政府采购政策的资格要求（如有）：</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3.本项目的特定资格要求：</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3.1本项目是否接受分支机构参与投标：■是   □否； </w:t>
      </w:r>
    </w:p>
    <w:p>
      <w:pPr>
        <w:tabs>
          <w:tab w:val="left" w:pos="900"/>
          <w:tab w:val="left" w:pos="1134"/>
          <w:tab w:val="left" w:pos="1589"/>
          <w:tab w:val="left" w:pos="5521"/>
        </w:tabs>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3.2本项目是否属于政府购买服务：</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auto"/>
          <w:sz w:val="24"/>
          <w:highlight w:val="none"/>
        </w:rPr>
      </w:pPr>
      <w:r>
        <w:rPr>
          <w:rFonts w:hint="eastAsia" w:ascii="宋体" w:hAnsi="宋体" w:eastAsia="宋体" w:cs="宋体"/>
          <w:color w:val="auto"/>
          <w:sz w:val="24"/>
          <w:highlight w:val="none"/>
        </w:rPr>
        <w:t>□否</w:t>
      </w:r>
    </w:p>
    <w:p>
      <w:pPr>
        <w:tabs>
          <w:tab w:val="left" w:pos="900"/>
          <w:tab w:val="left" w:pos="1134"/>
          <w:tab w:val="left" w:pos="1589"/>
          <w:tab w:val="left" w:pos="5521"/>
        </w:tabs>
        <w:snapToGrid w:val="0"/>
        <w:spacing w:line="360" w:lineRule="auto"/>
        <w:ind w:left="991" w:leftChars="472" w:firstLine="2"/>
        <w:rPr>
          <w:rFonts w:hint="eastAsia" w:ascii="宋体" w:hAnsi="宋体" w:eastAsia="宋体" w:cs="宋体"/>
          <w:color w:val="auto"/>
          <w:sz w:val="24"/>
          <w:highlight w:val="none"/>
        </w:rPr>
      </w:pPr>
      <w:r>
        <w:rPr>
          <w:rFonts w:hint="eastAsia" w:ascii="宋体" w:hAnsi="宋体" w:eastAsia="宋体" w:cs="宋体"/>
          <w:color w:val="auto"/>
          <w:sz w:val="24"/>
          <w:highlight w:val="none"/>
        </w:rPr>
        <w:t>√是，公益一类事业单位、使用事业编制且由财政拨款保障的群团组织，不得作为承接主体；</w:t>
      </w:r>
    </w:p>
    <w:p>
      <w:pPr>
        <w:pStyle w:val="26"/>
        <w:spacing w:line="360" w:lineRule="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3.3</w:t>
      </w:r>
      <w:r>
        <w:rPr>
          <w:rFonts w:hint="eastAsia" w:ascii="宋体" w:hAnsi="宋体" w:eastAsia="宋体" w:cs="宋体"/>
          <w:color w:val="auto"/>
          <w:highlight w:val="none"/>
        </w:rPr>
        <w:t>投标人不得为“信用中国”网站（www.creditchina.gov.cn）中列入失信执行人和</w:t>
      </w:r>
      <w:r>
        <w:rPr>
          <w:rFonts w:hint="eastAsia" w:ascii="宋体" w:hAnsi="宋体" w:eastAsia="宋体" w:cs="宋体"/>
          <w:color w:val="auto"/>
          <w:highlight w:val="none"/>
          <w:lang w:eastAsia="zh-CN"/>
        </w:rPr>
        <w:t>重大税收违法失信主体</w:t>
      </w:r>
      <w:r>
        <w:rPr>
          <w:rFonts w:hint="eastAsia" w:ascii="宋体" w:hAnsi="宋体" w:eastAsia="宋体" w:cs="宋体"/>
          <w:color w:val="auto"/>
          <w:highlight w:val="none"/>
        </w:rPr>
        <w:t>的供应商，不得为中国政府采购网（www.ccgp.gov.cn）政府采购严重违法失信行为记录名单中被财政部门禁止参加政府采购活动的供应商（处罚决定规定的时间和地域范围内）。</w:t>
      </w:r>
    </w:p>
    <w:p>
      <w:pPr>
        <w:pStyle w:val="26"/>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其他特定资格要求：</w:t>
      </w:r>
      <w:r>
        <w:rPr>
          <w:rFonts w:hint="eastAsia" w:ascii="宋体" w:hAnsi="宋体" w:eastAsia="宋体" w:cs="宋体"/>
          <w:color w:val="auto"/>
          <w:highlight w:val="none"/>
          <w:lang w:eastAsia="zh-CN"/>
        </w:rPr>
        <w:t>无。</w:t>
      </w:r>
    </w:p>
    <w:bookmarkEnd w:id="40"/>
    <w:bookmarkEnd w:id="41"/>
    <w:p>
      <w:pPr>
        <w:pStyle w:val="4"/>
        <w:widowControl/>
        <w:spacing w:before="0" w:line="360" w:lineRule="auto"/>
        <w:jc w:val="left"/>
        <w:rPr>
          <w:rFonts w:hint="eastAsia" w:ascii="宋体" w:hAnsi="宋体" w:eastAsia="宋体" w:cs="宋体"/>
          <w:color w:val="auto"/>
          <w:sz w:val="24"/>
          <w:szCs w:val="24"/>
          <w:highlight w:val="none"/>
        </w:rPr>
      </w:pPr>
      <w:bookmarkStart w:id="42" w:name="_Toc35393792"/>
      <w:bookmarkStart w:id="43" w:name="_Toc35393623"/>
      <w:r>
        <w:rPr>
          <w:rFonts w:hint="eastAsia" w:ascii="宋体" w:hAnsi="宋体" w:eastAsia="宋体" w:cs="宋体"/>
          <w:color w:val="auto"/>
          <w:sz w:val="24"/>
          <w:szCs w:val="24"/>
          <w:highlight w:val="none"/>
        </w:rPr>
        <w:t>三、获取招标文件</w:t>
      </w:r>
      <w:bookmarkEnd w:id="42"/>
      <w:bookmarkEnd w:id="43"/>
    </w:p>
    <w:p>
      <w:pPr>
        <w:adjustRightInd w:val="0"/>
        <w:snapToGrid w:val="0"/>
        <w:spacing w:line="360" w:lineRule="auto"/>
        <w:ind w:firstLine="480" w:firstLineChars="200"/>
        <w:rPr>
          <w:rFonts w:hint="eastAsia" w:ascii="宋体" w:hAnsi="宋体" w:eastAsia="宋体" w:cs="宋体"/>
          <w:color w:val="auto"/>
          <w:sz w:val="24"/>
          <w:highlight w:val="none"/>
          <w:lang w:bidi="ar"/>
        </w:rPr>
      </w:pPr>
      <w:bookmarkStart w:id="44" w:name="_Toc28359082"/>
      <w:bookmarkStart w:id="45" w:name="_Toc28359005"/>
      <w:bookmarkStart w:id="46" w:name="_Toc35393793"/>
      <w:bookmarkStart w:id="47" w:name="_Toc35393624"/>
      <w:r>
        <w:rPr>
          <w:rFonts w:hint="eastAsia" w:ascii="宋体" w:hAnsi="宋体" w:eastAsia="宋体" w:cs="宋体"/>
          <w:color w:val="auto"/>
          <w:sz w:val="24"/>
          <w:highlight w:val="none"/>
          <w:lang w:bidi="ar"/>
        </w:rPr>
        <w:t>1.时间：202</w:t>
      </w:r>
      <w:r>
        <w:rPr>
          <w:rFonts w:hint="eastAsia" w:ascii="宋体" w:hAnsi="宋体" w:cs="宋体"/>
          <w:color w:val="auto"/>
          <w:sz w:val="24"/>
          <w:highlight w:val="none"/>
          <w:lang w:val="en-US" w:eastAsia="zh-CN" w:bidi="ar"/>
        </w:rPr>
        <w:t>3</w:t>
      </w:r>
      <w:r>
        <w:rPr>
          <w:rFonts w:hint="eastAsia" w:ascii="宋体" w:hAnsi="宋体" w:eastAsia="宋体" w:cs="宋体"/>
          <w:color w:val="auto"/>
          <w:sz w:val="24"/>
          <w:highlight w:val="none"/>
          <w:lang w:bidi="ar"/>
        </w:rPr>
        <w:t>年</w:t>
      </w:r>
      <w:r>
        <w:rPr>
          <w:rFonts w:hint="eastAsia" w:ascii="宋体" w:hAnsi="宋体" w:cs="宋体"/>
          <w:color w:val="auto"/>
          <w:sz w:val="24"/>
          <w:highlight w:val="none"/>
          <w:lang w:val="en-US" w:eastAsia="zh-CN" w:bidi="ar"/>
        </w:rPr>
        <w:t>12</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15</w:t>
      </w:r>
      <w:r>
        <w:rPr>
          <w:rFonts w:hint="eastAsia" w:ascii="宋体" w:hAnsi="宋体" w:eastAsia="宋体" w:cs="宋体"/>
          <w:color w:val="auto"/>
          <w:sz w:val="24"/>
          <w:highlight w:val="none"/>
          <w:lang w:bidi="ar"/>
        </w:rPr>
        <w:t>日至202</w:t>
      </w:r>
      <w:r>
        <w:rPr>
          <w:rFonts w:hint="eastAsia" w:ascii="宋体" w:hAnsi="宋体" w:cs="宋体"/>
          <w:color w:val="auto"/>
          <w:sz w:val="24"/>
          <w:highlight w:val="none"/>
          <w:lang w:val="en-US" w:eastAsia="zh-CN" w:bidi="ar"/>
        </w:rPr>
        <w:t>3</w:t>
      </w:r>
      <w:r>
        <w:rPr>
          <w:rFonts w:hint="eastAsia" w:ascii="宋体" w:hAnsi="宋体" w:eastAsia="宋体" w:cs="宋体"/>
          <w:color w:val="auto"/>
          <w:sz w:val="24"/>
          <w:highlight w:val="none"/>
          <w:lang w:bidi="ar"/>
        </w:rPr>
        <w:t>年</w:t>
      </w:r>
      <w:r>
        <w:rPr>
          <w:rFonts w:hint="eastAsia" w:ascii="宋体" w:hAnsi="宋体" w:cs="宋体"/>
          <w:color w:val="auto"/>
          <w:sz w:val="24"/>
          <w:highlight w:val="none"/>
          <w:lang w:val="en-US" w:eastAsia="zh-CN" w:bidi="ar"/>
        </w:rPr>
        <w:t>12</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21</w:t>
      </w:r>
      <w:r>
        <w:rPr>
          <w:rFonts w:hint="eastAsia" w:ascii="宋体" w:hAnsi="宋体" w:eastAsia="宋体" w:cs="宋体"/>
          <w:color w:val="auto"/>
          <w:sz w:val="24"/>
          <w:highlight w:val="none"/>
          <w:lang w:bidi="ar"/>
        </w:rPr>
        <w:t>日，每天上午09：00至12：00，下午12：00至17：00（北京时间，法定节假日除外）。</w:t>
      </w:r>
    </w:p>
    <w:p>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bidi="ar"/>
        </w:rPr>
        <w:t>2.地点：北京市政府采购电子交易平台（http://zbcg-bjzc.zhongcy.com/bjczj-portal-site/index.html#/home）</w:t>
      </w:r>
    </w:p>
    <w:p>
      <w:pPr>
        <w:spacing w:line="360" w:lineRule="auto"/>
        <w:ind w:firstLine="480" w:firstLineChars="200"/>
        <w:rPr>
          <w:rFonts w:hint="eastAsia" w:ascii="宋体" w:hAnsi="宋体" w:eastAsia="宋体" w:cs="宋体"/>
          <w:b/>
          <w:color w:val="auto"/>
          <w:sz w:val="24"/>
          <w:highlight w:val="none"/>
          <w:lang w:bidi="ar"/>
        </w:rPr>
      </w:pPr>
      <w:r>
        <w:rPr>
          <w:rFonts w:hint="eastAsia" w:ascii="宋体" w:hAnsi="宋体" w:eastAsia="宋体" w:cs="宋体"/>
          <w:color w:val="auto"/>
          <w:sz w:val="24"/>
          <w:highlight w:val="none"/>
          <w:lang w:bidi="ar"/>
        </w:rPr>
        <w:t>3.方式：</w:t>
      </w:r>
      <w:r>
        <w:rPr>
          <w:rFonts w:hint="eastAsia" w:ascii="宋体" w:hAnsi="宋体" w:eastAsia="宋体" w:cs="宋体"/>
          <w:b/>
          <w:color w:val="auto"/>
          <w:sz w:val="24"/>
          <w:highlight w:val="none"/>
          <w:lang w:bidi="ar"/>
        </w:rPr>
        <w:t>本项目采用电子化与线下流程结合招标方式，相关操作如下:</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(1)办理CA认证证书(北京一证通数字证书)，详见北京市政府采购电子交易平台(http://zbcg-bjzc.zhongcy.com/bjczj-portal-site/index.html#/home)查阅“用户指南” 一 “操作指南”一 “市场主体CA办理操作流程指引”，按照程序要求办理。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(2)于北京市政府采购电子交易平台“用户指南”一“操作指南”一“市场主体注册入库操作流程指引”进行自助注册绑定。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(3)招标文件获取方式:供应商按照规定办理CA数字认证证书(北京一证通数字证书)后，自文件获取之日起持供应商自身数字证书登录北京市政府采购电子交易平台免费获取电子版招标文件。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(4)未按上述获取方式和期限下载招标文件的投标无效。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证书驱动下载：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(1)于北京市政府采购电子交易平台“用户指南”一“工具下载”一“招标采购系统文件驱动安装包”下载相关驱动。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(2)CA认证证书服务热线010-58511086 </w:t>
      </w:r>
    </w:p>
    <w:p>
      <w:pPr>
        <w:widowControl/>
        <w:adjustRightInd w:val="0"/>
        <w:snapToGrid w:val="0"/>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 xml:space="preserve">(3)技术支持服务热线010-86483801 </w:t>
      </w:r>
    </w:p>
    <w:p>
      <w:pPr>
        <w:pStyle w:val="26"/>
        <w:spacing w:line="360" w:lineRule="auto"/>
        <w:rPr>
          <w:rFonts w:hint="eastAsia"/>
          <w:color w:val="auto"/>
          <w:highlight w:val="none"/>
        </w:rPr>
      </w:pPr>
      <w:r>
        <w:rPr>
          <w:rFonts w:hint="eastAsia" w:ascii="宋体" w:hAnsi="宋体" w:eastAsia="宋体" w:cs="宋体"/>
          <w:color w:val="auto"/>
          <w:sz w:val="24"/>
          <w:highlight w:val="none"/>
          <w:lang w:bidi="ar"/>
        </w:rPr>
        <w:t>注意：请供应商认真学习北京市政府采购电子交易平台发布的相关操作手册。</w:t>
      </w:r>
    </w:p>
    <w:p>
      <w:pPr>
        <w:widowControl/>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bidi="ar"/>
        </w:rPr>
        <w:t>4.售价：0元。</w:t>
      </w:r>
    </w:p>
    <w:p>
      <w:pPr>
        <w:pStyle w:val="4"/>
        <w:widowControl/>
        <w:spacing w:before="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四、提交投标文件</w:t>
      </w:r>
      <w:bookmarkEnd w:id="44"/>
      <w:bookmarkEnd w:id="45"/>
      <w:r>
        <w:rPr>
          <w:rFonts w:hint="eastAsia" w:ascii="宋体" w:hAnsi="宋体" w:eastAsia="宋体" w:cs="宋体"/>
          <w:color w:val="auto"/>
          <w:sz w:val="24"/>
          <w:szCs w:val="24"/>
          <w:highlight w:val="none"/>
        </w:rPr>
        <w:t>截止时间、开标时间和地点</w:t>
      </w:r>
      <w:bookmarkEnd w:id="46"/>
      <w:bookmarkEnd w:id="47"/>
    </w:p>
    <w:p>
      <w:pPr>
        <w:spacing w:line="360" w:lineRule="auto"/>
        <w:ind w:firstLine="480" w:firstLineChars="200"/>
        <w:rPr>
          <w:rFonts w:hint="eastAsia" w:ascii="宋体" w:hAnsi="宋体" w:eastAsia="宋体" w:cs="宋体"/>
          <w:color w:val="auto"/>
          <w:sz w:val="24"/>
          <w:highlight w:val="none"/>
          <w:lang w:bidi="ar"/>
        </w:rPr>
      </w:pPr>
      <w:r>
        <w:rPr>
          <w:rFonts w:hint="eastAsia" w:ascii="宋体" w:hAnsi="宋体" w:eastAsia="宋体" w:cs="宋体"/>
          <w:color w:val="auto"/>
          <w:sz w:val="24"/>
          <w:highlight w:val="none"/>
          <w:lang w:bidi="ar"/>
        </w:rPr>
        <w:t>投标截止时间、开标时间：202</w:t>
      </w:r>
      <w:r>
        <w:rPr>
          <w:rFonts w:hint="eastAsia" w:ascii="宋体" w:hAnsi="宋体" w:cs="宋体"/>
          <w:color w:val="auto"/>
          <w:sz w:val="24"/>
          <w:highlight w:val="none"/>
          <w:lang w:val="en-US" w:eastAsia="zh-CN" w:bidi="ar"/>
        </w:rPr>
        <w:t>4</w:t>
      </w:r>
      <w:r>
        <w:rPr>
          <w:rFonts w:hint="eastAsia" w:ascii="宋体" w:hAnsi="宋体" w:eastAsia="宋体" w:cs="宋体"/>
          <w:color w:val="auto"/>
          <w:sz w:val="24"/>
          <w:highlight w:val="none"/>
          <w:lang w:bidi="ar"/>
        </w:rPr>
        <w:t>年</w:t>
      </w:r>
      <w:r>
        <w:rPr>
          <w:rFonts w:hint="eastAsia" w:ascii="宋体" w:hAnsi="宋体" w:cs="宋体"/>
          <w:color w:val="auto"/>
          <w:sz w:val="24"/>
          <w:highlight w:val="none"/>
          <w:lang w:val="en-US" w:eastAsia="zh-CN" w:bidi="ar"/>
        </w:rPr>
        <w:t>01</w:t>
      </w:r>
      <w:r>
        <w:rPr>
          <w:rFonts w:hint="eastAsia" w:ascii="宋体" w:hAnsi="宋体" w:eastAsia="宋体" w:cs="宋体"/>
          <w:color w:val="auto"/>
          <w:sz w:val="24"/>
          <w:highlight w:val="none"/>
          <w:lang w:bidi="ar"/>
        </w:rPr>
        <w:t>月</w:t>
      </w:r>
      <w:r>
        <w:rPr>
          <w:rFonts w:hint="eastAsia" w:ascii="宋体" w:hAnsi="宋体" w:cs="宋体"/>
          <w:color w:val="auto"/>
          <w:sz w:val="24"/>
          <w:highlight w:val="none"/>
          <w:lang w:val="en-US" w:eastAsia="zh-CN" w:bidi="ar"/>
        </w:rPr>
        <w:t>04</w:t>
      </w:r>
      <w:r>
        <w:rPr>
          <w:rFonts w:hint="eastAsia" w:ascii="宋体" w:hAnsi="宋体" w:eastAsia="宋体" w:cs="宋体"/>
          <w:color w:val="auto"/>
          <w:sz w:val="24"/>
          <w:highlight w:val="none"/>
          <w:lang w:bidi="ar"/>
        </w:rPr>
        <w:t>日09点30分（北京时间）。</w:t>
      </w:r>
    </w:p>
    <w:p>
      <w:pPr>
        <w:spacing w:line="360" w:lineRule="auto"/>
        <w:ind w:firstLine="480" w:firstLineChars="200"/>
        <w:rPr>
          <w:rFonts w:hint="eastAsia" w:ascii="宋体" w:hAnsi="宋体" w:eastAsia="宋体" w:cs="宋体"/>
          <w:color w:val="auto"/>
          <w:sz w:val="24"/>
          <w:highlight w:val="none"/>
          <w:lang w:val="zh-TW" w:bidi="ar"/>
        </w:rPr>
      </w:pPr>
      <w:r>
        <w:rPr>
          <w:rFonts w:hint="eastAsia" w:ascii="宋体" w:hAnsi="宋体" w:eastAsia="宋体" w:cs="宋体"/>
          <w:color w:val="auto"/>
          <w:sz w:val="24"/>
          <w:highlight w:val="none"/>
          <w:lang w:bidi="ar"/>
        </w:rPr>
        <w:t>地点：</w:t>
      </w:r>
      <w:r>
        <w:rPr>
          <w:rFonts w:hint="eastAsia" w:ascii="宋体" w:hAnsi="宋体" w:eastAsia="宋体" w:cs="Times New Roman"/>
          <w:color w:val="auto"/>
          <w:sz w:val="24"/>
          <w:szCs w:val="24"/>
          <w:highlight w:val="none"/>
          <w:lang w:val="en-US" w:eastAsia="zh-CN" w:bidi="ar"/>
        </w:rPr>
        <w:t>北京市北京经济技术开发区万源街22号天宇大厦B座</w:t>
      </w:r>
      <w:r>
        <w:rPr>
          <w:rFonts w:hint="eastAsia" w:ascii="宋体" w:hAnsi="宋体" w:cs="Times New Roman"/>
          <w:color w:val="auto"/>
          <w:sz w:val="24"/>
          <w:szCs w:val="24"/>
          <w:highlight w:val="none"/>
          <w:lang w:val="en-US" w:eastAsia="zh-CN" w:bidi="ar"/>
        </w:rPr>
        <w:t>三</w:t>
      </w:r>
      <w:r>
        <w:rPr>
          <w:rFonts w:hint="eastAsia" w:ascii="宋体" w:hAnsi="宋体" w:eastAsia="宋体" w:cs="Times New Roman"/>
          <w:color w:val="auto"/>
          <w:sz w:val="24"/>
          <w:szCs w:val="24"/>
          <w:highlight w:val="none"/>
          <w:lang w:val="en-US" w:eastAsia="zh-CN" w:bidi="ar"/>
        </w:rPr>
        <w:t>层会议室</w:t>
      </w:r>
      <w:r>
        <w:rPr>
          <w:rFonts w:hint="eastAsia" w:ascii="宋体" w:hAnsi="宋体" w:eastAsia="宋体" w:cs="宋体"/>
          <w:color w:val="auto"/>
          <w:sz w:val="24"/>
          <w:highlight w:val="none"/>
          <w:lang w:bidi="ar"/>
        </w:rPr>
        <w:t xml:space="preserve">。     </w:t>
      </w:r>
    </w:p>
    <w:p>
      <w:pPr>
        <w:pStyle w:val="4"/>
        <w:spacing w:before="0" w:line="360" w:lineRule="auto"/>
        <w:jc w:val="left"/>
        <w:rPr>
          <w:rFonts w:hint="eastAsia" w:ascii="宋体" w:hAnsi="宋体" w:eastAsia="宋体" w:cs="宋体"/>
          <w:color w:val="auto"/>
          <w:sz w:val="24"/>
          <w:szCs w:val="24"/>
          <w:highlight w:val="none"/>
        </w:rPr>
      </w:pPr>
      <w:bookmarkStart w:id="48" w:name="_Toc35393794"/>
      <w:bookmarkStart w:id="49" w:name="_Toc35393625"/>
      <w:bookmarkStart w:id="50" w:name="_Toc28359007"/>
      <w:bookmarkStart w:id="51" w:name="_Toc28359084"/>
      <w:r>
        <w:rPr>
          <w:rFonts w:hint="eastAsia" w:ascii="宋体" w:hAnsi="宋体" w:eastAsia="宋体" w:cs="宋体"/>
          <w:color w:val="auto"/>
          <w:sz w:val="24"/>
          <w:szCs w:val="24"/>
          <w:highlight w:val="none"/>
        </w:rPr>
        <w:t>五、公告期限</w:t>
      </w:r>
      <w:bookmarkEnd w:id="48"/>
      <w:bookmarkEnd w:id="49"/>
      <w:bookmarkEnd w:id="50"/>
      <w:bookmarkEnd w:id="51"/>
    </w:p>
    <w:p>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自本公告发布之日起5个工作日。 </w:t>
      </w:r>
    </w:p>
    <w:p>
      <w:pPr>
        <w:pStyle w:val="4"/>
        <w:spacing w:before="0" w:line="360" w:lineRule="auto"/>
        <w:jc w:val="left"/>
        <w:rPr>
          <w:rFonts w:hint="eastAsia" w:ascii="宋体" w:hAnsi="宋体" w:eastAsia="宋体" w:cs="宋体"/>
          <w:color w:val="auto"/>
          <w:sz w:val="24"/>
          <w:szCs w:val="24"/>
          <w:highlight w:val="none"/>
        </w:rPr>
      </w:pPr>
      <w:bookmarkStart w:id="52" w:name="_Toc35393795"/>
      <w:bookmarkStart w:id="53" w:name="_Toc35393626"/>
      <w:r>
        <w:rPr>
          <w:rFonts w:hint="eastAsia" w:ascii="宋体" w:hAnsi="宋体" w:eastAsia="宋体" w:cs="宋体"/>
          <w:color w:val="auto"/>
          <w:sz w:val="24"/>
          <w:szCs w:val="24"/>
          <w:highlight w:val="none"/>
        </w:rPr>
        <w:t>六、其他补充事宜</w:t>
      </w:r>
      <w:bookmarkEnd w:id="52"/>
      <w:bookmarkEnd w:id="53"/>
    </w:p>
    <w:p>
      <w:pPr>
        <w:pStyle w:val="26"/>
        <w:spacing w:line="360" w:lineRule="auto"/>
        <w:ind w:left="0" w:leftChars="0" w:firstLine="0" w:firstLineChars="0"/>
        <w:rPr>
          <w:rFonts w:hint="eastAsia" w:ascii="宋体" w:hAnsi="宋体" w:eastAsia="宋体" w:cs="宋体"/>
          <w:color w:val="auto"/>
          <w:highlight w:val="none"/>
        </w:rPr>
      </w:pPr>
      <w:bookmarkStart w:id="54" w:name="_Toc28359085"/>
      <w:bookmarkStart w:id="55" w:name="_Toc35393627"/>
      <w:bookmarkStart w:id="56" w:name="_Toc28359008"/>
      <w:bookmarkStart w:id="57" w:name="_Toc35393796"/>
      <w:r>
        <w:rPr>
          <w:rFonts w:hint="eastAsia" w:ascii="宋体" w:hAnsi="宋体" w:eastAsia="宋体" w:cs="宋体"/>
          <w:color w:val="auto"/>
          <w:highlight w:val="none"/>
        </w:rPr>
        <w:t>1.本项目需要落实的政府采购政策：</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1)《政府采购促进中小企业发展管理办法》-财库﹝2020﹞46号；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2)《北京市人民政府关于进一步支持小型微型企业发展的意见》-京政发〔2012〕40号；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3)《财政部司法部关于政府采购支持监狱企业发展有关问题的通知》-财库〔2014〕68号；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4）《关于促进残疾人就业政府采购政策的通知》-财库〔2017〕141号；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5）《国务院办公厅关于建立政府强制采购节能产品制度的通知》-国办发〔2007〕51号；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6）《环境标志产品政府采购实施的意见》-财库[2006]90号；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7）《关于调整优化节能产品、环境标志产品政府采购执行机制的通知》-财库〔2019〕9号；</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8) 《北京市财政局关于持续深化政府采购营商环境改革的通知》（京财采购【2022】672号）等；</w:t>
      </w:r>
    </w:p>
    <w:p>
      <w:pPr>
        <w:pStyle w:val="26"/>
        <w:spacing w:line="360" w:lineRule="auto"/>
        <w:ind w:left="0" w:leftChars="0"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9）《关于进一步加大政府采购支持中小企业力度的通知》（财库〔2022〕19号）；</w:t>
      </w:r>
    </w:p>
    <w:p>
      <w:pPr>
        <w:pStyle w:val="4"/>
        <w:spacing w:before="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七、对本次招标提出询问，请按以下方式联系。</w:t>
      </w:r>
      <w:bookmarkEnd w:id="54"/>
      <w:bookmarkEnd w:id="55"/>
      <w:bookmarkEnd w:id="56"/>
      <w:bookmarkEnd w:id="57"/>
    </w:p>
    <w:p>
      <w:pPr>
        <w:widowControl/>
        <w:spacing w:line="360" w:lineRule="auto"/>
        <w:jc w:val="left"/>
        <w:rPr>
          <w:rFonts w:hint="eastAsia" w:ascii="宋体" w:hAnsi="宋体" w:eastAsia="宋体" w:cs="宋体"/>
          <w:b/>
          <w:color w:val="auto"/>
          <w:sz w:val="24"/>
          <w:highlight w:val="none"/>
        </w:rPr>
      </w:pPr>
      <w:r>
        <w:rPr>
          <w:rFonts w:hint="eastAsia" w:ascii="宋体" w:hAnsi="宋体" w:eastAsia="宋体" w:cs="宋体"/>
          <w:color w:val="auto"/>
          <w:sz w:val="24"/>
          <w:highlight w:val="none"/>
        </w:rPr>
        <w:t>　　　</w:t>
      </w:r>
      <w:r>
        <w:rPr>
          <w:rFonts w:hint="eastAsia" w:ascii="宋体" w:hAnsi="宋体" w:eastAsia="宋体" w:cs="宋体"/>
          <w:b/>
          <w:color w:val="auto"/>
          <w:sz w:val="24"/>
          <w:highlight w:val="none"/>
        </w:rPr>
        <w:t>1.采购人信息</w:t>
      </w:r>
    </w:p>
    <w:p>
      <w:pPr>
        <w:spacing w:line="360" w:lineRule="auto"/>
        <w:ind w:left="479" w:leftChars="228" w:firstLine="180" w:firstLineChars="75"/>
        <w:jc w:val="left"/>
        <w:rPr>
          <w:rFonts w:hint="eastAsia" w:ascii="宋体" w:hAnsi="宋体" w:eastAsia="宋体" w:cs="宋体"/>
          <w:color w:val="auto"/>
          <w:sz w:val="24"/>
          <w:highlight w:val="none"/>
          <w:u w:val="single"/>
        </w:rPr>
      </w:pPr>
      <w:bookmarkStart w:id="58" w:name="_Toc28359086"/>
      <w:bookmarkStart w:id="59" w:name="_Toc28359009"/>
      <w:r>
        <w:rPr>
          <w:rFonts w:hint="eastAsia" w:ascii="宋体" w:hAnsi="宋体" w:eastAsia="宋体" w:cs="宋体"/>
          <w:color w:val="auto"/>
          <w:sz w:val="24"/>
          <w:highlight w:val="none"/>
        </w:rPr>
        <w:t>名    称：北京经济技术开发区社会保险保障中心</w:t>
      </w:r>
    </w:p>
    <w:p>
      <w:pPr>
        <w:spacing w:line="360" w:lineRule="auto"/>
        <w:ind w:left="479" w:leftChars="228" w:firstLine="180" w:firstLineChars="75"/>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地    址：</w:t>
      </w:r>
      <w:r>
        <w:rPr>
          <w:rFonts w:hint="eastAsia" w:ascii="宋体" w:hAnsi="宋体" w:eastAsia="宋体" w:cs="宋体"/>
          <w:color w:val="auto"/>
          <w:kern w:val="2"/>
          <w:sz w:val="24"/>
          <w:szCs w:val="24"/>
          <w:highlight w:val="none"/>
          <w:lang w:val="en-US" w:eastAsia="zh-CN" w:bidi="ar"/>
        </w:rPr>
        <w:t>北京经济技术开发区万源街4号政务服务中心5层</w:t>
      </w:r>
    </w:p>
    <w:p>
      <w:pPr>
        <w:spacing w:line="360" w:lineRule="auto"/>
        <w:ind w:left="479" w:leftChars="228" w:firstLine="180" w:firstLineChars="75"/>
        <w:jc w:val="left"/>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联系方式：张伊宁</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bidi="ar"/>
        </w:rPr>
        <w:t>010-</w:t>
      </w:r>
      <w:r>
        <w:rPr>
          <w:rFonts w:hint="eastAsia" w:ascii="宋体" w:hAnsi="宋体" w:eastAsia="宋体" w:cs="宋体"/>
          <w:color w:val="auto"/>
          <w:kern w:val="2"/>
          <w:sz w:val="24"/>
          <w:szCs w:val="24"/>
          <w:highlight w:val="none"/>
          <w:lang w:val="en-US" w:eastAsia="zh-CN" w:bidi="ar"/>
        </w:rPr>
        <w:t>87026871</w:t>
      </w:r>
    </w:p>
    <w:p>
      <w:pPr>
        <w:spacing w:line="360" w:lineRule="auto"/>
        <w:ind w:left="479" w:leftChars="228" w:firstLine="181" w:firstLineChars="75"/>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2.采购代理机构信息</w:t>
      </w:r>
      <w:bookmarkEnd w:id="58"/>
      <w:bookmarkEnd w:id="59"/>
    </w:p>
    <w:p>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名 称:中承国汇咨询（北京）有限公司</w:t>
      </w:r>
    </w:p>
    <w:p>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kern w:val="2"/>
          <w:sz w:val="24"/>
          <w:szCs w:val="24"/>
          <w:highlight w:val="none"/>
          <w:lang w:val="en-US" w:eastAsia="zh-CN" w:bidi="ar"/>
        </w:rPr>
        <w:t>北京市北京经济技术开发区万源街22号天宇大厦B座4层</w:t>
      </w:r>
    </w:p>
    <w:p>
      <w:pPr>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 </w:t>
      </w:r>
      <w:r>
        <w:rPr>
          <w:rFonts w:hint="eastAsia" w:ascii="宋体" w:hAnsi="宋体" w:cs="宋体"/>
          <w:color w:val="auto"/>
          <w:sz w:val="24"/>
          <w:highlight w:val="none"/>
          <w:lang w:eastAsia="zh-CN"/>
        </w:rPr>
        <w:t>刘兴龙</w:t>
      </w:r>
      <w:r>
        <w:rPr>
          <w:rFonts w:hint="eastAsia" w:ascii="宋体" w:hAnsi="宋体" w:eastAsia="宋体" w:cs="宋体"/>
          <w:color w:val="auto"/>
          <w:sz w:val="24"/>
          <w:highlight w:val="none"/>
        </w:rPr>
        <w:t>，</w:t>
      </w:r>
      <w:r>
        <w:rPr>
          <w:rFonts w:hint="eastAsia" w:ascii="宋体" w:hAnsi="宋体" w:eastAsia="宋体" w:cs="宋体"/>
          <w:color w:val="auto"/>
          <w:kern w:val="2"/>
          <w:sz w:val="24"/>
          <w:szCs w:val="24"/>
          <w:highlight w:val="none"/>
          <w:lang w:val="en-US" w:eastAsia="zh-CN" w:bidi="ar"/>
        </w:rPr>
        <w:t>010-53383779</w:t>
      </w:r>
    </w:p>
    <w:p>
      <w:pPr>
        <w:spacing w:line="360" w:lineRule="auto"/>
        <w:ind w:firstLine="723" w:firstLineChars="300"/>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3.项目联系方式</w:t>
      </w:r>
    </w:p>
    <w:p>
      <w:pPr>
        <w:pStyle w:val="23"/>
        <w:spacing w:line="360" w:lineRule="auto"/>
        <w:ind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项目联系人:</w:t>
      </w:r>
      <w:r>
        <w:rPr>
          <w:rFonts w:hint="eastAsia" w:ascii="宋体" w:hAnsi="宋体" w:cs="宋体"/>
          <w:color w:val="auto"/>
          <w:sz w:val="24"/>
          <w:highlight w:val="none"/>
          <w:lang w:eastAsia="zh-CN"/>
        </w:rPr>
        <w:t>刘兴龙</w:t>
      </w:r>
    </w:p>
    <w:p>
      <w:pPr>
        <w:pStyle w:val="23"/>
        <w:spacing w:line="360" w:lineRule="auto"/>
        <w:ind w:firstLine="720" w:firstLineChars="300"/>
        <w:rPr>
          <w:rFonts w:hint="default" w:hAnsi="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kern w:val="2"/>
          <w:sz w:val="24"/>
          <w:szCs w:val="24"/>
          <w:highlight w:val="none"/>
          <w:lang w:val="en-US" w:eastAsia="zh-CN" w:bidi="ar"/>
        </w:rPr>
        <w:t>010-53383779</w:t>
      </w:r>
      <w:r>
        <w:rPr>
          <w:rFonts w:hint="default" w:hAnsi="宋体"/>
          <w:color w:val="auto"/>
          <w:sz w:val="24"/>
          <w:szCs w:val="24"/>
          <w:highlight w:val="none"/>
        </w:rPr>
        <w:br w:type="page"/>
      </w:r>
    </w:p>
    <w:p>
      <w:pPr>
        <w:pStyle w:val="3"/>
        <w:spacing w:before="0" w:line="360" w:lineRule="auto"/>
        <w:rPr>
          <w:rFonts w:hAnsi="宋体"/>
          <w:color w:val="auto"/>
          <w:sz w:val="36"/>
          <w:szCs w:val="36"/>
          <w:highlight w:val="none"/>
        </w:rPr>
      </w:pPr>
      <w:bookmarkStart w:id="60" w:name="_Toc5366"/>
      <w:r>
        <w:rPr>
          <w:rFonts w:hint="eastAsia" w:hAnsi="宋体"/>
          <w:color w:val="auto"/>
          <w:sz w:val="36"/>
          <w:szCs w:val="36"/>
          <w:highlight w:val="none"/>
        </w:rPr>
        <w:t>第二章   投标人须知</w:t>
      </w:r>
      <w:bookmarkEnd w:id="60"/>
    </w:p>
    <w:p>
      <w:pPr>
        <w:pStyle w:val="4"/>
        <w:tabs>
          <w:tab w:val="center" w:pos="4592"/>
          <w:tab w:val="left" w:pos="7860"/>
        </w:tabs>
        <w:spacing w:before="0" w:line="360" w:lineRule="auto"/>
        <w:rPr>
          <w:rFonts w:ascii="宋体" w:hAnsi="宋体" w:eastAsia="宋体"/>
          <w:color w:val="auto"/>
          <w:sz w:val="28"/>
          <w:highlight w:val="none"/>
        </w:rPr>
      </w:pPr>
      <w:r>
        <w:rPr>
          <w:rFonts w:hint="eastAsia" w:ascii="宋体" w:hAnsi="宋体" w:eastAsia="宋体"/>
          <w:color w:val="auto"/>
          <w:sz w:val="28"/>
          <w:highlight w:val="none"/>
        </w:rPr>
        <w:t>投标人须知资料表</w:t>
      </w:r>
    </w:p>
    <w:p>
      <w:pPr>
        <w:spacing w:line="360" w:lineRule="auto"/>
        <w:ind w:firstLine="480"/>
        <w:rPr>
          <w:rFonts w:ascii="宋体" w:hAnsi="宋体"/>
          <w:color w:val="auto"/>
          <w:sz w:val="24"/>
          <w:highlight w:val="none"/>
        </w:rPr>
      </w:pPr>
      <w:r>
        <w:rPr>
          <w:rFonts w:hint="eastAsia" w:ascii="宋体" w:hAnsi="宋体"/>
          <w:color w:val="auto"/>
          <w:sz w:val="24"/>
          <w:highlight w:val="none"/>
        </w:rPr>
        <w:t>本表是对投标人须知的具体补充和修改，如有矛盾，均以本资料表为准。标记“</w:t>
      </w:r>
      <w:r>
        <w:rPr>
          <w:rFonts w:hint="eastAsia" w:ascii="宋体" w:hAnsi="宋体"/>
          <w:b/>
          <w:color w:val="auto"/>
          <w:sz w:val="24"/>
          <w:highlight w:val="none"/>
        </w:rPr>
        <w:t>■</w:t>
      </w:r>
      <w:r>
        <w:rPr>
          <w:rFonts w:hint="eastAsia" w:ascii="宋体" w:hAnsi="宋体"/>
          <w:color w:val="auto"/>
          <w:sz w:val="24"/>
          <w:highlight w:val="none"/>
        </w:rPr>
        <w:t>”的选项意为适用于本项目，标记“□”的选项意为不适用于本项目。</w:t>
      </w:r>
    </w:p>
    <w:tbl>
      <w:tblPr>
        <w:tblStyle w:val="45"/>
        <w:tblW w:w="10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701"/>
        <w:gridCol w:w="7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98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auto"/>
                <w:sz w:val="24"/>
                <w:highlight w:val="none"/>
              </w:rPr>
            </w:pPr>
            <w:r>
              <w:rPr>
                <w:rFonts w:hint="eastAsia" w:ascii="宋体" w:hAnsi="宋体"/>
                <w:b/>
                <w:color w:val="auto"/>
                <w:sz w:val="24"/>
                <w:highlight w:val="none"/>
              </w:rPr>
              <w:t>条款号</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auto"/>
                <w:sz w:val="24"/>
                <w:highlight w:val="none"/>
              </w:rPr>
            </w:pPr>
            <w:r>
              <w:rPr>
                <w:rFonts w:hint="eastAsia" w:ascii="宋体" w:hAnsi="宋体"/>
                <w:b/>
                <w:bCs/>
                <w:color w:val="auto"/>
                <w:sz w:val="24"/>
                <w:highlight w:val="none"/>
              </w:rPr>
              <w:t>条目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b/>
                <w:bCs/>
                <w:color w:val="auto"/>
                <w:sz w:val="24"/>
                <w:highlight w:val="none"/>
              </w:rPr>
            </w:pPr>
            <w:r>
              <w:rPr>
                <w:rFonts w:hint="eastAsia" w:ascii="宋体" w:hAnsi="宋体"/>
                <w:b/>
                <w:bCs/>
                <w:color w:val="auto"/>
                <w:sz w:val="24"/>
                <w:highlight w:val="none"/>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项目属性</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项目属性：服务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科研仪器设备</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是否属于科研仪器设备采购项目：否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restart"/>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现场考察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不组织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开标前答疑会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4.1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样品</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投标样品递交：</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b/>
                <w:color w:val="auto"/>
                <w:sz w:val="24"/>
                <w:highlight w:val="none"/>
              </w:rPr>
              <w:t>■</w:t>
            </w:r>
            <w:r>
              <w:rPr>
                <w:rFonts w:hint="eastAsia" w:ascii="宋体" w:hAnsi="宋体"/>
                <w:color w:val="auto"/>
                <w:sz w:val="24"/>
                <w:highlight w:val="none"/>
              </w:rPr>
              <w:t>不需要</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□需要，具体要求如下：</w:t>
            </w:r>
          </w:p>
          <w:p>
            <w:pPr>
              <w:keepNext w:val="0"/>
              <w:keepLines w:val="0"/>
              <w:suppressLineNumbers w:val="0"/>
              <w:spacing w:before="0" w:beforeAutospacing="0" w:after="0" w:afterAutospacing="0"/>
              <w:ind w:left="0" w:right="0"/>
              <w:jc w:val="left"/>
              <w:rPr>
                <w:rFonts w:hint="default" w:ascii="宋体" w:hAnsi="宋体"/>
                <w:color w:val="auto"/>
                <w:sz w:val="24"/>
                <w:highlight w:val="none"/>
                <w:u w:val="single"/>
              </w:rPr>
            </w:pPr>
            <w:r>
              <w:rPr>
                <w:rFonts w:hint="eastAsia" w:ascii="宋体" w:hAnsi="宋体"/>
                <w:color w:val="auto"/>
                <w:sz w:val="24"/>
                <w:highlight w:val="none"/>
              </w:rPr>
              <w:t>（1）样品制作的标准和要求：_________；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（2）是否需要随样品提交相关检测报告：</w:t>
            </w:r>
          </w:p>
          <w:p>
            <w:pPr>
              <w:keepNext w:val="0"/>
              <w:keepLines w:val="0"/>
              <w:suppressLineNumbers w:val="0"/>
              <w:spacing w:before="0" w:beforeAutospacing="0" w:after="0" w:afterAutospacing="0"/>
              <w:ind w:left="0" w:right="0" w:firstLine="600" w:firstLineChars="250"/>
              <w:jc w:val="left"/>
              <w:rPr>
                <w:rFonts w:hint="default" w:ascii="宋体" w:hAnsi="宋体"/>
                <w:color w:val="auto"/>
                <w:sz w:val="24"/>
                <w:highlight w:val="none"/>
              </w:rPr>
            </w:pPr>
            <w:r>
              <w:rPr>
                <w:rFonts w:hint="eastAsia" w:ascii="宋体" w:hAnsi="宋体"/>
                <w:color w:val="auto"/>
                <w:sz w:val="24"/>
                <w:highlight w:val="none"/>
              </w:rPr>
              <w:t>□不需要</w:t>
            </w:r>
          </w:p>
          <w:p>
            <w:pPr>
              <w:keepNext w:val="0"/>
              <w:keepLines w:val="0"/>
              <w:suppressLineNumbers w:val="0"/>
              <w:spacing w:before="0" w:beforeAutospacing="0" w:after="0" w:afterAutospacing="0"/>
              <w:ind w:left="0" w:right="0" w:firstLine="600" w:firstLineChars="250"/>
              <w:jc w:val="left"/>
              <w:rPr>
                <w:rFonts w:hint="default" w:ascii="宋体" w:hAnsi="宋体"/>
                <w:color w:val="auto"/>
                <w:sz w:val="24"/>
                <w:highlight w:val="none"/>
              </w:rPr>
            </w:pPr>
            <w:r>
              <w:rPr>
                <w:rFonts w:hint="eastAsia" w:ascii="宋体" w:hAnsi="宋体"/>
                <w:color w:val="auto"/>
                <w:sz w:val="24"/>
                <w:highlight w:val="none"/>
              </w:rPr>
              <w:t>□需要</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（3）样品递交要求：_________；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（4）未中标人样品退还：_________；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u w:val="single"/>
              </w:rPr>
            </w:pPr>
            <w:r>
              <w:rPr>
                <w:rFonts w:hint="eastAsia" w:ascii="宋体" w:hAnsi="宋体"/>
                <w:color w:val="auto"/>
                <w:sz w:val="24"/>
                <w:highlight w:val="none"/>
              </w:rPr>
              <w:t>（5）中标人样品保管、封存及退还：_________；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（6）其他要求（如有）：_________。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5.2.5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标的所属行业</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本项目采购标的对应的中小企业划分标准所属行业：</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0"/>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lang w:eastAsia="zh-CN"/>
                    </w:rPr>
                    <w:t>（第</w:t>
                  </w:r>
                  <w:r>
                    <w:rPr>
                      <w:rFonts w:hint="eastAsia" w:ascii="宋体" w:hAnsi="宋体"/>
                      <w:color w:val="auto"/>
                      <w:sz w:val="24"/>
                      <w:highlight w:val="none"/>
                      <w:lang w:val="en-US" w:eastAsia="zh-CN"/>
                    </w:rPr>
                    <w:t>3包）</w:t>
                  </w:r>
                  <w:r>
                    <w:rPr>
                      <w:rFonts w:hint="eastAsia" w:ascii="宋体" w:hAnsi="宋体"/>
                      <w:color w:val="auto"/>
                      <w:sz w:val="24"/>
                      <w:highlight w:val="none"/>
                    </w:rPr>
                    <w:t>标的名称</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中小企业划分标准所属行业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default" w:ascii="宋体" w:hAnsi="宋体"/>
                      <w:color w:val="auto"/>
                      <w:sz w:val="24"/>
                      <w:highlight w:val="none"/>
                    </w:rPr>
                    <w:t>公益活动服务</w:t>
                  </w:r>
                </w:p>
              </w:tc>
              <w:tc>
                <w:tcPr>
                  <w:tcW w:w="3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color w:val="auto"/>
                      <w:sz w:val="24"/>
                      <w:highlight w:val="none"/>
                    </w:rPr>
                    <w:t>其他未列明行业</w:t>
                  </w:r>
                </w:p>
              </w:tc>
            </w:tr>
          </w:tbl>
          <w:p>
            <w:pPr>
              <w:keepNext w:val="0"/>
              <w:keepLines w:val="0"/>
              <w:suppressLineNumbers w:val="0"/>
              <w:spacing w:before="0" w:beforeAutospacing="0" w:after="0" w:afterAutospacing="0"/>
              <w:ind w:left="0" w:right="0"/>
              <w:jc w:val="left"/>
              <w:rPr>
                <w:rFonts w:hint="default" w:ascii="宋体" w:hAnsi="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11.2</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投标报价</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投标报价的特殊规定：</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■无</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□有，具体情形：</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12.1</w:t>
            </w:r>
          </w:p>
        </w:tc>
        <w:tc>
          <w:tcPr>
            <w:tcW w:w="170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投标保证金</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ascii="Times New Roman" w:hAnsi="Times New Roman"/>
                <w:color w:val="auto"/>
                <w:sz w:val="24"/>
                <w:szCs w:val="24"/>
                <w:highlight w:val="none"/>
              </w:rPr>
            </w:pPr>
            <w:r>
              <w:rPr>
                <w:rFonts w:hint="eastAsia" w:ascii="宋体" w:hAnsi="宋体"/>
                <w:color w:val="auto"/>
                <w:sz w:val="24"/>
                <w:highlight w:val="none"/>
                <w:lang w:eastAsia="zh-CN"/>
              </w:rPr>
              <w:t>第</w:t>
            </w:r>
            <w:r>
              <w:rPr>
                <w:rFonts w:hint="eastAsia" w:hAnsi="宋体"/>
                <w:color w:val="auto"/>
                <w:sz w:val="24"/>
                <w:highlight w:val="none"/>
                <w:lang w:val="en-US" w:eastAsia="zh-CN"/>
              </w:rPr>
              <w:t>3</w:t>
            </w:r>
            <w:r>
              <w:rPr>
                <w:rFonts w:hint="eastAsia" w:ascii="宋体" w:hAnsi="宋体"/>
                <w:color w:val="auto"/>
                <w:sz w:val="24"/>
                <w:highlight w:val="none"/>
                <w:lang w:val="en-US" w:eastAsia="zh-CN"/>
              </w:rPr>
              <w:t>包</w:t>
            </w:r>
            <w:r>
              <w:rPr>
                <w:rFonts w:ascii="Times New Roman" w:hAnsi="Times New Roman"/>
                <w:color w:val="auto"/>
                <w:sz w:val="24"/>
                <w:szCs w:val="24"/>
                <w:highlight w:val="none"/>
              </w:rPr>
              <w:t>投标保证金金额：</w:t>
            </w:r>
            <w:r>
              <w:rPr>
                <w:rFonts w:ascii="Times New Roman" w:hAnsi="Times New Roman"/>
                <w:color w:val="auto"/>
                <w:sz w:val="24"/>
                <w:szCs w:val="24"/>
                <w:highlight w:val="none"/>
                <w:u w:val="single"/>
              </w:rPr>
              <w:t>人</w:t>
            </w:r>
            <w:r>
              <w:rPr>
                <w:rFonts w:ascii="Times New Roman" w:hAnsi="Times New Roman"/>
                <w:color w:val="auto"/>
                <w:sz w:val="24"/>
                <w:highlight w:val="none"/>
                <w:u w:val="single"/>
              </w:rPr>
              <w:t>民币</w:t>
            </w:r>
            <w:r>
              <w:rPr>
                <w:rFonts w:hint="eastAsia" w:ascii="Times New Roman" w:hAnsi="Times New Roman"/>
                <w:color w:val="auto"/>
                <w:sz w:val="24"/>
                <w:highlight w:val="none"/>
                <w:u w:val="single"/>
                <w:lang w:val="en-US" w:eastAsia="zh-CN"/>
              </w:rPr>
              <w:t>/</w:t>
            </w:r>
            <w:r>
              <w:rPr>
                <w:rFonts w:ascii="Times New Roman" w:hAnsi="Times New Roman"/>
                <w:color w:val="auto"/>
                <w:sz w:val="24"/>
                <w:highlight w:val="none"/>
                <w:u w:val="single"/>
              </w:rPr>
              <w:t>元</w:t>
            </w:r>
            <w:r>
              <w:rPr>
                <w:rFonts w:ascii="Times New Roman" w:hAnsi="Times New Roman"/>
                <w:color w:val="auto"/>
                <w:sz w:val="24"/>
                <w:szCs w:val="24"/>
                <w:highlight w:val="none"/>
              </w:rPr>
              <w:t>。</w:t>
            </w:r>
            <w:r>
              <w:rPr>
                <w:rFonts w:hint="eastAsia" w:ascii="Times New Roman" w:hAnsi="Times New Roman"/>
                <w:b/>
                <w:bCs/>
                <w:color w:val="auto"/>
                <w:sz w:val="24"/>
                <w:szCs w:val="24"/>
                <w:highlight w:val="none"/>
                <w:lang w:eastAsia="zh-CN"/>
              </w:rPr>
              <w:t>（本项目不收取投标保证金）</w:t>
            </w:r>
          </w:p>
          <w:p>
            <w:pPr>
              <w:pStyle w:val="23"/>
              <w:keepNext w:val="0"/>
              <w:keepLines w:val="0"/>
              <w:suppressLineNumbers w:val="0"/>
              <w:adjustRightInd w:val="0"/>
              <w:snapToGrid w:val="0"/>
              <w:spacing w:before="0" w:beforeAutospacing="0" w:after="0" w:afterAutospacing="0"/>
              <w:ind w:left="0" w:right="0"/>
              <w:rPr>
                <w:rFonts w:hint="default" w:ascii="Times New Roman" w:hAnsi="Times New Roman"/>
                <w:color w:val="auto"/>
                <w:sz w:val="24"/>
                <w:szCs w:val="24"/>
                <w:highlight w:val="none"/>
              </w:rPr>
            </w:pPr>
            <w:r>
              <w:rPr>
                <w:rFonts w:hint="default" w:ascii="Times New Roman" w:hAnsi="Times New Roman"/>
                <w:color w:val="auto"/>
                <w:sz w:val="24"/>
                <w:szCs w:val="24"/>
                <w:highlight w:val="none"/>
              </w:rPr>
              <w:t>投标保证金只能采用以下形式:支票(北京地区投标人)、汇款、投标担保函原件。其他形式均不予接受。</w:t>
            </w:r>
            <w:r>
              <w:rPr>
                <w:rFonts w:hint="default" w:ascii="Times New Roman" w:hAnsi="Times New Roman"/>
                <w:b/>
                <w:bCs/>
                <w:color w:val="auto"/>
                <w:sz w:val="24"/>
                <w:szCs w:val="24"/>
                <w:highlight w:val="none"/>
              </w:rPr>
              <w:t>(投标保证金应当从投标人的基本账户转出，任何从个人账户转出的投标保证金视同无效)</w:t>
            </w:r>
          </w:p>
          <w:p>
            <w:pPr>
              <w:keepNext w:val="0"/>
              <w:keepLines w:val="0"/>
              <w:numPr>
                <w:ilvl w:val="0"/>
                <w:numId w:val="0"/>
              </w:numPr>
              <w:suppressLineNumbers w:val="0"/>
              <w:spacing w:before="0" w:beforeAutospacing="0" w:after="0" w:afterAutospacing="0"/>
              <w:ind w:left="0" w:right="0"/>
              <w:jc w:val="left"/>
              <w:rPr>
                <w:rFonts w:hint="eastAsia"/>
                <w:color w:val="auto"/>
                <w:sz w:val="24"/>
                <w:highlight w:val="none"/>
                <w:lang w:eastAsia="zh-CN"/>
              </w:rPr>
            </w:pPr>
            <w:r>
              <w:rPr>
                <w:rFonts w:hint="eastAsia" w:ascii="宋体" w:hAnsi="宋体" w:eastAsia="宋体" w:cs="宋体"/>
                <w:color w:val="auto"/>
                <w:kern w:val="2"/>
                <w:sz w:val="24"/>
                <w:szCs w:val="24"/>
                <w:highlight w:val="none"/>
                <w:lang w:val="en-US" w:eastAsia="zh-CN" w:bidi="ar-SA"/>
              </w:rPr>
              <w:t>1</w:t>
            </w:r>
            <w:r>
              <w:rPr>
                <w:rFonts w:hint="eastAsia"/>
                <w:color w:val="auto"/>
                <w:highlight w:val="none"/>
                <w:lang w:val="en-US" w:eastAsia="zh-CN"/>
              </w:rPr>
              <w:t>）</w:t>
            </w:r>
            <w:r>
              <w:rPr>
                <w:rFonts w:hint="eastAsia"/>
                <w:color w:val="auto"/>
                <w:sz w:val="24"/>
                <w:highlight w:val="none"/>
              </w:rPr>
              <w:t>支票(支票抬头:中承国汇咨询(北京)有限公司或留空)</w:t>
            </w:r>
            <w:r>
              <w:rPr>
                <w:rFonts w:hint="eastAsia"/>
                <w:color w:val="auto"/>
                <w:sz w:val="24"/>
                <w:highlight w:val="none"/>
                <w:lang w:eastAsia="zh-CN"/>
              </w:rPr>
              <w:t>；</w:t>
            </w:r>
          </w:p>
          <w:p>
            <w:pPr>
              <w:pStyle w:val="26"/>
              <w:keepNext w:val="0"/>
              <w:keepLines w:val="0"/>
              <w:numPr>
                <w:ilvl w:val="0"/>
                <w:numId w:val="0"/>
              </w:numPr>
              <w:suppressLineNumbers w:val="0"/>
              <w:spacing w:before="0" w:beforeAutospacing="0" w:after="0" w:afterAutospacing="0"/>
              <w:ind w:left="0" w:right="0"/>
              <w:rPr>
                <w:rFonts w:hint="default"/>
                <w:color w:val="auto"/>
                <w:highlight w:val="none"/>
                <w:lang w:val="en-US" w:eastAsia="zh-CN"/>
              </w:rPr>
            </w:pPr>
            <w:r>
              <w:rPr>
                <w:rFonts w:hint="eastAsia"/>
                <w:color w:val="auto"/>
                <w:highlight w:val="none"/>
                <w:lang w:val="en-US" w:eastAsia="zh-CN"/>
              </w:rPr>
              <w:t>2）</w:t>
            </w:r>
            <w:r>
              <w:rPr>
                <w:rFonts w:hint="eastAsia" w:ascii="宋体" w:hAnsi="宋体" w:eastAsia="宋体" w:cs="宋体"/>
                <w:color w:val="auto"/>
                <w:highlight w:val="none"/>
                <w:lang w:val="en-US" w:eastAsia="zh-CN"/>
              </w:rPr>
              <w:t>汇款(以汇款形式提交投标保证金的，投标人须确保款项按招标文件要求时间到账，否则按未提交投标保证金处理)；</w:t>
            </w:r>
          </w:p>
          <w:p>
            <w:pPr>
              <w:keepNext w:val="0"/>
              <w:keepLines w:val="0"/>
              <w:suppressLineNumbers w:val="0"/>
              <w:spacing w:before="0" w:beforeAutospacing="0" w:after="0" w:afterAutospacing="0"/>
              <w:ind w:left="0" w:right="0"/>
              <w:jc w:val="left"/>
              <w:rPr>
                <w:rFonts w:hint="eastAsia"/>
                <w:color w:val="auto"/>
                <w:sz w:val="24"/>
                <w:highlight w:val="none"/>
              </w:rPr>
            </w:pPr>
            <w:r>
              <w:rPr>
                <w:rFonts w:hint="eastAsia"/>
                <w:color w:val="auto"/>
                <w:sz w:val="24"/>
                <w:highlight w:val="none"/>
              </w:rPr>
              <w:t>账户名称:中承国汇咨询(北京)有限公司</w:t>
            </w:r>
          </w:p>
          <w:p>
            <w:pPr>
              <w:keepNext w:val="0"/>
              <w:keepLines w:val="0"/>
              <w:suppressLineNumbers w:val="0"/>
              <w:spacing w:before="0" w:beforeAutospacing="0" w:after="0" w:afterAutospacing="0"/>
              <w:ind w:left="0" w:right="0"/>
              <w:jc w:val="left"/>
              <w:rPr>
                <w:rFonts w:hint="eastAsia"/>
                <w:color w:val="auto"/>
                <w:sz w:val="24"/>
                <w:highlight w:val="none"/>
              </w:rPr>
            </w:pPr>
            <w:r>
              <w:rPr>
                <w:rFonts w:hint="eastAsia"/>
                <w:color w:val="auto"/>
                <w:sz w:val="24"/>
                <w:highlight w:val="none"/>
              </w:rPr>
              <w:t>开户银行:中国银行北京天华支行</w:t>
            </w:r>
          </w:p>
          <w:p>
            <w:pPr>
              <w:keepNext w:val="0"/>
              <w:keepLines w:val="0"/>
              <w:suppressLineNumbers w:val="0"/>
              <w:spacing w:before="0" w:beforeAutospacing="0" w:after="0" w:afterAutospacing="0"/>
              <w:ind w:left="0" w:right="0"/>
              <w:jc w:val="left"/>
              <w:rPr>
                <w:rFonts w:hint="eastAsia" w:eastAsia="宋体"/>
                <w:color w:val="auto"/>
                <w:sz w:val="24"/>
                <w:highlight w:val="none"/>
                <w:lang w:eastAsia="zh-CN"/>
              </w:rPr>
            </w:pPr>
            <w:r>
              <w:rPr>
                <w:rFonts w:hint="eastAsia"/>
                <w:color w:val="auto"/>
                <w:sz w:val="24"/>
                <w:highlight w:val="none"/>
              </w:rPr>
              <w:t>账    号:318171209463</w:t>
            </w:r>
            <w:r>
              <w:rPr>
                <w:rFonts w:hint="eastAsia"/>
                <w:b/>
                <w:bCs/>
                <w:color w:val="auto"/>
                <w:sz w:val="24"/>
                <w:highlight w:val="none"/>
                <w:lang w:eastAsia="zh-CN"/>
              </w:rPr>
              <w:t>（</w:t>
            </w:r>
            <w:r>
              <w:rPr>
                <w:rFonts w:hint="eastAsia"/>
                <w:b/>
                <w:bCs/>
                <w:color w:val="auto"/>
                <w:sz w:val="24"/>
                <w:highlight w:val="none"/>
              </w:rPr>
              <w:t>仅作为递交投标保证金使用</w:t>
            </w:r>
            <w:r>
              <w:rPr>
                <w:rFonts w:hint="eastAsia"/>
                <w:b/>
                <w:bCs/>
                <w:color w:val="auto"/>
                <w:sz w:val="24"/>
                <w:highlight w:val="none"/>
                <w:lang w:eastAsia="zh-CN"/>
              </w:rPr>
              <w:t>）</w:t>
            </w:r>
          </w:p>
          <w:p>
            <w:pPr>
              <w:keepNext w:val="0"/>
              <w:keepLines w:val="0"/>
              <w:suppressLineNumbers w:val="0"/>
              <w:spacing w:before="0" w:beforeAutospacing="0" w:after="0" w:afterAutospacing="0"/>
              <w:ind w:left="0" w:right="0"/>
              <w:jc w:val="left"/>
              <w:rPr>
                <w:rFonts w:hint="eastAsia" w:eastAsia="宋体"/>
                <w:b/>
                <w:bCs/>
                <w:color w:val="auto"/>
                <w:sz w:val="24"/>
                <w:highlight w:val="none"/>
                <w:lang w:eastAsia="zh-CN"/>
              </w:rPr>
            </w:pPr>
            <w:r>
              <w:rPr>
                <w:rFonts w:hint="eastAsia"/>
                <w:b/>
                <w:bCs/>
                <w:color w:val="auto"/>
                <w:sz w:val="24"/>
                <w:highlight w:val="none"/>
              </w:rPr>
              <w:t>以汇款方式递交投标保证金的需注明所递交项目的</w:t>
            </w:r>
            <w:r>
              <w:rPr>
                <w:rFonts w:hint="eastAsia"/>
                <w:b/>
                <w:bCs/>
                <w:color w:val="auto"/>
                <w:sz w:val="24"/>
                <w:highlight w:val="none"/>
                <w:lang w:eastAsia="zh-CN"/>
              </w:rPr>
              <w:t>采购</w:t>
            </w:r>
            <w:r>
              <w:rPr>
                <w:rFonts w:hint="eastAsia"/>
                <w:b/>
                <w:bCs/>
                <w:color w:val="auto"/>
                <w:sz w:val="24"/>
                <w:highlight w:val="none"/>
              </w:rPr>
              <w:t>编号，如分包则需注明包号</w:t>
            </w:r>
            <w:r>
              <w:rPr>
                <w:rFonts w:hint="eastAsia"/>
                <w:b/>
                <w:bCs/>
                <w:color w:val="auto"/>
                <w:sz w:val="24"/>
                <w:highlight w:val="none"/>
                <w:lang w:val="en-US" w:eastAsia="zh-CN"/>
              </w:rPr>
              <w:t>（</w:t>
            </w:r>
            <w:r>
              <w:rPr>
                <w:rFonts w:hint="eastAsia"/>
                <w:b/>
                <w:bCs/>
                <w:color w:val="auto"/>
                <w:sz w:val="24"/>
                <w:highlight w:val="none"/>
              </w:rPr>
              <w:t>例如:ZCGH-ZB-2023XXXXX,第X包</w:t>
            </w:r>
            <w:r>
              <w:rPr>
                <w:rFonts w:hint="eastAsia"/>
                <w:b/>
                <w:bCs/>
                <w:color w:val="auto"/>
                <w:sz w:val="24"/>
                <w:highlight w:val="none"/>
                <w:lang w:eastAsia="zh-CN"/>
              </w:rPr>
              <w:t>）</w:t>
            </w:r>
          </w:p>
          <w:p>
            <w:pPr>
              <w:keepNext w:val="0"/>
              <w:keepLines w:val="0"/>
              <w:numPr>
                <w:ilvl w:val="0"/>
                <w:numId w:val="0"/>
              </w:numPr>
              <w:suppressLineNumbers w:val="0"/>
              <w:spacing w:before="0" w:beforeAutospacing="0" w:after="0" w:afterAutospacing="0"/>
              <w:ind w:left="0" w:right="0"/>
              <w:jc w:val="left"/>
              <w:rPr>
                <w:rFonts w:hint="default"/>
                <w:color w:val="auto"/>
                <w:sz w:val="24"/>
                <w:highlight w:val="none"/>
              </w:rPr>
            </w:pPr>
            <w:r>
              <w:rPr>
                <w:rFonts w:hint="eastAsia" w:cs="Times New Roman"/>
                <w:color w:val="auto"/>
                <w:kern w:val="2"/>
                <w:sz w:val="24"/>
                <w:szCs w:val="24"/>
                <w:highlight w:val="none"/>
                <w:lang w:val="en-US" w:eastAsia="zh-CN" w:bidi="ar-SA"/>
              </w:rPr>
              <w:t>3）</w:t>
            </w:r>
            <w:r>
              <w:rPr>
                <w:rFonts w:hint="eastAsia"/>
                <w:color w:val="auto"/>
                <w:sz w:val="24"/>
                <w:highlight w:val="none"/>
              </w:rPr>
              <w:t>投标担保函</w:t>
            </w:r>
          </w:p>
          <w:p>
            <w:pPr>
              <w:keepNext w:val="0"/>
              <w:keepLines w:val="0"/>
              <w:suppressLineNumbers w:val="0"/>
              <w:spacing w:before="0" w:beforeAutospacing="0" w:after="0" w:afterAutospacing="0"/>
              <w:ind w:left="0" w:right="0"/>
              <w:jc w:val="left"/>
              <w:rPr>
                <w:rFonts w:hint="default"/>
                <w:color w:val="auto"/>
                <w:highlight w:val="none"/>
              </w:rPr>
            </w:pPr>
            <w:r>
              <w:rPr>
                <w:rFonts w:hint="eastAsia"/>
                <w:color w:val="auto"/>
                <w:sz w:val="24"/>
                <w:highlight w:val="none"/>
              </w:rPr>
              <w:t>本次政府采购项目，投标人可以自愿选择是否采用政府采购信用担保的形式来满足投标担保、履约担保、融资担保的相关要求。具体操作办法详见北京市政府采购网相关内容。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12.7.2</w:t>
            </w:r>
          </w:p>
        </w:tc>
        <w:tc>
          <w:tcPr>
            <w:tcW w:w="170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sz w:val="24"/>
                <w:highlight w:val="none"/>
              </w:rPr>
            </w:pP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投标保证金可以不予退还的其他情形：</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hAnsi="宋体"/>
                <w:color w:val="auto"/>
                <w:sz w:val="24"/>
                <w:highlight w:val="none"/>
              </w:rPr>
              <w:t>□</w:t>
            </w:r>
            <w:r>
              <w:rPr>
                <w:rFonts w:hint="eastAsia" w:ascii="宋体" w:hAnsi="宋体"/>
                <w:color w:val="auto"/>
                <w:sz w:val="24"/>
                <w:highlight w:val="none"/>
              </w:rPr>
              <w:t>无</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rPr>
            </w:pPr>
            <w:r>
              <w:rPr>
                <w:rFonts w:hAnsi="宋体"/>
                <w:b/>
                <w:color w:val="auto"/>
                <w:sz w:val="24"/>
                <w:highlight w:val="none"/>
              </w:rPr>
              <w:t>■</w:t>
            </w:r>
            <w:r>
              <w:rPr>
                <w:rFonts w:hAnsi="宋体"/>
                <w:color w:val="auto"/>
                <w:sz w:val="24"/>
                <w:highlight w:val="none"/>
              </w:rPr>
              <w:t>有，具体情形：</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u w:val="single"/>
              </w:rPr>
            </w:pPr>
            <w:r>
              <w:rPr>
                <w:rFonts w:hAnsi="宋体"/>
                <w:color w:val="auto"/>
                <w:sz w:val="24"/>
                <w:highlight w:val="none"/>
                <w:u w:val="single"/>
              </w:rPr>
              <w:t>（1）中标人不按规定与采购人签订合同的；</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u w:val="single"/>
              </w:rPr>
            </w:pPr>
            <w:r>
              <w:rPr>
                <w:rFonts w:hAnsi="宋体"/>
                <w:color w:val="auto"/>
                <w:sz w:val="24"/>
                <w:highlight w:val="none"/>
                <w:u w:val="single"/>
              </w:rPr>
              <w:t>（2）中标人不按招标文件要求提交履约保证金的；</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u w:val="single"/>
              </w:rPr>
            </w:pPr>
            <w:r>
              <w:rPr>
                <w:rFonts w:hAnsi="宋体"/>
                <w:color w:val="auto"/>
                <w:sz w:val="24"/>
                <w:highlight w:val="none"/>
                <w:u w:val="single"/>
              </w:rPr>
              <w:t>（3）存在的串通投标情形的；</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szCs w:val="24"/>
                <w:highlight w:val="none"/>
              </w:rPr>
            </w:pPr>
            <w:r>
              <w:rPr>
                <w:rFonts w:hAnsi="宋体"/>
                <w:color w:val="auto"/>
                <w:sz w:val="24"/>
                <w:highlight w:val="none"/>
                <w:u w:val="single"/>
              </w:rPr>
              <w:t>（4）存在向采购人、采购代理机构或评审专家行贿事实的。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13.1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投标有效期</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自提交投标文件的截止之日起算</w:t>
            </w:r>
            <w:r>
              <w:rPr>
                <w:rFonts w:hint="eastAsia" w:ascii="宋体" w:hAnsi="宋体"/>
                <w:color w:val="auto"/>
                <w:sz w:val="24"/>
                <w:highlight w:val="none"/>
                <w:u w:val="single"/>
              </w:rPr>
              <w:t>90</w:t>
            </w:r>
            <w:r>
              <w:rPr>
                <w:rFonts w:hint="eastAsia" w:ascii="宋体" w:hAnsi="宋体"/>
                <w:color w:val="auto"/>
                <w:sz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22.1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确定中标人</w:t>
            </w:r>
          </w:p>
        </w:tc>
        <w:tc>
          <w:tcPr>
            <w:tcW w:w="7541"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rPr>
            </w:pPr>
            <w:r>
              <w:rPr>
                <w:rFonts w:hAnsi="宋体"/>
                <w:color w:val="auto"/>
                <w:sz w:val="24"/>
                <w:highlight w:val="none"/>
              </w:rPr>
              <w:t>中标候选人并列的，采购人是否委托评标委员会确定中标人：</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rPr>
            </w:pPr>
            <w:r>
              <w:rPr>
                <w:rFonts w:hAnsi="宋体"/>
                <w:b/>
                <w:color w:val="auto"/>
                <w:sz w:val="24"/>
                <w:highlight w:val="none"/>
              </w:rPr>
              <w:t>■</w:t>
            </w:r>
            <w:r>
              <w:rPr>
                <w:rFonts w:hAnsi="宋体"/>
                <w:color w:val="auto"/>
                <w:sz w:val="24"/>
                <w:highlight w:val="none"/>
              </w:rPr>
              <w:t>否</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rPr>
            </w:pPr>
            <w:r>
              <w:rPr>
                <w:rFonts w:hAnsi="宋体"/>
                <w:color w:val="auto"/>
                <w:sz w:val="24"/>
                <w:highlight w:val="none"/>
              </w:rPr>
              <w:t>□是</w:t>
            </w:r>
          </w:p>
          <w:p>
            <w:pPr>
              <w:pStyle w:val="23"/>
              <w:keepNext w:val="0"/>
              <w:keepLines w:val="0"/>
              <w:suppressLineNumbers w:val="0"/>
              <w:adjustRightInd w:val="0"/>
              <w:snapToGrid w:val="0"/>
              <w:spacing w:before="0" w:beforeAutospacing="0" w:after="0" w:afterAutospacing="0"/>
              <w:ind w:left="0" w:right="0"/>
              <w:rPr>
                <w:rFonts w:hint="default" w:hAnsi="宋体"/>
                <w:color w:val="auto"/>
                <w:highlight w:val="none"/>
              </w:rPr>
            </w:pPr>
            <w:r>
              <w:rPr>
                <w:rFonts w:hAnsi="宋体"/>
                <w:color w:val="auto"/>
                <w:sz w:val="24"/>
                <w:highlight w:val="none"/>
              </w:rPr>
              <w:t>中标候选人并列的，按照以下方式确定中标人：</w:t>
            </w:r>
            <w:r>
              <w:rPr>
                <w:rFonts w:hAnsi="宋体"/>
                <w:color w:val="auto"/>
                <w:highlight w:val="none"/>
              </w:rPr>
              <w:t xml:space="preserve"> </w:t>
            </w:r>
          </w:p>
          <w:p>
            <w:pPr>
              <w:pStyle w:val="23"/>
              <w:keepNext w:val="0"/>
              <w:keepLines w:val="0"/>
              <w:suppressLineNumbers w:val="0"/>
              <w:adjustRightInd w:val="0"/>
              <w:snapToGrid w:val="0"/>
              <w:spacing w:before="0" w:beforeAutospacing="0" w:after="0" w:afterAutospacing="0"/>
              <w:ind w:left="0" w:right="0"/>
              <w:rPr>
                <w:rFonts w:hint="default" w:hAnsi="宋体"/>
                <w:color w:val="auto"/>
                <w:sz w:val="24"/>
                <w:highlight w:val="none"/>
              </w:rPr>
            </w:pPr>
            <w:r>
              <w:rPr>
                <w:rFonts w:hAnsi="宋体"/>
                <w:b/>
                <w:color w:val="auto"/>
                <w:sz w:val="24"/>
                <w:highlight w:val="none"/>
              </w:rPr>
              <w:t>■</w:t>
            </w:r>
            <w:r>
              <w:rPr>
                <w:rFonts w:hAnsi="宋体"/>
                <w:bCs/>
                <w:color w:val="auto"/>
                <w:sz w:val="24"/>
                <w:highlight w:val="none"/>
              </w:rPr>
              <w:t>得分相同的，按投标报价由低到高顺序排列</w:t>
            </w:r>
            <w:r>
              <w:rPr>
                <w:rFonts w:hAnsi="宋体"/>
                <w:b/>
                <w:color w:val="auto"/>
                <w:sz w:val="24"/>
                <w:highlight w:val="none"/>
              </w:rPr>
              <w:t>。</w:t>
            </w:r>
            <w:r>
              <w:rPr>
                <w:rFonts w:hAnsi="宋体"/>
                <w:color w:val="auto"/>
                <w:sz w:val="24"/>
                <w:highlight w:val="none"/>
              </w:rPr>
              <w:t>得分且投标报价均相同的，以</w:t>
            </w:r>
            <w:r>
              <w:rPr>
                <w:rFonts w:hAnsi="宋体"/>
                <w:color w:val="auto"/>
                <w:sz w:val="24"/>
                <w:highlight w:val="none"/>
                <w:u w:val="single"/>
              </w:rPr>
              <w:t>技术部分</w:t>
            </w:r>
            <w:r>
              <w:rPr>
                <w:rFonts w:hAnsi="宋体"/>
                <w:color w:val="auto"/>
                <w:sz w:val="24"/>
                <w:highlight w:val="none"/>
              </w:rPr>
              <w:t>得分高者为中标人；若投标报价、技术部分均相同的，由评标委员会随机抽取。</w:t>
            </w:r>
          </w:p>
          <w:p>
            <w:pPr>
              <w:keepNext w:val="0"/>
              <w:keepLines w:val="0"/>
              <w:suppressLineNumbers w:val="0"/>
              <w:spacing w:before="0" w:beforeAutospacing="0" w:after="0" w:afterAutospacing="0"/>
              <w:ind w:left="0" w:right="0"/>
              <w:jc w:val="left"/>
              <w:rPr>
                <w:rFonts w:hint="default" w:ascii="宋体" w:hAnsi="宋体"/>
                <w:color w:val="auto"/>
                <w:sz w:val="24"/>
                <w:highlight w:val="none"/>
                <w:u w:val="single"/>
              </w:rPr>
            </w:pPr>
            <w:r>
              <w:rPr>
                <w:rFonts w:hint="eastAsia" w:ascii="宋体" w:hAnsi="宋体"/>
                <w:color w:val="auto"/>
                <w:sz w:val="24"/>
                <w:highlight w:val="none"/>
              </w:rPr>
              <w:t>□随机抽取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25.5</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分包</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 xml:space="preserve">本项目的非主体、非关键性工作是否允许分包： </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b/>
                <w:color w:val="auto"/>
                <w:sz w:val="24"/>
                <w:highlight w:val="none"/>
              </w:rPr>
              <w:t>■</w:t>
            </w:r>
            <w:r>
              <w:rPr>
                <w:rFonts w:hint="eastAsia" w:ascii="宋体" w:hAnsi="宋体"/>
                <w:color w:val="auto"/>
                <w:sz w:val="24"/>
                <w:highlight w:val="none"/>
              </w:rPr>
              <w:t>不允许</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□允许，具体要求：</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（1）可以分包履行的具体内容：_____；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（2）允许分包的金额或者比例：_____；</w:t>
            </w:r>
          </w:p>
          <w:p>
            <w:pPr>
              <w:keepNext w:val="0"/>
              <w:keepLines w:val="0"/>
              <w:suppressLineNumbers w:val="0"/>
              <w:spacing w:before="0" w:beforeAutospacing="0" w:after="0" w:afterAutospacing="0"/>
              <w:ind w:left="0" w:right="0"/>
              <w:jc w:val="left"/>
              <w:rPr>
                <w:rFonts w:hint="default" w:ascii="宋体" w:hAnsi="宋体"/>
                <w:color w:val="auto"/>
                <w:sz w:val="24"/>
                <w:highlight w:val="none"/>
                <w:u w:val="single"/>
              </w:rPr>
            </w:pPr>
            <w:r>
              <w:rPr>
                <w:rFonts w:hint="eastAsia" w:ascii="宋体" w:hAnsi="宋体"/>
                <w:color w:val="auto"/>
                <w:sz w:val="24"/>
                <w:highlight w:val="none"/>
              </w:rPr>
              <w:t>（3）其他要求：_____。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26.1.1</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询问</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询问送达形式：投标人如果对招标文件的任何部分有疑问，应以书面的形式一次性提出，并加盖投标人单位公章后送达采购代理机构。采购人将以书面的形式酌情予以澄清（包括对询问的解释，但不说明询问的来源），并发给所有获得招标文件的投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26.3</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联系方式</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接收询问和质疑的联系方式</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联系部门：招标部；</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联系电话：010-53383779；</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通讯地址：</w:t>
            </w:r>
            <w:r>
              <w:rPr>
                <w:rFonts w:hint="eastAsia" w:ascii="宋体" w:hAnsi="宋体" w:eastAsia="宋体" w:cs="宋体"/>
                <w:color w:val="auto"/>
                <w:kern w:val="2"/>
                <w:sz w:val="24"/>
                <w:szCs w:val="24"/>
                <w:highlight w:val="none"/>
                <w:lang w:val="en-US" w:eastAsia="zh-CN" w:bidi="ar"/>
              </w:rPr>
              <w:t>北京市北京经济技术开发区万源街22号天宇大厦B座4层</w:t>
            </w:r>
            <w:r>
              <w:rPr>
                <w:rFonts w:hint="eastAsia" w:ascii="宋体" w:hAnsi="宋体"/>
                <w:color w:val="auto"/>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88" w:type="dxa"/>
            <w:tcBorders>
              <w:top w:val="single" w:color="auto" w:sz="4" w:space="0"/>
              <w:left w:val="single" w:color="auto" w:sz="4" w:space="0"/>
              <w:bottom w:val="single" w:color="auto" w:sz="4" w:space="0"/>
              <w:right w:val="single" w:color="auto" w:sz="4" w:space="0"/>
            </w:tcBorders>
            <w:vAlign w:val="center"/>
          </w:tcPr>
          <w:p>
            <w:pPr>
              <w:pStyle w:val="23"/>
              <w:keepNext w:val="0"/>
              <w:keepLines w:val="0"/>
              <w:suppressLineNumbers w:val="0"/>
              <w:adjustRightInd w:val="0"/>
              <w:snapToGrid w:val="0"/>
              <w:spacing w:before="0" w:beforeAutospacing="0" w:after="0" w:afterAutospacing="0"/>
              <w:ind w:left="0" w:right="0"/>
              <w:jc w:val="center"/>
              <w:rPr>
                <w:rFonts w:hint="default" w:hAnsi="宋体"/>
                <w:color w:val="auto"/>
                <w:sz w:val="24"/>
                <w:szCs w:val="24"/>
                <w:highlight w:val="none"/>
              </w:rPr>
            </w:pPr>
            <w:r>
              <w:rPr>
                <w:rFonts w:hAnsi="宋体"/>
                <w:color w:val="auto"/>
                <w:sz w:val="24"/>
                <w:szCs w:val="24"/>
                <w:highlight w:val="none"/>
              </w:rPr>
              <w:t>27</w:t>
            </w:r>
          </w:p>
        </w:tc>
        <w:tc>
          <w:tcPr>
            <w:tcW w:w="170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代理费</w:t>
            </w:r>
          </w:p>
        </w:tc>
        <w:tc>
          <w:tcPr>
            <w:tcW w:w="75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收费对象：</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□采购人</w:t>
            </w:r>
          </w:p>
          <w:p>
            <w:pPr>
              <w:keepNext w:val="0"/>
              <w:keepLines w:val="0"/>
              <w:suppressLineNumbers w:val="0"/>
              <w:spacing w:before="0" w:beforeAutospacing="0" w:after="0" w:afterAutospacing="0"/>
              <w:ind w:left="0" w:right="0"/>
              <w:jc w:val="left"/>
              <w:rPr>
                <w:rFonts w:hint="default" w:ascii="宋体" w:hAnsi="宋体"/>
                <w:color w:val="auto"/>
                <w:sz w:val="24"/>
                <w:highlight w:val="none"/>
              </w:rPr>
            </w:pPr>
            <w:r>
              <w:rPr>
                <w:rFonts w:hint="eastAsia" w:ascii="宋体" w:hAnsi="宋体"/>
                <w:b/>
                <w:color w:val="auto"/>
                <w:sz w:val="24"/>
                <w:highlight w:val="none"/>
              </w:rPr>
              <w:t>■</w:t>
            </w:r>
            <w:r>
              <w:rPr>
                <w:rFonts w:hint="eastAsia" w:ascii="宋体" w:hAnsi="宋体"/>
                <w:color w:val="auto"/>
                <w:sz w:val="24"/>
                <w:highlight w:val="none"/>
              </w:rPr>
              <w:t>中标人</w:t>
            </w:r>
          </w:p>
          <w:p>
            <w:pPr>
              <w:keepNext w:val="0"/>
              <w:keepLines w:val="0"/>
              <w:suppressLineNumbers w:val="0"/>
              <w:spacing w:before="0" w:beforeAutospacing="0" w:after="0" w:afterAutospacing="0"/>
              <w:ind w:left="900" w:right="0" w:hanging="900" w:hangingChars="375"/>
              <w:jc w:val="left"/>
              <w:rPr>
                <w:rFonts w:hint="default" w:ascii="宋体" w:hAnsi="宋体" w:cs="宋体"/>
                <w:color w:val="auto"/>
                <w:sz w:val="24"/>
                <w:highlight w:val="none"/>
              </w:rPr>
            </w:pPr>
            <w:r>
              <w:rPr>
                <w:rFonts w:hint="eastAsia" w:ascii="宋体" w:hAnsi="宋体"/>
                <w:color w:val="auto"/>
                <w:sz w:val="24"/>
                <w:highlight w:val="none"/>
              </w:rPr>
              <w:t>收费标准：</w:t>
            </w: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4"/>
              <w:gridCol w:w="1241"/>
              <w:gridCol w:w="1158"/>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2"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rPr>
                      <w:rFonts w:hint="default" w:ascii="宋体" w:hAnsi="宋体" w:cs="宋体"/>
                      <w:color w:val="auto"/>
                      <w:sz w:val="24"/>
                      <w:highlight w:val="none"/>
                    </w:rPr>
                  </w:pPr>
                  <w:r>
                    <w:rPr>
                      <w:rFonts w:hint="default"/>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-87630</wp:posOffset>
                            </wp:positionH>
                            <wp:positionV relativeFrom="paragraph">
                              <wp:posOffset>153035</wp:posOffset>
                            </wp:positionV>
                            <wp:extent cx="2129155" cy="864870"/>
                            <wp:effectExtent l="0" t="0" r="23495" b="30480"/>
                            <wp:wrapNone/>
                            <wp:docPr id="5" name="直接连接符 5"/>
                            <wp:cNvGraphicFramePr/>
                            <a:graphic xmlns:a="http://schemas.openxmlformats.org/drawingml/2006/main">
                              <a:graphicData uri="http://schemas.microsoft.com/office/word/2010/wordprocessingShape">
                                <wps:wsp>
                                  <wps:cNvCnPr/>
                                  <wps:spPr>
                                    <a:xfrm>
                                      <a:off x="0" y="0"/>
                                      <a:ext cx="2129155" cy="864870"/>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6.9pt;margin-top:12.05pt;height:68.1pt;width:167.65pt;z-index:251660288;mso-width-relative:page;mso-height-relative:page;" filled="f" stroked="t" coordsize="21600,21600" o:gfxdata="UEsDBAoAAAAAAIdO4kAAAAAAAAAAAAAAAAAEAAAAZHJzL1BLAwQUAAAACACHTuJAsAbbC9YAAAAK&#10;AQAADwAAAGRycy9kb3ducmV2LnhtbE2Py2rDMBBF94X8g5hAd4kebkNwLQda6Ca7poFsJ9LENrUk&#10;IymJ+/dVV+1yuId7zzS72Y3sRjENwWuQawGMvAl28J2G4+f7agssZfQWx+BJwzcl2LWLhwZrG+7+&#10;g26H3LFS4lONGvqcp5rzZHpymNZhIl+yS4gOczljx23Eeyl3I1dCbLjDwZeFHid668l8Ha5Og4np&#10;cpqP8347W6TXvYpGUdT6cSnFC7BMc/6D4Ve/qENbnM7h6m1io4aVrIp61qCeJLACVEo+AzsXciMq&#10;4G3D/7/Q/gBQSwMEFAAAAAgAh07iQE3nDA78AQAA7AMAAA4AAABkcnMvZTJvRG9jLnhtbK1TvY4T&#10;MRDukXgHyz3ZJEcuuVU2VyQcDYJIcA8w8Xqzlvwnjy+bvAQvgEQHFSU9b8PxGIy9uXAcTQoa74xn&#10;5pv5vh3Pr/dGs50MqJyt+Ggw5Exa4WpltxW//XDzYsYZRrA1aGdlxQ8S+fXi+bN550s5dq3TtQyM&#10;QCyWna94G6MviwJFKw3gwHlpKdi4YCCSG7ZFHaAjdKOL8XB4WXQu1D44IRHpdtUH+RExnAPomkYJ&#10;uXLizkgbe9QgNUSihK3yyBd52qaRIr5rGpSR6YoT05hPakL2Jp3FYg7lNoBvlTiOAOeM8ISTAWWp&#10;6QlqBRHYXVD/QBklgkPXxIFwpuiJZEWIxWj4RJv3LXiZuZDU6E+i4/+DFW9368BUXfEJZxYM/fD7&#10;T99/fvzy68dnOu+/fWWTJFLnsaTcpV2Ho4d+HRLjfRNM+hIXts/CHk7Cyn1kgi7Ho/HVaEIdBMVm&#10;ly9n06x88afaB4yvpTMsGRXXyibiUMLuDUbqSKkPKelaW9bR8k5m0wQKtIYN/X4yjScqaLe5GJ1W&#10;9Y3SOpVg2G6WOrAd0CpML66Wy4tEjID/SktdVoBtn5dD/ZK0EupXtmbx4EkkS2+DpxmMrDnTkp5S&#10;sggQyghKn5NJrbVNBTIv6pFoUrrXNlkbVx+y5EXyaAnyxMeFTVv22Cf78SNd/A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wBtsL1gAAAAoBAAAPAAAAAAAAAAEAIAAAACIAAABkcnMvZG93bnJldi54&#10;bWxQSwECFAAUAAAACACHTuJATecMDvwBAADsAwAADgAAAAAAAAABACAAAAAlAQAAZHJzL2Uyb0Rv&#10;Yy54bWxQSwUGAAAAAAYABgBZAQAAkwUAAAAA&#10;">
                            <v:fill on="f" focussize="0,0"/>
                            <v:stroke weight="1.25pt" color="#739CC3" joinstyle="round"/>
                            <v:imagedata o:title=""/>
                            <o:lock v:ext="edit" aspectratio="f"/>
                          </v:line>
                        </w:pict>
                      </mc:Fallback>
                    </mc:AlternateContent>
                  </w:r>
                  <w:r>
                    <w:rPr>
                      <w:rFonts w:hint="default"/>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474980</wp:posOffset>
                            </wp:positionH>
                            <wp:positionV relativeFrom="paragraph">
                              <wp:posOffset>5080</wp:posOffset>
                            </wp:positionV>
                            <wp:extent cx="1604645" cy="1009015"/>
                            <wp:effectExtent l="0" t="0" r="14605" b="19685"/>
                            <wp:wrapNone/>
                            <wp:docPr id="4" name="直接连接符 4"/>
                            <wp:cNvGraphicFramePr/>
                            <a:graphic xmlns:a="http://schemas.openxmlformats.org/drawingml/2006/main">
                              <a:graphicData uri="http://schemas.microsoft.com/office/word/2010/wordprocessingShape">
                                <wps:wsp>
                                  <wps:cNvCnPr/>
                                  <wps:spPr>
                                    <a:xfrm flipH="1" flipV="1">
                                      <a:off x="0" y="0"/>
                                      <a:ext cx="1604645" cy="1009015"/>
                                    </a:xfrm>
                                    <a:prstGeom prst="line">
                                      <a:avLst/>
                                    </a:prstGeom>
                                    <a:ln w="15875" cap="flat" cmpd="sng">
                                      <a:solidFill>
                                        <a:srgbClr val="739CC3"/>
                                      </a:solidFill>
                                      <a:prstDash val="solid"/>
                                      <a:headEnd type="none" w="med" len="med"/>
                                      <a:tailEnd type="none" w="med" len="med"/>
                                    </a:ln>
                                    <a:effectLst/>
                                  </wps:spPr>
                                  <wps:bodyPr/>
                                </wps:wsp>
                              </a:graphicData>
                            </a:graphic>
                          </wp:anchor>
                        </w:drawing>
                      </mc:Choice>
                      <mc:Fallback>
                        <w:pict>
                          <v:line id="_x0000_s1026" o:spid="_x0000_s1026" o:spt="20" style="position:absolute;left:0pt;flip:x y;margin-left:37.4pt;margin-top:0.4pt;height:79.45pt;width:126.35pt;z-index:251661312;mso-width-relative:page;mso-height-relative:page;" filled="f" stroked="t" coordsize="21600,21600" o:gfxdata="UEsDBAoAAAAAAIdO4kAAAAAAAAAAAAAAAAAEAAAAZHJzL1BLAwQUAAAACACHTuJAHmLXRdgAAAAH&#10;AQAADwAAAGRycy9kb3ducmV2LnhtbE2OQUvDQBSE74L/YXmCF7GbxtbYmE2RQg9iEYzi+TX7TILZ&#10;tyG7Tau/3udJLwPDDDNfsT65Xk00hs6zgfksAUVce9txY+DtdXt9BypEZIu9ZzLwRQHW5flZgbn1&#10;R36hqYqNkhEOORpoYxxyrUPdksMw8wOxZB9+dBjFjo22Ix5l3PU6TZJb7bBjeWhxoE1L9Wd1cAYe&#10;33eLb99dbZpttXtKp4FW2cOzMZcX8+QeVKRT/CvDL76gQylMe39gG1RvIFsIeTQgKulNmi1B7aW2&#10;XGWgy0L/5y9/AFBLAwQUAAAACACHTuJAHvkccwYCAAABBAAADgAAAGRycy9lMm9Eb2MueG1srVPN&#10;bhMxEL4j8Q6W72Q3bZK2q2x6SCgcEESicHdsb9aS/+Rxs8lL8AJI3ODEkTtvQ3mMjr1LVMolBy7W&#10;Z8/4m/k+j+fXe6PJTgZQztZ0PCopkZY7oey2ph9ub15cUgKRWcG0s7KmBwn0evH82bzzlTxzrdNC&#10;BoIkFqrO17SN0VdFAbyVhsHIeWkx2LhgWMRt2BYisA7ZjS7OynJWdC4IHxyXAHi66oN0YAynELqm&#10;UVyuHL8z0saeNUjNIkqCVnmgi9xt00ge3zUNyEh0TVFpzCsWQbxJa7GYs2obmG8VH1pgp7TwRJNh&#10;ymLRI9WKRUbugvqHyigeHLgmjrgzRS8kO4IqxuUTb963zMusBa0GfzQd/h8tf7tbB6JETSeUWGbw&#10;we8///j16evvn19wvf/+jUySSZ2HCnOXdh2GHfh1SIr3TTCk0cq/xmmiGX1MKMVQH9lnsw9Hs+U+&#10;Eo6H41k5mU2mlHCMjcvyqhxPU6Wip0zXfYD4SjpDEqipVja5wSq2ewOxT/2Tko61JR1STS8vEivD&#10;2WxwJhAaj/rAbvNlcFqJG6V1ugJhu1nqQHYM5+Pi/Gq5PB96+CstVVkxaPu8HEpprGolEy+tIPHg&#10;0TmLH4amHowUlGiJ/yuhnBmZ0qdkonxtE7XM0zsITfb3hie0ceKQ36FIO5yM7NowxWn0Hu8RP/65&#10;iw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eYtdF2AAAAAcBAAAPAAAAAAAAAAEAIAAAACIAAABk&#10;cnMvZG93bnJldi54bWxQSwECFAAUAAAACACHTuJAHvkccwYCAAABBAAADgAAAAAAAAABACAAAAAn&#10;AQAAZHJzL2Uyb0RvYy54bWxQSwUGAAAAAAYABgBZAQAAnwUAAAAA&#10;">
                            <v:fill on="f" focussize="0,0"/>
                            <v:stroke weight="1.25pt" color="#739CC3" joinstyle="round"/>
                            <v:imagedata o:title=""/>
                            <o:lock v:ext="edit" aspectratio="f"/>
                          </v:line>
                        </w:pict>
                      </mc:Fallback>
                    </mc:AlternateContent>
                  </w:r>
                  <w:r>
                    <w:rPr>
                      <w:rFonts w:hint="eastAsia" w:ascii="宋体" w:hAnsi="宋体" w:cs="宋体"/>
                      <w:color w:val="auto"/>
                      <w:sz w:val="24"/>
                      <w:highlight w:val="none"/>
                    </w:rPr>
                    <w:t>费率     服务类型</w:t>
                  </w:r>
                </w:p>
                <w:p>
                  <w:pPr>
                    <w:keepNext w:val="0"/>
                    <w:keepLines w:val="0"/>
                    <w:suppressLineNumbers w:val="0"/>
                    <w:spacing w:before="0" w:beforeAutospacing="0" w:after="0" w:afterAutospacing="0"/>
                    <w:ind w:left="0" w:right="0"/>
                    <w:rPr>
                      <w:rFonts w:hint="default" w:ascii="宋体" w:hAnsi="宋体" w:cs="宋体"/>
                      <w:color w:val="auto"/>
                      <w:sz w:val="24"/>
                      <w:highlight w:val="none"/>
                    </w:rPr>
                  </w:pPr>
                </w:p>
                <w:p>
                  <w:pPr>
                    <w:keepNext w:val="0"/>
                    <w:keepLines w:val="0"/>
                    <w:suppressLineNumbers w:val="0"/>
                    <w:spacing w:before="0" w:beforeAutospacing="0" w:after="0" w:afterAutospacing="0"/>
                    <w:ind w:left="0" w:right="0"/>
                    <w:rPr>
                      <w:rFonts w:hint="default" w:ascii="宋体" w:hAnsi="宋体" w:cs="宋体"/>
                      <w:color w:val="auto"/>
                      <w:sz w:val="24"/>
                      <w:highlight w:val="none"/>
                    </w:rPr>
                  </w:pPr>
                </w:p>
                <w:p>
                  <w:pPr>
                    <w:keepNext w:val="0"/>
                    <w:keepLines w:val="0"/>
                    <w:suppressLineNumbers w:val="0"/>
                    <w:spacing w:before="0" w:beforeAutospacing="0" w:after="0" w:afterAutospacing="0"/>
                    <w:ind w:left="0" w:right="0"/>
                    <w:rPr>
                      <w:rFonts w:hint="default" w:ascii="宋体" w:hAnsi="宋体" w:cs="宋体"/>
                      <w:color w:val="auto"/>
                      <w:sz w:val="24"/>
                      <w:highlight w:val="none"/>
                    </w:rPr>
                  </w:pPr>
                  <w:r>
                    <w:rPr>
                      <w:rFonts w:hint="eastAsia" w:ascii="宋体" w:hAnsi="宋体" w:cs="宋体"/>
                      <w:color w:val="auto"/>
                      <w:sz w:val="24"/>
                      <w:highlight w:val="none"/>
                    </w:rPr>
                    <w:t xml:space="preserve">中标金额（万元）  </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货物</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服务</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100万以下</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1.50%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1.50%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100-500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1.10%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0.80%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500-1000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0.80%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0.45%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1000-5000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0.50%</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0.25%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5000-10000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0.25%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0.10%</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10000-100000</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0.05%</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0.05%</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4" w:type="dxa"/>
                  <w:tcBorders>
                    <w:top w:val="single" w:color="auto" w:sz="4" w:space="0"/>
                    <w:left w:val="single" w:color="auto" w:sz="4" w:space="0"/>
                    <w:bottom w:val="single" w:color="auto" w:sz="4" w:space="0"/>
                    <w:right w:val="single" w:color="auto" w:sz="4" w:space="0"/>
                  </w:tcBorders>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rPr>
                    <w:t>100000以上</w:t>
                  </w:r>
                </w:p>
              </w:tc>
              <w:tc>
                <w:tcPr>
                  <w:tcW w:w="124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0.01%</w:t>
                  </w:r>
                </w:p>
              </w:tc>
              <w:tc>
                <w:tcPr>
                  <w:tcW w:w="115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0.01%</w:t>
                  </w:r>
                </w:p>
              </w:tc>
              <w:tc>
                <w:tcPr>
                  <w:tcW w:w="99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textAlignment w:val="center"/>
                    <w:rPr>
                      <w:rFonts w:hint="default" w:ascii="宋体" w:hAnsi="宋体" w:cs="宋体"/>
                      <w:color w:val="auto"/>
                      <w:sz w:val="24"/>
                      <w:highlight w:val="none"/>
                    </w:rPr>
                  </w:pPr>
                  <w:r>
                    <w:rPr>
                      <w:rFonts w:hint="eastAsia" w:ascii="宋体" w:hAnsi="宋体" w:cs="宋体"/>
                      <w:color w:val="auto"/>
                      <w:kern w:val="0"/>
                      <w:sz w:val="24"/>
                      <w:highlight w:val="none"/>
                      <w:lang w:bidi="ar"/>
                    </w:rPr>
                    <w:t>0.01%</w:t>
                  </w:r>
                </w:p>
              </w:tc>
            </w:tr>
          </w:tbl>
          <w:p>
            <w:pPr>
              <w:keepNext w:val="0"/>
              <w:keepLines w:val="0"/>
              <w:suppressLineNumbers w:val="0"/>
              <w:spacing w:before="0" w:beforeAutospacing="0" w:after="0" w:afterAutospacing="0"/>
              <w:ind w:left="900" w:right="0" w:hanging="900" w:hangingChars="375"/>
              <w:jc w:val="left"/>
              <w:rPr>
                <w:rFonts w:hint="default" w:ascii="宋体" w:hAnsi="宋体" w:cs="宋体"/>
                <w:color w:val="auto"/>
                <w:sz w:val="24"/>
                <w:highlight w:val="none"/>
              </w:rPr>
            </w:pPr>
            <w:r>
              <w:rPr>
                <w:rFonts w:hint="eastAsia" w:ascii="宋体" w:hAnsi="宋体" w:cs="宋体"/>
                <w:color w:val="auto"/>
                <w:sz w:val="24"/>
                <w:highlight w:val="none"/>
              </w:rPr>
              <w:t>注：上述代理服务收费以中标金额为基准，按照差额定率累进法</w:t>
            </w:r>
          </w:p>
          <w:p>
            <w:pPr>
              <w:keepNext w:val="0"/>
              <w:keepLines w:val="0"/>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rPr>
              <w:t>计算</w:t>
            </w:r>
            <w:r>
              <w:rPr>
                <w:rFonts w:hint="eastAsia" w:ascii="宋体" w:hAnsi="宋体" w:cs="宋体"/>
                <w:color w:val="auto"/>
                <w:sz w:val="24"/>
                <w:highlight w:val="none"/>
                <w:lang w:eastAsia="zh-CN"/>
              </w:rPr>
              <w:t>（下浮</w:t>
            </w:r>
            <w:r>
              <w:rPr>
                <w:rFonts w:hint="eastAsia" w:ascii="宋体" w:hAnsi="宋体" w:cs="宋体"/>
                <w:color w:val="auto"/>
                <w:sz w:val="24"/>
                <w:highlight w:val="none"/>
                <w:lang w:val="en-US" w:eastAsia="zh-CN"/>
              </w:rPr>
              <w:t>10%</w:t>
            </w:r>
            <w:r>
              <w:rPr>
                <w:rFonts w:hint="eastAsia" w:ascii="宋体" w:hAnsi="宋体" w:cs="宋体"/>
                <w:color w:val="auto"/>
                <w:sz w:val="24"/>
                <w:highlight w:val="none"/>
                <w:lang w:eastAsia="zh-CN"/>
              </w:rPr>
              <w:t>）</w:t>
            </w:r>
            <w:r>
              <w:rPr>
                <w:rFonts w:hint="eastAsia" w:ascii="宋体" w:hAnsi="宋体" w:cs="宋体"/>
                <w:color w:val="auto"/>
                <w:sz w:val="24"/>
                <w:highlight w:val="none"/>
              </w:rPr>
              <w:t>。</w:t>
            </w:r>
          </w:p>
          <w:p>
            <w:pPr>
              <w:keepNext w:val="0"/>
              <w:keepLines w:val="0"/>
              <w:suppressLineNumbers w:val="0"/>
              <w:spacing w:before="0" w:beforeAutospacing="0" w:after="0" w:afterAutospacing="0"/>
              <w:ind w:left="900" w:right="0" w:hanging="900" w:hangingChars="375"/>
              <w:jc w:val="left"/>
              <w:rPr>
                <w:rFonts w:hint="default" w:ascii="宋体" w:hAnsi="宋体" w:cs="宋体"/>
                <w:color w:val="auto"/>
                <w:sz w:val="24"/>
                <w:highlight w:val="none"/>
                <w:u w:val="single"/>
              </w:rPr>
            </w:pPr>
            <w:r>
              <w:rPr>
                <w:rFonts w:hint="eastAsia" w:ascii="宋体" w:hAnsi="宋体" w:cs="宋体"/>
                <w:color w:val="auto"/>
                <w:sz w:val="24"/>
                <w:highlight w:val="none"/>
              </w:rPr>
              <w:t>支付形式：银行转账</w:t>
            </w:r>
          </w:p>
          <w:p>
            <w:pPr>
              <w:keepNext w:val="0"/>
              <w:keepLines w:val="0"/>
              <w:suppressLineNumbers w:val="0"/>
              <w:snapToGrid w:val="0"/>
              <w:spacing w:before="0" w:beforeAutospacing="0" w:after="0" w:afterAutospacing="0" w:line="336" w:lineRule="auto"/>
              <w:ind w:left="0" w:right="0"/>
              <w:jc w:val="left"/>
              <w:rPr>
                <w:rFonts w:hint="default" w:ascii="宋体" w:hAnsi="宋体"/>
                <w:color w:val="auto"/>
                <w:sz w:val="24"/>
                <w:highlight w:val="none"/>
              </w:rPr>
            </w:pPr>
            <w:r>
              <w:rPr>
                <w:rFonts w:hint="eastAsia" w:ascii="宋体" w:hAnsi="宋体"/>
                <w:color w:val="auto"/>
                <w:sz w:val="24"/>
                <w:highlight w:val="none"/>
              </w:rPr>
              <w:t>缴纳时间：</w:t>
            </w:r>
            <w:r>
              <w:rPr>
                <w:rFonts w:hint="eastAsia" w:ascii="宋体" w:hAnsi="宋体" w:cs="宋体"/>
                <w:color w:val="auto"/>
                <w:sz w:val="24"/>
                <w:highlight w:val="none"/>
                <w:u w:val="single"/>
              </w:rPr>
              <w:t>领取中标通知书的同时</w:t>
            </w:r>
            <w:r>
              <w:rPr>
                <w:rFonts w:hint="eastAsia" w:ascii="宋体" w:hAnsi="宋体"/>
                <w:color w:val="auto"/>
                <w:sz w:val="24"/>
                <w:highlight w:val="none"/>
              </w:rPr>
              <w:t>。</w:t>
            </w:r>
          </w:p>
        </w:tc>
      </w:tr>
    </w:tbl>
    <w:p>
      <w:pPr>
        <w:spacing w:before="240" w:beforeLines="100" w:after="240" w:afterLines="100"/>
        <w:jc w:val="center"/>
        <w:rPr>
          <w:rFonts w:ascii="宋体" w:hAnsi="宋体"/>
          <w:b/>
          <w:color w:val="auto"/>
          <w:sz w:val="28"/>
          <w:szCs w:val="28"/>
          <w:highlight w:val="none"/>
        </w:rPr>
      </w:pPr>
      <w:bookmarkStart w:id="61" w:name="_Toc305158859"/>
      <w:bookmarkStart w:id="62" w:name="_Toc127151517"/>
      <w:bookmarkStart w:id="63" w:name="_Toc142311019"/>
      <w:bookmarkStart w:id="64" w:name="_Toc305158785"/>
      <w:bookmarkStart w:id="65" w:name="_Toc226965790"/>
      <w:bookmarkStart w:id="66" w:name="_Toc353873662"/>
      <w:bookmarkStart w:id="67" w:name="_Toc150774722"/>
      <w:bookmarkStart w:id="68" w:name="_Toc226337213"/>
      <w:bookmarkStart w:id="69" w:name="_Toc353825542"/>
      <w:bookmarkStart w:id="70" w:name="_Toc264969207"/>
      <w:bookmarkStart w:id="71" w:name="_Toc195842882"/>
      <w:bookmarkStart w:id="72" w:name="_Toc265228355"/>
      <w:bookmarkStart w:id="73" w:name="_Toc150480755"/>
      <w:bookmarkStart w:id="74" w:name="_Toc353873932"/>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p>
    <w:p>
      <w:pPr>
        <w:pStyle w:val="26"/>
        <w:rPr>
          <w:color w:val="auto"/>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pStyle w:val="26"/>
        <w:ind w:firstLine="562"/>
        <w:rPr>
          <w:rFonts w:ascii="宋体" w:hAnsi="宋体"/>
          <w:b/>
          <w:color w:val="auto"/>
          <w:sz w:val="28"/>
          <w:szCs w:val="28"/>
          <w:highlight w:val="none"/>
        </w:rPr>
      </w:pPr>
    </w:p>
    <w:p>
      <w:pPr>
        <w:spacing w:before="240" w:beforeLines="100" w:after="240" w:afterLines="100"/>
        <w:jc w:val="center"/>
        <w:rPr>
          <w:rFonts w:ascii="宋体" w:hAnsi="宋体"/>
          <w:b/>
          <w:color w:val="auto"/>
          <w:sz w:val="28"/>
          <w:szCs w:val="28"/>
          <w:highlight w:val="none"/>
        </w:rPr>
      </w:pPr>
      <w:r>
        <w:rPr>
          <w:rFonts w:hint="eastAsia" w:ascii="宋体" w:hAnsi="宋体"/>
          <w:b/>
          <w:color w:val="auto"/>
          <w:sz w:val="28"/>
          <w:szCs w:val="28"/>
          <w:highlight w:val="none"/>
        </w:rPr>
        <w:t>投标人须知</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pStyle w:val="4"/>
        <w:tabs>
          <w:tab w:val="center" w:pos="4592"/>
          <w:tab w:val="left" w:pos="7860"/>
        </w:tabs>
        <w:spacing w:before="0" w:line="360" w:lineRule="auto"/>
        <w:jc w:val="left"/>
        <w:rPr>
          <w:rFonts w:ascii="宋体" w:hAnsi="宋体" w:eastAsia="宋体"/>
          <w:color w:val="auto"/>
          <w:sz w:val="28"/>
          <w:highlight w:val="none"/>
        </w:rPr>
      </w:pPr>
      <w:bookmarkStart w:id="75" w:name="_Toc127151518"/>
      <w:bookmarkStart w:id="76" w:name="_Toc520356143"/>
      <w:r>
        <w:rPr>
          <w:rFonts w:hint="eastAsia" w:ascii="宋体" w:hAnsi="宋体" w:eastAsia="宋体"/>
          <w:color w:val="auto"/>
          <w:sz w:val="28"/>
          <w:highlight w:val="none"/>
        </w:rPr>
        <w:tab/>
      </w:r>
      <w:bookmarkStart w:id="77" w:name="_Toc151193760"/>
      <w:bookmarkStart w:id="78" w:name="_Toc151193616"/>
      <w:bookmarkStart w:id="79" w:name="_Toc226965708"/>
      <w:bookmarkStart w:id="80" w:name="_Toc150774723"/>
      <w:bookmarkStart w:id="81" w:name="_Toc142311020"/>
      <w:bookmarkStart w:id="82" w:name="_Toc226965791"/>
      <w:bookmarkStart w:id="83" w:name="_Toc150480756"/>
      <w:bookmarkStart w:id="84" w:name="_Toc151193832"/>
      <w:bookmarkStart w:id="85" w:name="_Toc226337214"/>
      <w:bookmarkStart w:id="86" w:name="_Toc151193688"/>
      <w:bookmarkStart w:id="87" w:name="_Toc195842883"/>
      <w:bookmarkStart w:id="88" w:name="_Toc226309762"/>
      <w:bookmarkStart w:id="89" w:name="_Toc305158786"/>
      <w:bookmarkStart w:id="90" w:name="_Toc151193906"/>
      <w:bookmarkStart w:id="91" w:name="_Toc150774618"/>
      <w:bookmarkStart w:id="92" w:name="_Toc264969208"/>
      <w:bookmarkStart w:id="93" w:name="_Toc150509269"/>
      <w:bookmarkStart w:id="94" w:name="_Toc151190145"/>
      <w:bookmarkStart w:id="95" w:name="_Toc265228356"/>
      <w:bookmarkStart w:id="96" w:name="_Toc305158860"/>
      <w:r>
        <w:rPr>
          <w:rFonts w:hint="eastAsia" w:ascii="宋体" w:hAnsi="宋体" w:eastAsia="宋体"/>
          <w:color w:val="auto"/>
          <w:sz w:val="28"/>
          <w:highlight w:val="none"/>
        </w:rPr>
        <w:t>一   说  明</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Pr>
          <w:rFonts w:hint="eastAsia" w:ascii="宋体" w:hAnsi="宋体" w:eastAsia="宋体"/>
          <w:color w:val="auto"/>
          <w:sz w:val="28"/>
          <w:highlight w:val="none"/>
        </w:rPr>
        <w:tab/>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bookmarkStart w:id="97" w:name="_Toc264969209"/>
      <w:bookmarkStart w:id="98" w:name="_Toc305158861"/>
      <w:bookmarkStart w:id="99" w:name="_Toc305158787"/>
      <w:bookmarkStart w:id="100" w:name="_Toc265228357"/>
      <w:r>
        <w:rPr>
          <w:rFonts w:hint="eastAsia" w:ascii="宋体" w:hAnsi="宋体"/>
          <w:b/>
          <w:bCs/>
          <w:color w:val="auto"/>
          <w:sz w:val="24"/>
          <w:highlight w:val="none"/>
        </w:rPr>
        <w:t>采购人、采购代理机构、投标人</w:t>
      </w:r>
      <w:bookmarkEnd w:id="97"/>
      <w:bookmarkEnd w:id="98"/>
      <w:bookmarkEnd w:id="99"/>
      <w:bookmarkEnd w:id="100"/>
      <w:r>
        <w:rPr>
          <w:rFonts w:hint="eastAsia" w:ascii="宋体" w:hAnsi="宋体"/>
          <w:b/>
          <w:bCs/>
          <w:color w:val="auto"/>
          <w:sz w:val="24"/>
          <w:highlight w:val="none"/>
        </w:rPr>
        <w:t>、联合体</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采购人、采购代理机构：指依法进行政府采购的国家机关、事业单位、团体组织，及其委托的采购代理机构。本项目采购人、采购代理机构见第一章《投标邀请》。</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投标人（也称“供应商”、“申请人”）：指向采购人提供货物、工程或者服务的法人、其他组织或者自然人。</w:t>
      </w:r>
    </w:p>
    <w:p>
      <w:pPr>
        <w:numPr>
          <w:ilvl w:val="1"/>
          <w:numId w:val="9"/>
        </w:numPr>
        <w:tabs>
          <w:tab w:val="left" w:pos="1080"/>
          <w:tab w:val="left" w:pos="1589"/>
          <w:tab w:val="left" w:pos="2014"/>
          <w:tab w:val="left" w:pos="5521"/>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联合体：指两个以上的自然人、法人或者其他组织组成一个联合体，以一个供应商的身份共同参加政府采购。</w:t>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bookmarkStart w:id="101" w:name="_Toc195842885"/>
      <w:bookmarkStart w:id="102" w:name="_Toc305158862"/>
      <w:bookmarkStart w:id="103" w:name="_Toc150774620"/>
      <w:bookmarkStart w:id="104" w:name="_Toc149720813"/>
      <w:bookmarkStart w:id="105" w:name="_Toc164229215"/>
      <w:bookmarkStart w:id="106" w:name="_Toc150480758"/>
      <w:bookmarkStart w:id="107" w:name="_Toc164229361"/>
      <w:bookmarkStart w:id="108" w:name="_Toc151193908"/>
      <w:bookmarkStart w:id="109" w:name="_Toc150774725"/>
      <w:bookmarkStart w:id="110" w:name="_Toc151193690"/>
      <w:bookmarkStart w:id="111" w:name="_Toc151193762"/>
      <w:bookmarkStart w:id="112" w:name="_Toc305158788"/>
      <w:bookmarkStart w:id="113" w:name="_Toc164608789"/>
      <w:bookmarkStart w:id="114" w:name="_Toc151190147"/>
      <w:bookmarkStart w:id="115" w:name="_Toc151193618"/>
      <w:bookmarkStart w:id="116" w:name="_Toc127151721"/>
      <w:bookmarkStart w:id="117" w:name="_Toc127161434"/>
      <w:bookmarkStart w:id="118" w:name="_Toc127151520"/>
      <w:bookmarkStart w:id="119" w:name="_Toc142311022"/>
      <w:bookmarkStart w:id="120" w:name="_Toc164351614"/>
      <w:bookmarkStart w:id="121" w:name="_Toc226965710"/>
      <w:bookmarkStart w:id="122" w:name="_Toc226337216"/>
      <w:bookmarkStart w:id="123" w:name="_Toc226309764"/>
      <w:bookmarkStart w:id="124" w:name="_Toc150509271"/>
      <w:bookmarkStart w:id="125" w:name="_Toc264969210"/>
      <w:bookmarkStart w:id="126" w:name="_Toc151193834"/>
      <w:bookmarkStart w:id="127" w:name="_Toc265228358"/>
      <w:bookmarkStart w:id="128" w:name="_Toc226965793"/>
      <w:bookmarkStart w:id="129" w:name="_Toc164608634"/>
      <w:r>
        <w:rPr>
          <w:rFonts w:hint="eastAsia" w:ascii="宋体" w:hAnsi="宋体"/>
          <w:b/>
          <w:bCs/>
          <w:color w:val="auto"/>
          <w:sz w:val="24"/>
          <w:highlight w:val="none"/>
        </w:rPr>
        <w:t>资金来源</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rPr>
          <w:rFonts w:hint="eastAsia" w:ascii="宋体" w:hAnsi="宋体"/>
          <w:b/>
          <w:bCs/>
          <w:color w:val="auto"/>
          <w:sz w:val="24"/>
          <w:highlight w:val="none"/>
        </w:rPr>
        <w:t>、项目属性、科研仪器设备采购</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资金来源为财政性资金和/或本项目采购中无法与财政性资金分割的非财政性资金。</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项目属性见《投标人须知资料表》。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是否属于科研仪器设备采购见《投标人须知资料表》。</w:t>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r>
        <w:rPr>
          <w:rFonts w:hint="eastAsia" w:ascii="宋体" w:hAnsi="宋体"/>
          <w:b/>
          <w:bCs/>
          <w:color w:val="auto"/>
          <w:sz w:val="24"/>
          <w:highlight w:val="none"/>
        </w:rPr>
        <w:t>现场考察、开标前答疑会</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8"/>
          <w:highlight w:val="none"/>
        </w:rPr>
      </w:pPr>
      <w:r>
        <w:rPr>
          <w:rFonts w:hint="eastAsia" w:ascii="宋体" w:hAnsi="宋体"/>
          <w:color w:val="auto"/>
          <w:sz w:val="24"/>
          <w:highlight w:val="none"/>
        </w:rPr>
        <w:t>若《投标人须知资料表》中规定了组织现场考察、召开开标前答疑会，则投标人应按要求在规定的时间和地点参加。</w:t>
      </w:r>
      <w:bookmarkStart w:id="130" w:name="_Toc150509273"/>
      <w:bookmarkStart w:id="131" w:name="_Toc520356146"/>
      <w:bookmarkStart w:id="132" w:name="_Toc265228360"/>
      <w:bookmarkStart w:id="133" w:name="_Toc127151522"/>
      <w:bookmarkStart w:id="134" w:name="_Toc151193692"/>
      <w:bookmarkStart w:id="135" w:name="_Toc151193910"/>
      <w:bookmarkStart w:id="136" w:name="_Toc226309766"/>
      <w:bookmarkStart w:id="137" w:name="_Toc305158864"/>
      <w:bookmarkStart w:id="138" w:name="_Toc150774622"/>
      <w:bookmarkStart w:id="139" w:name="_Toc195842887"/>
      <w:bookmarkStart w:id="140" w:name="_Toc151190149"/>
      <w:bookmarkStart w:id="141" w:name="_Toc150480760"/>
      <w:bookmarkStart w:id="142" w:name="_Toc151193764"/>
      <w:bookmarkStart w:id="143" w:name="_Toc226965712"/>
      <w:bookmarkStart w:id="144" w:name="_Toc150774727"/>
      <w:bookmarkStart w:id="145" w:name="_Toc264969212"/>
      <w:bookmarkStart w:id="146" w:name="_Toc151193620"/>
      <w:bookmarkStart w:id="147" w:name="_Toc142311024"/>
      <w:bookmarkStart w:id="148" w:name="_Toc151193836"/>
      <w:bookmarkStart w:id="149" w:name="_Toc226337218"/>
      <w:bookmarkStart w:id="150" w:name="_Toc226965795"/>
      <w:bookmarkStart w:id="151" w:name="_Toc305158790"/>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由于未参加现场考察或开标前答疑会而导致对项目实际情况不了解，影响投标文件编制、投标报价准确性、综合因素响应不全面等问题的，由投标人自行承担不利评审后果。</w:t>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r>
        <w:rPr>
          <w:rFonts w:hint="eastAsia" w:ascii="宋体" w:hAnsi="宋体"/>
          <w:b/>
          <w:bCs/>
          <w:color w:val="auto"/>
          <w:sz w:val="24"/>
          <w:highlight w:val="none"/>
        </w:rPr>
        <w:t>样品</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本项目是否要求投标人提供样品，以及样品制作的标准和要求、是否需要随样品提交相关检测报告、样品的递交与退还等要求见《投标人须知资料表》。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样品的评审方法以及评审标准等内容（如涉及）见第四章《评标方法和评标标准》。</w:t>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r>
        <w:rPr>
          <w:rFonts w:hint="eastAsia" w:ascii="宋体" w:hAnsi="宋体"/>
          <w:b/>
          <w:bCs/>
          <w:color w:val="auto"/>
          <w:sz w:val="24"/>
          <w:highlight w:val="none"/>
        </w:rPr>
        <w:t>政府采购政策（包括但不限于下列具体政策要求）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进口产品</w:t>
      </w:r>
    </w:p>
    <w:p>
      <w:pPr>
        <w:numPr>
          <w:ilvl w:val="2"/>
          <w:numId w:val="9"/>
        </w:numPr>
        <w:tabs>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指通过中国海关报关验放进入中国境内且产自关境外的产品，包括已经进入中国境内的进口产品。关于进口产品的相关规定依据《政府采购进口产品管理办法》（财库〔2007〕119号文）、《关于政府采购进口产品管理有关问题的通知》（财办库〔2008〕248号文）。</w:t>
      </w:r>
    </w:p>
    <w:p>
      <w:pPr>
        <w:numPr>
          <w:ilvl w:val="2"/>
          <w:numId w:val="9"/>
        </w:numPr>
        <w:tabs>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本项目是否接受进口产品见第五章《采购需求》。</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中小企业、监狱企业及残疾人福利性单位</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中小企业定义：</w:t>
      </w:r>
    </w:p>
    <w:p>
      <w:pPr>
        <w:pStyle w:val="79"/>
        <w:numPr>
          <w:ilvl w:val="0"/>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0"/>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1"/>
          <w:numId w:val="10"/>
        </w:numPr>
        <w:tabs>
          <w:tab w:val="left" w:pos="1980"/>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2"/>
          <w:numId w:val="10"/>
        </w:numPr>
        <w:tabs>
          <w:tab w:val="left" w:pos="2035"/>
          <w:tab w:val="left" w:pos="2977"/>
        </w:tabs>
        <w:snapToGrid w:val="0"/>
        <w:spacing w:line="360" w:lineRule="auto"/>
        <w:ind w:firstLineChars="0"/>
        <w:rPr>
          <w:rFonts w:ascii="宋体" w:hAnsi="宋体"/>
          <w:vanish/>
          <w:color w:val="auto"/>
          <w:sz w:val="24"/>
          <w:szCs w:val="24"/>
          <w:highlight w:val="none"/>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政府采购促进中小企业发展管理办法》（财库〔2020〕46号）、《关于印发中小企业划型标准规定的通知》（工信部联企业〔2011〕300 号）、《国务院关于进一步促进中小企业发展的若干意见》（国发〔2009〕36 号）。</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供应商提供的货物、工程或者服务符合下列情形的，享受中小企业扶持政策：</w:t>
      </w:r>
    </w:p>
    <w:p>
      <w:pPr>
        <w:tabs>
          <w:tab w:val="left" w:pos="1980"/>
        </w:tabs>
        <w:snapToGrid w:val="0"/>
        <w:spacing w:line="360" w:lineRule="auto"/>
        <w:ind w:left="2835" w:leftChars="1350"/>
        <w:rPr>
          <w:rFonts w:ascii="宋体" w:hAnsi="宋体"/>
          <w:color w:val="auto"/>
          <w:sz w:val="24"/>
          <w:highlight w:val="none"/>
        </w:rPr>
      </w:pPr>
      <w:r>
        <w:rPr>
          <w:rFonts w:hint="eastAsia" w:ascii="宋体" w:hAnsi="宋体"/>
          <w:color w:val="auto"/>
          <w:sz w:val="24"/>
          <w:highlight w:val="none"/>
        </w:rPr>
        <w:t>（1）在货物采购项目中，货物由中小企业制造，即货物由中小企业生产且使用该中小企业商号或者注册商标；</w:t>
      </w:r>
    </w:p>
    <w:p>
      <w:pPr>
        <w:tabs>
          <w:tab w:val="left" w:pos="1980"/>
        </w:tabs>
        <w:snapToGrid w:val="0"/>
        <w:spacing w:line="360" w:lineRule="auto"/>
        <w:ind w:left="2835" w:leftChars="1350"/>
        <w:rPr>
          <w:rFonts w:ascii="宋体" w:hAnsi="宋体"/>
          <w:color w:val="auto"/>
          <w:sz w:val="24"/>
          <w:highlight w:val="none"/>
        </w:rPr>
      </w:pPr>
      <w:r>
        <w:rPr>
          <w:rFonts w:hint="eastAsia" w:ascii="宋体" w:hAnsi="宋体"/>
          <w:color w:val="auto"/>
          <w:sz w:val="24"/>
          <w:highlight w:val="none"/>
        </w:rPr>
        <w:t>（2）在工程采购项目中，工程由中小企业承建，即工程施工单位为中小企业；</w:t>
      </w:r>
    </w:p>
    <w:p>
      <w:pPr>
        <w:tabs>
          <w:tab w:val="left" w:pos="1980"/>
        </w:tabs>
        <w:snapToGrid w:val="0"/>
        <w:spacing w:line="360" w:lineRule="auto"/>
        <w:ind w:left="2835" w:leftChars="1350"/>
        <w:rPr>
          <w:rFonts w:ascii="宋体" w:hAnsi="宋体"/>
          <w:color w:val="auto"/>
          <w:sz w:val="24"/>
          <w:highlight w:val="none"/>
        </w:rPr>
      </w:pPr>
      <w:r>
        <w:rPr>
          <w:rFonts w:hint="eastAsia" w:ascii="宋体" w:hAnsi="宋体"/>
          <w:color w:val="auto"/>
          <w:sz w:val="24"/>
          <w:highlight w:val="none"/>
        </w:rPr>
        <w:t>（3）在服务采购项目中，服务由中小企业承接，即提供服务的人员为中小企业依照《中华人民共和国劳动合同法》订立劳动合同的从业人员。</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在货物采购项目中，供应商提供的货物既有中小企业制造货物，也有大型企业制造货物的，不享受中小企业扶持政策。</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以联合体形式参加政府采购活动，联合体各方均为中小企业的，联合体视同中小企业。其中，联合体各方均为小微企业的，联合体视同小微企业。</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残疾人福利单位定义：享受政府采购支持政策的残疾人福利性单位应当同时满足以下条件：</w:t>
      </w:r>
    </w:p>
    <w:p>
      <w:pPr>
        <w:pStyle w:val="79"/>
        <w:numPr>
          <w:ilvl w:val="2"/>
          <w:numId w:val="10"/>
        </w:numPr>
        <w:tabs>
          <w:tab w:val="left" w:pos="2035"/>
          <w:tab w:val="left" w:pos="2977"/>
        </w:tabs>
        <w:snapToGrid w:val="0"/>
        <w:spacing w:line="360" w:lineRule="auto"/>
        <w:ind w:firstLineChars="0"/>
        <w:rPr>
          <w:rFonts w:ascii="宋体" w:hAnsi="宋体"/>
          <w:vanish/>
          <w:color w:val="auto"/>
          <w:sz w:val="24"/>
          <w:szCs w:val="24"/>
          <w:highlight w:val="none"/>
        </w:rPr>
      </w:pPr>
    </w:p>
    <w:p>
      <w:pPr>
        <w:pStyle w:val="79"/>
        <w:numPr>
          <w:ilvl w:val="2"/>
          <w:numId w:val="10"/>
        </w:numPr>
        <w:tabs>
          <w:tab w:val="left" w:pos="2035"/>
          <w:tab w:val="left" w:pos="2977"/>
        </w:tabs>
        <w:snapToGrid w:val="0"/>
        <w:spacing w:line="360" w:lineRule="auto"/>
        <w:ind w:firstLineChars="0"/>
        <w:rPr>
          <w:rFonts w:ascii="宋体" w:hAnsi="宋体"/>
          <w:vanish/>
          <w:color w:val="auto"/>
          <w:sz w:val="24"/>
          <w:szCs w:val="24"/>
          <w:highlight w:val="none"/>
        </w:rPr>
      </w:pP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安置的残疾人占本单位在职职工人数的比例不低于25%（含25%），并且安置的残疾人人数不少于10 人（含10 人）；</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依法与安置的每位残疾人签订了一年以上（含一年）的劳动合同或服务协议；</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为安置的每位残疾人按月足额缴纳了基本养老保险、基本医疗保险、失业保险、工伤保险和生育保险等社会保险费；</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通过银行等金融机构向安置的每位残疾人，按月支付了不低于单位所在区县适用的经省级人民政府批准的月最低工资标准的工资；</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提供本单位制造的货物、承担的工程或者服务（以下简称产品），或者提供其他残疾人福利性单位制造的货物（不包括使用非残疾人福利性单位注册商标的货物）；</w:t>
      </w:r>
    </w:p>
    <w:p>
      <w:pPr>
        <w:numPr>
          <w:ilvl w:val="3"/>
          <w:numId w:val="10"/>
        </w:numPr>
        <w:tabs>
          <w:tab w:val="left" w:pos="1980"/>
          <w:tab w:val="left" w:pos="2035"/>
          <w:tab w:val="left" w:pos="2885"/>
          <w:tab w:val="left" w:pos="2977"/>
          <w:tab w:val="clear" w:pos="900"/>
        </w:tabs>
        <w:snapToGrid w:val="0"/>
        <w:spacing w:line="360" w:lineRule="auto"/>
        <w:ind w:left="2885"/>
        <w:rPr>
          <w:rFonts w:ascii="宋体" w:hAnsi="宋体"/>
          <w:color w:val="auto"/>
          <w:sz w:val="24"/>
          <w:highlight w:val="none"/>
        </w:rPr>
      </w:pPr>
      <w:r>
        <w:rPr>
          <w:rFonts w:hint="eastAsia" w:ascii="宋体" w:hAnsi="宋体"/>
          <w:color w:val="auto"/>
          <w:sz w:val="24"/>
          <w:highlight w:val="none"/>
        </w:rPr>
        <w:t>前款所称残疾人是指法定劳动年龄内，持有《中华人民共和国残疾人证》或者《中华人民共和国残疾军人证（1 至8 级）》的自然人，包括具有劳动条件和劳动意愿的精神残疾人。在职职工人数是指与残疾人福利性单位建立劳动关系并依法签订劳动合同或服务协议的雇员人数。</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本项目是否专门面向中小企业预留采购份额见第一章《投标邀请》。</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采购标的对应的中小企业划分标准所属行业见《投标人须知资料表》。</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小微企业价格评审优惠的政策调整：见第四章《评标方法和评标标准》。</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政府采购节能产品、环境标志产品</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 xml:space="preserve">采购人拟采购的产品属于品目清单范围的，采购人及其委托的采购代理机构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如本项目采购产品属于实施政府强制采购品目清单范围的节能产品，则投标人所报产品必须获得国家确定的认证机构出具的、处于有效期之内的节能产品认证证书，</w:t>
      </w:r>
      <w:r>
        <w:rPr>
          <w:rFonts w:hint="eastAsia" w:ascii="宋体" w:hAnsi="宋体"/>
          <w:color w:val="auto"/>
          <w:kern w:val="0"/>
          <w:sz w:val="24"/>
          <w:highlight w:val="none"/>
        </w:rPr>
        <w:t>否则</w:t>
      </w:r>
      <w:r>
        <w:rPr>
          <w:rFonts w:hint="eastAsia" w:ascii="宋体" w:hAnsi="宋体"/>
          <w:b/>
          <w:color w:val="auto"/>
          <w:kern w:val="0"/>
          <w:sz w:val="24"/>
          <w:highlight w:val="none"/>
        </w:rPr>
        <w:t>投标无效</w:t>
      </w:r>
      <w:r>
        <w:rPr>
          <w:rFonts w:hint="eastAsia" w:ascii="宋体" w:hAnsi="宋体"/>
          <w:color w:val="auto"/>
          <w:sz w:val="24"/>
          <w:highlight w:val="none"/>
        </w:rPr>
        <w:t>；</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非政府强制采购的节能产品或环境标志产品，依据品目清单和认证证书实施政府优先采购。优先采购的具体规定见第四章《评标方法和评标标准》（如涉及）。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支持乡村产业振兴管理</w:t>
      </w:r>
    </w:p>
    <w:p>
      <w:pPr>
        <w:numPr>
          <w:ilvl w:val="2"/>
          <w:numId w:val="9"/>
        </w:numPr>
        <w:tabs>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为落实《关于运用政府采购政策支持乡村产业振兴的通知》（财库〔2021〕19号）有关要求，做好支持脱贫攻坚工作，本项目采购活动中对于支持乡村振兴管理的相关要求见第五章《采购需求》（如涉及）。</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正版软件</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依据《财政部 国家发展改革委 信息产业部关于印发无线局域网产品政府采购实施意见的通知》（财库〔2005〕366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w:t>
      </w:r>
      <w:r>
        <w:rPr>
          <w:rFonts w:hint="eastAsia" w:ascii="宋体" w:hAnsi="宋体"/>
          <w:color w:val="auto"/>
          <w:kern w:val="0"/>
          <w:sz w:val="24"/>
          <w:highlight w:val="none"/>
        </w:rPr>
        <w:t>否则</w:t>
      </w:r>
      <w:r>
        <w:rPr>
          <w:rFonts w:hint="eastAsia" w:ascii="宋体" w:hAnsi="宋体"/>
          <w:b/>
          <w:color w:val="auto"/>
          <w:kern w:val="0"/>
          <w:sz w:val="24"/>
          <w:highlight w:val="none"/>
        </w:rPr>
        <w:t>投标无效</w:t>
      </w:r>
      <w:r>
        <w:rPr>
          <w:rFonts w:hint="eastAsia" w:ascii="宋体" w:hAnsi="宋体"/>
          <w:color w:val="auto"/>
          <w:sz w:val="24"/>
          <w:highlight w:val="none"/>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清单）的形式公布。清单中新增认证产品厂商和型号，由财政部、国家发展改革委、信息产业部以文件形式确定、公布并适时调整。</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信息安全产品</w:t>
      </w:r>
    </w:p>
    <w:p>
      <w:pPr>
        <w:numPr>
          <w:ilvl w:val="2"/>
          <w:numId w:val="9"/>
        </w:numPr>
        <w:tabs>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所投产品属于《关于调整信息安全产品强制性认证实施要求的公告》（2009 年第33 号）范围的，采购经国家认证的信息安全产品，</w:t>
      </w:r>
      <w:r>
        <w:rPr>
          <w:rFonts w:hint="eastAsia" w:ascii="宋体" w:hAnsi="宋体"/>
          <w:color w:val="auto"/>
          <w:kern w:val="0"/>
          <w:sz w:val="24"/>
          <w:highlight w:val="none"/>
        </w:rPr>
        <w:t>否则</w:t>
      </w:r>
      <w:r>
        <w:rPr>
          <w:rFonts w:hint="eastAsia" w:ascii="宋体" w:hAnsi="宋体"/>
          <w:b/>
          <w:color w:val="auto"/>
          <w:kern w:val="0"/>
          <w:sz w:val="24"/>
          <w:highlight w:val="none"/>
        </w:rPr>
        <w:t>投标无效</w:t>
      </w:r>
      <w:r>
        <w:rPr>
          <w:rFonts w:hint="eastAsia" w:ascii="宋体" w:hAnsi="宋体"/>
          <w:color w:val="auto"/>
          <w:sz w:val="24"/>
          <w:highlight w:val="none"/>
        </w:rPr>
        <w:t>。关于信息安全相关规定依据《关于信息安全产品实施政府采购的通知》（财库〔2010〕48 号）。</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推广使用低挥发性有机化合物（VOCs）</w:t>
      </w:r>
    </w:p>
    <w:p>
      <w:pPr>
        <w:numPr>
          <w:ilvl w:val="2"/>
          <w:numId w:val="9"/>
        </w:numPr>
        <w:tabs>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w:t>
      </w:r>
      <w:r>
        <w:rPr>
          <w:rFonts w:hint="eastAsia" w:ascii="宋体" w:hAnsi="宋体"/>
          <w:color w:val="auto"/>
          <w:kern w:val="0"/>
          <w:sz w:val="24"/>
          <w:highlight w:val="none"/>
        </w:rPr>
        <w:t>否则</w:t>
      </w:r>
      <w:r>
        <w:rPr>
          <w:rFonts w:hint="eastAsia" w:ascii="宋体" w:hAnsi="宋体"/>
          <w:b/>
          <w:color w:val="auto"/>
          <w:kern w:val="0"/>
          <w:sz w:val="24"/>
          <w:highlight w:val="none"/>
        </w:rPr>
        <w:t>投标无效</w:t>
      </w:r>
      <w:r>
        <w:rPr>
          <w:rFonts w:hint="eastAsia" w:ascii="宋体" w:hAnsi="宋体"/>
          <w:color w:val="auto"/>
          <w:sz w:val="24"/>
          <w:highlight w:val="none"/>
        </w:rPr>
        <w:t>；属于推荐性标准的，优先采购，具体见第四章《评标方法和评标标准》。</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投标费用</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投标人应自行承担所有与准备和参加投标有关的费用，无论投标的结果如何，采购人或采购代理机构在任何情况下均无承担这些费用的义务和责任。</w:t>
      </w:r>
    </w:p>
    <w:p>
      <w:pPr>
        <w:tabs>
          <w:tab w:val="left" w:pos="1080"/>
        </w:tabs>
        <w:snapToGrid w:val="0"/>
        <w:spacing w:line="360" w:lineRule="auto"/>
        <w:ind w:left="1080"/>
        <w:rPr>
          <w:rFonts w:ascii="宋体" w:hAnsi="宋体"/>
          <w:color w:val="auto"/>
          <w:sz w:val="28"/>
          <w:highlight w:val="none"/>
        </w:rPr>
      </w:pPr>
      <w:bookmarkStart w:id="152" w:name="_1.8_计量单位"/>
      <w:bookmarkEnd w:id="152"/>
    </w:p>
    <w:p>
      <w:pPr>
        <w:pStyle w:val="4"/>
        <w:spacing w:before="0" w:line="360" w:lineRule="auto"/>
        <w:rPr>
          <w:rFonts w:ascii="宋体" w:hAnsi="宋体" w:eastAsia="宋体"/>
          <w:color w:val="auto"/>
          <w:sz w:val="28"/>
          <w:highlight w:val="none"/>
        </w:rPr>
      </w:pPr>
      <w:r>
        <w:rPr>
          <w:rFonts w:hint="eastAsia" w:ascii="宋体" w:hAnsi="宋体" w:eastAsia="宋体"/>
          <w:color w:val="auto"/>
          <w:sz w:val="28"/>
          <w:highlight w:val="none"/>
        </w:rPr>
        <w:t>二   招标文件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153" w:name="_Toc150509274"/>
      <w:bookmarkStart w:id="154" w:name="_Toc164229364"/>
      <w:bookmarkStart w:id="155" w:name="_Toc127151523"/>
      <w:bookmarkStart w:id="156" w:name="_Toc151193837"/>
      <w:bookmarkStart w:id="157" w:name="_Toc151193621"/>
      <w:bookmarkStart w:id="158" w:name="_Toc226309767"/>
      <w:bookmarkStart w:id="159" w:name="_Toc264969213"/>
      <w:bookmarkStart w:id="160" w:name="_Toc164608637"/>
      <w:bookmarkStart w:id="161" w:name="_Toc164608792"/>
      <w:bookmarkStart w:id="162" w:name="_Toc265228361"/>
      <w:bookmarkStart w:id="163" w:name="_Toc150480761"/>
      <w:bookmarkStart w:id="164" w:name="_Toc305158791"/>
      <w:bookmarkStart w:id="165" w:name="_Toc151193911"/>
      <w:bookmarkStart w:id="166" w:name="_Toc127151724"/>
      <w:bookmarkStart w:id="167" w:name="_Toc149720816"/>
      <w:bookmarkStart w:id="168" w:name="_Toc520356147"/>
      <w:bookmarkStart w:id="169" w:name="_Toc142311025"/>
      <w:bookmarkStart w:id="170" w:name="_Toc226337219"/>
      <w:bookmarkStart w:id="171" w:name="_Toc226965796"/>
      <w:bookmarkStart w:id="172" w:name="_Toc226965713"/>
      <w:bookmarkStart w:id="173" w:name="_Toc150774728"/>
      <w:bookmarkStart w:id="174" w:name="_Toc305158865"/>
      <w:bookmarkStart w:id="175" w:name="_Toc151190150"/>
      <w:bookmarkStart w:id="176" w:name="_Toc195842888"/>
      <w:bookmarkStart w:id="177" w:name="_Toc127161437"/>
      <w:bookmarkStart w:id="178" w:name="_Toc150774623"/>
      <w:bookmarkStart w:id="179" w:name="_Toc164229218"/>
      <w:bookmarkStart w:id="180" w:name="_Toc151193693"/>
      <w:bookmarkStart w:id="181" w:name="_Toc164351617"/>
      <w:bookmarkStart w:id="182" w:name="_Toc151193765"/>
      <w:r>
        <w:rPr>
          <w:rFonts w:hint="eastAsia" w:ascii="宋体" w:hAnsi="宋体"/>
          <w:color w:val="auto"/>
          <w:sz w:val="24"/>
          <w:highlight w:val="none"/>
        </w:rPr>
        <w:t>招标文件构</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hint="eastAsia" w:ascii="宋体" w:hAnsi="宋体"/>
          <w:color w:val="auto"/>
          <w:sz w:val="24"/>
          <w:highlight w:val="none"/>
        </w:rPr>
        <w:t>成</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招标文件包括以下部分：</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投标邀请</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投标人须知</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资格审查</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评标程序、评标方法和评标标准</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采购需求</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拟签订的合同文本</w:t>
      </w:r>
    </w:p>
    <w:p>
      <w:pPr>
        <w:numPr>
          <w:ilvl w:val="0"/>
          <w:numId w:val="11"/>
        </w:numPr>
        <w:tabs>
          <w:tab w:val="left" w:pos="1980"/>
          <w:tab w:val="left" w:pos="2520"/>
        </w:tabs>
        <w:snapToGrid w:val="0"/>
        <w:spacing w:line="360" w:lineRule="auto"/>
        <w:ind w:left="1440" w:firstLine="5"/>
        <w:rPr>
          <w:rFonts w:ascii="宋体" w:hAnsi="宋体"/>
          <w:color w:val="auto"/>
          <w:sz w:val="24"/>
          <w:highlight w:val="none"/>
        </w:rPr>
      </w:pPr>
      <w:r>
        <w:rPr>
          <w:rFonts w:hint="eastAsia" w:ascii="宋体" w:hAnsi="宋体"/>
          <w:color w:val="auto"/>
          <w:sz w:val="24"/>
          <w:highlight w:val="none"/>
        </w:rPr>
        <w:t>投标文件格式</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投标人应认真阅读招标文件的全部内容。投标人应按照招标文件要求提交投标文件并保证所提供的全部资料的真实性，并对招标文件做出实质性响应，否则</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0"/>
          <w:numId w:val="9"/>
        </w:numPr>
        <w:tabs>
          <w:tab w:val="left" w:pos="1080"/>
          <w:tab w:val="left" w:pos="2014"/>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对招标文件的澄清或修改</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采购人或采购代理机构对已发出的招标文件进行必要澄清或者修改的，将在原公告发布媒体上发布更正公告，并以书面形式通知所有获取招标文件的潜在投标人。</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上述书面通知，按照获取招标文件的潜在投标人提供的联系方式发出，因提供的信息有误导致通知延迟或无法通知的，采购人或采购代理机构不承担责任。</w:t>
      </w:r>
    </w:p>
    <w:p>
      <w:pPr>
        <w:numPr>
          <w:ilvl w:val="1"/>
          <w:numId w:val="9"/>
        </w:numPr>
        <w:tabs>
          <w:tab w:val="left" w:pos="1080"/>
          <w:tab w:val="left" w:pos="1561"/>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澄清或者修改的内容为招标文件的组成部分，并对所有获取招标文件的潜在投标人具有约束力。澄清或者修改的内容可能影响投标文件编制的，将在投标截止时间至少15日前，以书面形式通知所有获取招标文件的潜在投标人；不足15日的，将顺延提交投标文件的截止时间和开标时间。</w:t>
      </w:r>
    </w:p>
    <w:p>
      <w:pPr>
        <w:tabs>
          <w:tab w:val="left" w:pos="1080"/>
          <w:tab w:val="left" w:pos="1561"/>
        </w:tabs>
        <w:snapToGrid w:val="0"/>
        <w:spacing w:line="360" w:lineRule="auto"/>
        <w:ind w:left="1080"/>
        <w:rPr>
          <w:rFonts w:ascii="宋体" w:hAnsi="宋体"/>
          <w:color w:val="auto"/>
          <w:sz w:val="28"/>
          <w:highlight w:val="none"/>
        </w:rPr>
      </w:pPr>
      <w:bookmarkStart w:id="183" w:name="_Toc516367020"/>
      <w:bookmarkStart w:id="184" w:name="_Toc264969216"/>
      <w:bookmarkStart w:id="185" w:name="_Toc520356150"/>
      <w:bookmarkStart w:id="186" w:name="_Toc151193840"/>
      <w:bookmarkStart w:id="187" w:name="_Toc127151526"/>
      <w:bookmarkStart w:id="188" w:name="_Toc142311028"/>
      <w:bookmarkStart w:id="189" w:name="_Toc150774626"/>
      <w:bookmarkStart w:id="190" w:name="_Toc226309770"/>
      <w:bookmarkStart w:id="191" w:name="_Toc195842891"/>
      <w:bookmarkStart w:id="192" w:name="_Toc151193624"/>
      <w:bookmarkStart w:id="193" w:name="_Toc151193768"/>
      <w:bookmarkStart w:id="194" w:name="_Toc265228364"/>
      <w:bookmarkStart w:id="195" w:name="_Toc226965799"/>
      <w:bookmarkStart w:id="196" w:name="_Toc226965716"/>
      <w:bookmarkStart w:id="197" w:name="_Toc150480764"/>
      <w:bookmarkStart w:id="198" w:name="_Toc151190153"/>
      <w:bookmarkStart w:id="199" w:name="_Toc150509277"/>
      <w:bookmarkStart w:id="200" w:name="_Toc226337222"/>
      <w:bookmarkStart w:id="201" w:name="_Toc305158794"/>
      <w:bookmarkStart w:id="202" w:name="_Toc305158868"/>
      <w:bookmarkStart w:id="203" w:name="_Toc151193696"/>
      <w:bookmarkStart w:id="204" w:name="_Toc150774731"/>
      <w:bookmarkStart w:id="205" w:name="_Toc151193914"/>
    </w:p>
    <w:p>
      <w:pPr>
        <w:pStyle w:val="4"/>
        <w:spacing w:before="0" w:line="360" w:lineRule="auto"/>
        <w:rPr>
          <w:rFonts w:ascii="宋体" w:hAnsi="宋体" w:eastAsia="宋体"/>
          <w:color w:val="auto"/>
          <w:sz w:val="28"/>
          <w:highlight w:val="none"/>
        </w:rPr>
      </w:pPr>
      <w:r>
        <w:rPr>
          <w:rFonts w:hint="eastAsia" w:ascii="宋体" w:hAnsi="宋体" w:eastAsia="宋体"/>
          <w:color w:val="auto"/>
          <w:sz w:val="28"/>
          <w:highlight w:val="none"/>
        </w:rPr>
        <w:t>三   投标文件</w:t>
      </w:r>
      <w:bookmarkEnd w:id="183"/>
      <w:r>
        <w:rPr>
          <w:rFonts w:hint="eastAsia" w:ascii="宋体" w:hAnsi="宋体" w:eastAsia="宋体"/>
          <w:color w:val="auto"/>
          <w:sz w:val="28"/>
          <w:highlight w:val="none"/>
        </w:rPr>
        <w:t>的编制</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206" w:name="_Toc516367021"/>
      <w:bookmarkStart w:id="207" w:name="_Toc226965800"/>
      <w:bookmarkStart w:id="208" w:name="_Toc150509278"/>
      <w:bookmarkStart w:id="209" w:name="_Toc164229222"/>
      <w:bookmarkStart w:id="210" w:name="_Toc226309771"/>
      <w:bookmarkStart w:id="211" w:name="_Toc305158869"/>
      <w:bookmarkStart w:id="212" w:name="_Toc151193625"/>
      <w:bookmarkStart w:id="213" w:name="_Toc127151728"/>
      <w:bookmarkStart w:id="214" w:name="_Toc127151527"/>
      <w:bookmarkStart w:id="215" w:name="_Toc164608796"/>
      <w:bookmarkStart w:id="216" w:name="_Toc151193841"/>
      <w:bookmarkStart w:id="217" w:name="_Toc305158795"/>
      <w:bookmarkStart w:id="218" w:name="_Toc127161441"/>
      <w:bookmarkStart w:id="219" w:name="_Toc226965717"/>
      <w:bookmarkStart w:id="220" w:name="_Toc264969217"/>
      <w:bookmarkStart w:id="221" w:name="_Toc150480765"/>
      <w:bookmarkStart w:id="222" w:name="_Toc151193697"/>
      <w:bookmarkStart w:id="223" w:name="_Toc151193769"/>
      <w:bookmarkStart w:id="224" w:name="_Toc149720820"/>
      <w:bookmarkStart w:id="225" w:name="_Toc226337223"/>
      <w:bookmarkStart w:id="226" w:name="_Toc142311029"/>
      <w:bookmarkStart w:id="227" w:name="_Toc520356151"/>
      <w:bookmarkStart w:id="228" w:name="_Toc195842892"/>
      <w:bookmarkStart w:id="229" w:name="_Toc150774732"/>
      <w:bookmarkStart w:id="230" w:name="_Toc265228365"/>
      <w:bookmarkStart w:id="231" w:name="_Toc151193915"/>
      <w:bookmarkStart w:id="232" w:name="_Toc164608641"/>
      <w:bookmarkStart w:id="233" w:name="_Toc150774627"/>
      <w:bookmarkStart w:id="234" w:name="_Toc164351621"/>
      <w:bookmarkStart w:id="235" w:name="_Toc164229368"/>
      <w:bookmarkStart w:id="236" w:name="_Toc151190154"/>
      <w:r>
        <w:rPr>
          <w:rFonts w:hint="eastAsia" w:ascii="宋体" w:hAnsi="宋体"/>
          <w:color w:val="auto"/>
          <w:sz w:val="24"/>
          <w:highlight w:val="none"/>
        </w:rPr>
        <w:t>投标范围、投标文件中计量单位的使用</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Pr>
          <w:rFonts w:hint="eastAsia" w:ascii="宋体" w:hAnsi="宋体"/>
          <w:color w:val="auto"/>
          <w:sz w:val="24"/>
          <w:highlight w:val="none"/>
        </w:rPr>
        <w:t>及投标语言</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本项目如划分采购包，投标人可以对本项目的其中一个采购包进行投标，也可同时对多个采购包进行投标。投标人应当对所投采购包对应第五章《采购需求》所列的全部内容进行投标，不得将一个采购包中的内容拆开投标，否则其对该采购包的投标将被认定为</w:t>
      </w:r>
      <w:r>
        <w:rPr>
          <w:rFonts w:hint="eastAsia" w:ascii="宋体" w:hAnsi="宋体"/>
          <w:b/>
          <w:color w:val="auto"/>
          <w:sz w:val="24"/>
          <w:highlight w:val="none"/>
        </w:rPr>
        <w:t>无效投标</w:t>
      </w:r>
      <w:r>
        <w:rPr>
          <w:rFonts w:hint="eastAsia" w:ascii="宋体" w:hAnsi="宋体"/>
          <w:color w:val="auto"/>
          <w:sz w:val="24"/>
          <w:highlight w:val="none"/>
        </w:rPr>
        <w:t>。</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除招标文件有特殊要求外，本项目投标所使用的计量单位，应采用中华人民共和国法定计量单位。</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237" w:name="_Ref467306195"/>
      <w:bookmarkStart w:id="238" w:name="_Ref467306676"/>
      <w:bookmarkStart w:id="239" w:name="_Toc516367022"/>
      <w:bookmarkStart w:id="240" w:name="_Toc226309772"/>
      <w:bookmarkStart w:id="241" w:name="_Toc150480766"/>
      <w:bookmarkStart w:id="242" w:name="_Toc305158796"/>
      <w:bookmarkStart w:id="243" w:name="_Toc151193626"/>
      <w:bookmarkStart w:id="244" w:name="_Toc149720821"/>
      <w:bookmarkStart w:id="245" w:name="_Toc151193842"/>
      <w:bookmarkStart w:id="246" w:name="_Toc127151528"/>
      <w:bookmarkStart w:id="247" w:name="_Toc164229223"/>
      <w:bookmarkStart w:id="248" w:name="_Toc151193698"/>
      <w:bookmarkStart w:id="249" w:name="_Toc127151729"/>
      <w:bookmarkStart w:id="250" w:name="_Toc226965801"/>
      <w:bookmarkStart w:id="251" w:name="_Toc520356152"/>
      <w:bookmarkStart w:id="252" w:name="_Toc264969218"/>
      <w:bookmarkStart w:id="253" w:name="_Toc127161442"/>
      <w:bookmarkStart w:id="254" w:name="_Toc164229369"/>
      <w:bookmarkStart w:id="255" w:name="_Toc150774733"/>
      <w:bookmarkStart w:id="256" w:name="_Toc226337224"/>
      <w:bookmarkStart w:id="257" w:name="_Toc151193770"/>
      <w:bookmarkStart w:id="258" w:name="_Toc305158870"/>
      <w:bookmarkStart w:id="259" w:name="_Toc151193916"/>
      <w:bookmarkStart w:id="260" w:name="_Toc164351622"/>
      <w:bookmarkStart w:id="261" w:name="_Toc226965718"/>
      <w:bookmarkStart w:id="262" w:name="_Toc151190155"/>
      <w:bookmarkStart w:id="263" w:name="_Toc195842893"/>
      <w:bookmarkStart w:id="264" w:name="_Toc150774628"/>
      <w:bookmarkStart w:id="265" w:name="_Toc164608797"/>
      <w:bookmarkStart w:id="266" w:name="_Toc150509279"/>
      <w:bookmarkStart w:id="267" w:name="_Toc164608642"/>
      <w:bookmarkStart w:id="268" w:name="_Toc265228366"/>
      <w:bookmarkStart w:id="269" w:name="_Toc142311030"/>
      <w:r>
        <w:rPr>
          <w:rFonts w:hint="eastAsia" w:ascii="宋体" w:hAnsi="宋体"/>
          <w:color w:val="auto"/>
          <w:sz w:val="24"/>
          <w:highlight w:val="none"/>
        </w:rPr>
        <w:t>投标文件</w:t>
      </w:r>
      <w:bookmarkEnd w:id="237"/>
      <w:bookmarkEnd w:id="238"/>
      <w:bookmarkEnd w:id="239"/>
      <w:r>
        <w:rPr>
          <w:rFonts w:hint="eastAsia" w:ascii="宋体" w:hAnsi="宋体"/>
          <w:color w:val="auto"/>
          <w:sz w:val="24"/>
          <w:highlight w:val="none"/>
        </w:rPr>
        <w:t>构成</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bookmarkStart w:id="270" w:name="_Ref467052588"/>
      <w:r>
        <w:rPr>
          <w:rFonts w:hint="eastAsia" w:ascii="宋体" w:hAnsi="宋体"/>
          <w:color w:val="auto"/>
          <w:sz w:val="24"/>
          <w:highlight w:val="none"/>
        </w:rPr>
        <w:t>投标人应当按照招标文件的要求编制投标文件。</w:t>
      </w:r>
      <w:r>
        <w:rPr>
          <w:rFonts w:hint="eastAsia" w:ascii="宋体" w:hAnsi="宋体"/>
          <w:b/>
          <w:bCs/>
          <w:color w:val="auto"/>
          <w:sz w:val="24"/>
          <w:highlight w:val="none"/>
        </w:rPr>
        <w:t>投标文件应由《资格证明文件》、《商务技术文件》两部分构成</w:t>
      </w:r>
      <w:r>
        <w:rPr>
          <w:rFonts w:hint="eastAsia" w:ascii="宋体" w:hAnsi="宋体"/>
          <w:color w:val="auto"/>
          <w:sz w:val="24"/>
          <w:highlight w:val="none"/>
        </w:rPr>
        <w:t>。投标文件的部分格式要求，见第七章《投标文件格式》。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b/>
          <w:bCs/>
          <w:color w:val="auto"/>
          <w:kern w:val="0"/>
          <w:sz w:val="24"/>
          <w:highlight w:val="none"/>
        </w:rPr>
        <w:t>对于招标文件中标记了“实质性格式”文件的，</w:t>
      </w:r>
      <w:r>
        <w:rPr>
          <w:rFonts w:hint="eastAsia" w:ascii="宋体" w:hAnsi="宋体"/>
          <w:b/>
          <w:bCs/>
          <w:color w:val="auto"/>
          <w:sz w:val="24"/>
          <w:highlight w:val="none"/>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color w:val="auto"/>
          <w:kern w:val="0"/>
          <w:sz w:val="24"/>
          <w:highlight w:val="none"/>
        </w:rPr>
        <w:t>否则投标无效。未标记“实质性格式”的文件和招标文件未提供格式的内容，可由投标人自行编写</w:t>
      </w:r>
      <w:r>
        <w:rPr>
          <w:rFonts w:hint="eastAsia" w:ascii="宋体" w:hAnsi="宋体"/>
          <w:color w:val="auto"/>
          <w:kern w:val="0"/>
          <w:sz w:val="24"/>
          <w:highlight w:val="none"/>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第四章《评标程序、评标方法和评标标准》中涉及的证明文件。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对照第五章《采购需求》，说明所提供货物和服务已对第五章《采购需求》做出了响应，或申明与第五章《采购需求》的偏差和例外。如第五章《采购需求》中要求提供证明文件的，投标人应当按具体要求提供证明文件。</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投标人认为应附的其他材料。</w:t>
      </w:r>
      <w:bookmarkEnd w:id="270"/>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271" w:name="_Toc150509281"/>
      <w:bookmarkStart w:id="272" w:name="_Toc164229225"/>
      <w:bookmarkStart w:id="273" w:name="_Toc151193844"/>
      <w:bookmarkStart w:id="274" w:name="_Toc151193918"/>
      <w:bookmarkStart w:id="275" w:name="_Toc164351624"/>
      <w:bookmarkStart w:id="276" w:name="_Toc151193700"/>
      <w:bookmarkStart w:id="277" w:name="_Toc195842895"/>
      <w:bookmarkStart w:id="278" w:name="_Toc149720823"/>
      <w:bookmarkStart w:id="279" w:name="_Toc127161444"/>
      <w:bookmarkStart w:id="280" w:name="_Toc150774630"/>
      <w:bookmarkStart w:id="281" w:name="_Toc151193628"/>
      <w:bookmarkStart w:id="282" w:name="_Toc164229371"/>
      <w:bookmarkStart w:id="283" w:name="_Toc151193772"/>
      <w:bookmarkStart w:id="284" w:name="_Toc150774735"/>
      <w:bookmarkStart w:id="285" w:name="_Toc151190157"/>
      <w:bookmarkStart w:id="286" w:name="_Toc520356155"/>
      <w:bookmarkStart w:id="287" w:name="_Toc150480768"/>
      <w:bookmarkStart w:id="288" w:name="_Toc127151530"/>
      <w:bookmarkStart w:id="289" w:name="_Toc164608644"/>
      <w:bookmarkStart w:id="290" w:name="_Toc127151731"/>
      <w:bookmarkStart w:id="291" w:name="_Toc142311032"/>
      <w:bookmarkStart w:id="292" w:name="_Toc164608799"/>
      <w:r>
        <w:rPr>
          <w:rFonts w:hint="eastAsia" w:ascii="宋体" w:hAnsi="宋体"/>
          <w:color w:val="auto"/>
          <w:sz w:val="24"/>
          <w:highlight w:val="none"/>
        </w:rPr>
        <w:t>投标报价</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所有投标均以人民币报价。</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投标人的报价应包括为完成本项目所发生的一切费用和税费，采购人将不再支付报价以外的任何费用。投标人的报价应包括但不限于下列内容，《投标人须知资料表》中有特殊规定的，从其规定。</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按照招标文件要求完成本项目的全部相关服务费用；</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 xml:space="preserve">按照招标文件要求完成本项目的全部相关服务费用。 </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采购人不得向供应商索要或者接受其给予的赠品、回扣或者与采购无关的其他商品、服务。</w:t>
      </w:r>
    </w:p>
    <w:p>
      <w:pPr>
        <w:numPr>
          <w:ilvl w:val="1"/>
          <w:numId w:val="9"/>
        </w:numPr>
        <w:tabs>
          <w:tab w:val="left" w:pos="1080"/>
          <w:tab w:val="left" w:pos="1589"/>
          <w:tab w:val="left" w:pos="2014"/>
          <w:tab w:val="clear" w:pos="8535"/>
        </w:tabs>
        <w:snapToGrid w:val="0"/>
        <w:spacing w:line="360" w:lineRule="auto"/>
        <w:ind w:left="1080" w:hanging="720"/>
        <w:rPr>
          <w:rFonts w:ascii="宋体" w:hAnsi="宋体"/>
          <w:color w:val="auto"/>
          <w:sz w:val="24"/>
          <w:highlight w:val="none"/>
        </w:rPr>
      </w:pPr>
      <w:r>
        <w:rPr>
          <w:rFonts w:hint="eastAsia" w:ascii="宋体" w:hAnsi="宋体"/>
          <w:color w:val="auto"/>
          <w:sz w:val="24"/>
          <w:highlight w:val="none"/>
        </w:rPr>
        <w:t>投标人不能提供任何有选择性或可调整的报价，否则其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293" w:name="_Toc142311033"/>
      <w:bookmarkStart w:id="294" w:name="_Toc150774736"/>
      <w:bookmarkStart w:id="295" w:name="_Toc164229372"/>
      <w:bookmarkStart w:id="296" w:name="_Toc151193629"/>
      <w:bookmarkStart w:id="297" w:name="_Toc149720824"/>
      <w:bookmarkStart w:id="298" w:name="_Toc226965721"/>
      <w:bookmarkStart w:id="299" w:name="_Toc150480769"/>
      <w:bookmarkStart w:id="300" w:name="_Toc226309775"/>
      <w:bookmarkStart w:id="301" w:name="_Toc164608800"/>
      <w:bookmarkStart w:id="302" w:name="_Toc150509282"/>
      <w:bookmarkStart w:id="303" w:name="_Toc150774631"/>
      <w:bookmarkStart w:id="304" w:name="_Toc195842896"/>
      <w:bookmarkStart w:id="305" w:name="_Toc520356156"/>
      <w:bookmarkStart w:id="306" w:name="_Toc264969221"/>
      <w:bookmarkStart w:id="307" w:name="_Toc164229226"/>
      <w:bookmarkStart w:id="308" w:name="_Toc151193845"/>
      <w:bookmarkStart w:id="309" w:name="_Toc226337227"/>
      <w:bookmarkStart w:id="310" w:name="_Ref467306513"/>
      <w:bookmarkStart w:id="311" w:name="_Toc151193919"/>
      <w:bookmarkStart w:id="312" w:name="_Toc151193701"/>
      <w:bookmarkStart w:id="313" w:name="_Toc127161445"/>
      <w:bookmarkStart w:id="314" w:name="_Toc164351625"/>
      <w:bookmarkStart w:id="315" w:name="_Toc305158799"/>
      <w:bookmarkStart w:id="316" w:name="_Toc127151732"/>
      <w:bookmarkStart w:id="317" w:name="_Toc127151531"/>
      <w:bookmarkStart w:id="318" w:name="_Toc151193773"/>
      <w:bookmarkStart w:id="319" w:name="_Toc265228369"/>
      <w:bookmarkStart w:id="320" w:name="_Toc305158873"/>
      <w:bookmarkStart w:id="321" w:name="_Toc164608645"/>
      <w:bookmarkStart w:id="322" w:name="_Toc226965804"/>
      <w:bookmarkStart w:id="323" w:name="_Toc151190158"/>
      <w:r>
        <w:rPr>
          <w:rFonts w:hint="eastAsia" w:ascii="宋体" w:hAnsi="宋体"/>
          <w:color w:val="auto"/>
          <w:sz w:val="24"/>
          <w:highlight w:val="none"/>
        </w:rPr>
        <w:t>投标保证金</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bookmarkStart w:id="324" w:name="_Ref467306302"/>
      <w:r>
        <w:rPr>
          <w:rFonts w:hint="eastAsia" w:ascii="宋体" w:hAnsi="宋体"/>
          <w:color w:val="auto"/>
          <w:sz w:val="24"/>
          <w:highlight w:val="none"/>
        </w:rPr>
        <w:t>投标人应按《投标人须知资料表》中规定的金额及要求交纳投标保证金</w:t>
      </w:r>
      <w:bookmarkEnd w:id="324"/>
      <w:r>
        <w:rPr>
          <w:rFonts w:hint="eastAsia" w:ascii="宋体" w:hAnsi="宋体"/>
          <w:color w:val="auto"/>
          <w:sz w:val="24"/>
          <w:highlight w:val="none"/>
        </w:rPr>
        <w:t>，并作为其投标的一部分。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交纳投标保证金可采用的形式：政府采购法律法规接受的网上银行支付或者金融机构、担保机构出具的保函等非现金形式。</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保证金到账（保函提交）截止时间同投标截止时间。以网上银行支付等形式提交投标保证金的，应在投标截止时间前到账；以金融机构、担保机构出具的保函等形式提交投标保证金的，应在投标截止时间前将原件提交至采购代理机构。由于到账时间晚于投标截止时间的，或者票据错误、印鉴不清等原因导致不能到账的，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投标保证金（保函）有效期同投标有效期。</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联合体投标的，可以由联合体中的一方或者共同提交投标保证金，以一方名义提交投标保证金的，对联合体各方均具有约束力。</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购人、采购代理机构将及时退还投标人的投标保证金，采用银行保函、担保机构担保函等形式递交的投标保证金，经供应商同意后采购人、采购代理机构可以不再退还，但因投标人自身原因导致无法及时退还的除外：</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投标人在投标截止时间前撤回已提交的投标文件的，自收到投标人书面撤回通知之日起5个工作日内退还已收取的投标保证金；</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中标人的投标保证金，自采购合同签订之日起5个工作日内退还中标人；</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未中标投标人的投标保证金，自中标通知书发出之日起5个工作日内退还未中标人；</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终止招标项目已经收取投标保证金的，自终止采购活动后5个工作日内退还已收取的投标保证金及其在银行产生的孳息。</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有下列情形之一的，采购人或采购代理机构可以不予退还投标保证金：</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投标有效期内投标人撤销投标文件的；</w:t>
      </w:r>
    </w:p>
    <w:p>
      <w:pPr>
        <w:numPr>
          <w:ilvl w:val="2"/>
          <w:numId w:val="9"/>
        </w:numPr>
        <w:tabs>
          <w:tab w:val="left" w:pos="900"/>
          <w:tab w:val="left" w:pos="1080"/>
          <w:tab w:val="left" w:pos="2014"/>
        </w:tabs>
        <w:snapToGrid w:val="0"/>
        <w:spacing w:line="360" w:lineRule="auto"/>
        <w:rPr>
          <w:rFonts w:ascii="宋体" w:hAnsi="宋体"/>
          <w:color w:val="auto"/>
          <w:sz w:val="24"/>
          <w:highlight w:val="none"/>
        </w:rPr>
      </w:pPr>
      <w:r>
        <w:rPr>
          <w:rFonts w:hint="eastAsia" w:ascii="宋体" w:hAnsi="宋体"/>
          <w:color w:val="auto"/>
          <w:sz w:val="24"/>
          <w:highlight w:val="none"/>
        </w:rPr>
        <w:t>《投标人须知资料表》中规定的其他情形。</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325" w:name="_Toc150774737"/>
      <w:bookmarkStart w:id="326" w:name="_Toc142311034"/>
      <w:bookmarkStart w:id="327" w:name="_Toc150774632"/>
      <w:bookmarkStart w:id="328" w:name="_Toc127151733"/>
      <w:bookmarkStart w:id="329" w:name="_Toc226309776"/>
      <w:bookmarkStart w:id="330" w:name="_Toc305158874"/>
      <w:bookmarkStart w:id="331" w:name="_Toc164351626"/>
      <w:bookmarkStart w:id="332" w:name="_Toc305158800"/>
      <w:bookmarkStart w:id="333" w:name="_Toc164608801"/>
      <w:bookmarkStart w:id="334" w:name="_Toc150509283"/>
      <w:bookmarkStart w:id="335" w:name="_Toc226337228"/>
      <w:bookmarkStart w:id="336" w:name="_Toc164229227"/>
      <w:bookmarkStart w:id="337" w:name="_Toc151193630"/>
      <w:bookmarkStart w:id="338" w:name="_Toc520356157"/>
      <w:bookmarkStart w:id="339" w:name="_Toc127161446"/>
      <w:bookmarkStart w:id="340" w:name="_Toc149720825"/>
      <w:bookmarkStart w:id="341" w:name="_Toc151190159"/>
      <w:bookmarkStart w:id="342" w:name="_Toc195842897"/>
      <w:bookmarkStart w:id="343" w:name="_Toc226965805"/>
      <w:bookmarkStart w:id="344" w:name="_Toc151193774"/>
      <w:bookmarkStart w:id="345" w:name="_Toc265228370"/>
      <w:bookmarkStart w:id="346" w:name="_Toc127151532"/>
      <w:bookmarkStart w:id="347" w:name="_Toc151193702"/>
      <w:bookmarkStart w:id="348" w:name="_Toc264969222"/>
      <w:bookmarkStart w:id="349" w:name="_Toc151193846"/>
      <w:bookmarkStart w:id="350" w:name="_Toc164608646"/>
      <w:bookmarkStart w:id="351" w:name="_Toc150480770"/>
      <w:bookmarkStart w:id="352" w:name="_Toc151193920"/>
      <w:bookmarkStart w:id="353" w:name="_Toc164229373"/>
      <w:bookmarkStart w:id="354" w:name="_Toc226965722"/>
      <w:r>
        <w:rPr>
          <w:rFonts w:hint="eastAsia" w:ascii="宋体" w:hAnsi="宋体"/>
          <w:color w:val="auto"/>
          <w:sz w:val="24"/>
          <w:highlight w:val="none"/>
        </w:rPr>
        <w:t>投标有效期</w:t>
      </w:r>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投标文件应在本招标文件《投标人须知资料表》中规定的投标有效期内保持有效，投标有效期少于招标文件规定期限的，其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355" w:name="_Toc226337229"/>
      <w:bookmarkStart w:id="356" w:name="_Toc226965806"/>
      <w:bookmarkStart w:id="357" w:name="_Toc164229374"/>
      <w:bookmarkStart w:id="358" w:name="_Toc226965723"/>
      <w:bookmarkStart w:id="359" w:name="_Toc150774738"/>
      <w:bookmarkStart w:id="360" w:name="_Toc305158801"/>
      <w:bookmarkStart w:id="361" w:name="_Toc164351627"/>
      <w:bookmarkStart w:id="362" w:name="_Toc150509284"/>
      <w:bookmarkStart w:id="363" w:name="_Toc151193847"/>
      <w:bookmarkStart w:id="364" w:name="_Toc127161447"/>
      <w:bookmarkStart w:id="365" w:name="_Toc151193921"/>
      <w:bookmarkStart w:id="366" w:name="_Toc195842898"/>
      <w:bookmarkStart w:id="367" w:name="_Toc142311035"/>
      <w:bookmarkStart w:id="368" w:name="_Toc149720826"/>
      <w:bookmarkStart w:id="369" w:name="_Toc164608647"/>
      <w:bookmarkStart w:id="370" w:name="_Toc520356158"/>
      <w:bookmarkStart w:id="371" w:name="_Toc150480771"/>
      <w:bookmarkStart w:id="372" w:name="_Toc265228371"/>
      <w:bookmarkStart w:id="373" w:name="_Toc164229228"/>
      <w:bookmarkStart w:id="374" w:name="_Toc151190160"/>
      <w:bookmarkStart w:id="375" w:name="_Toc151193775"/>
      <w:bookmarkStart w:id="376" w:name="_Toc127151734"/>
      <w:bookmarkStart w:id="377" w:name="_Toc150774633"/>
      <w:bookmarkStart w:id="378" w:name="_Toc264969223"/>
      <w:bookmarkStart w:id="379" w:name="_Toc164608802"/>
      <w:bookmarkStart w:id="380" w:name="_Toc305158875"/>
      <w:bookmarkStart w:id="381" w:name="_Toc127151533"/>
      <w:bookmarkStart w:id="382" w:name="_Toc226309777"/>
      <w:bookmarkStart w:id="383" w:name="_Toc151193703"/>
      <w:bookmarkStart w:id="384" w:name="_Toc151193631"/>
      <w:r>
        <w:rPr>
          <w:rFonts w:hint="eastAsia" w:ascii="宋体" w:hAnsi="宋体"/>
          <w:color w:val="auto"/>
          <w:sz w:val="24"/>
          <w:highlight w:val="none"/>
        </w:rPr>
        <w:t>投标文件的签署</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hint="eastAsia" w:ascii="宋体" w:hAnsi="宋体"/>
          <w:color w:val="auto"/>
          <w:sz w:val="24"/>
          <w:highlight w:val="none"/>
        </w:rPr>
        <w:t>、盖章</w:t>
      </w:r>
    </w:p>
    <w:p>
      <w:pPr>
        <w:spacing w:before="120" w:line="360" w:lineRule="auto"/>
        <w:ind w:left="1035" w:leftChars="150" w:hanging="720" w:hangingChars="300"/>
        <w:rPr>
          <w:rFonts w:ascii="宋体" w:hAnsi="宋体"/>
          <w:color w:val="auto"/>
          <w:sz w:val="24"/>
          <w:highlight w:val="none"/>
        </w:rPr>
      </w:pPr>
      <w:bookmarkStart w:id="385" w:name="_Toc150774634"/>
      <w:bookmarkStart w:id="386" w:name="_Toc151193704"/>
      <w:bookmarkStart w:id="387" w:name="_Toc226965807"/>
      <w:bookmarkStart w:id="388" w:name="_Toc226337230"/>
      <w:bookmarkStart w:id="389" w:name="_Toc151193632"/>
      <w:bookmarkStart w:id="390" w:name="_Toc195842899"/>
      <w:bookmarkStart w:id="391" w:name="_Toc151193848"/>
      <w:bookmarkStart w:id="392" w:name="_Toc151193922"/>
      <w:bookmarkStart w:id="393" w:name="_Toc305158876"/>
      <w:bookmarkStart w:id="394" w:name="_Toc226309778"/>
      <w:bookmarkStart w:id="395" w:name="_Toc127151534"/>
      <w:bookmarkStart w:id="396" w:name="_Toc264969224"/>
      <w:bookmarkStart w:id="397" w:name="_Toc305158802"/>
      <w:bookmarkStart w:id="398" w:name="_Toc150480772"/>
      <w:bookmarkStart w:id="399" w:name="_Toc265228372"/>
      <w:bookmarkStart w:id="400" w:name="_Toc226965724"/>
      <w:bookmarkStart w:id="401" w:name="_Toc150774739"/>
      <w:bookmarkStart w:id="402" w:name="_Toc151190161"/>
      <w:bookmarkStart w:id="403" w:name="_Toc142311036"/>
      <w:bookmarkStart w:id="404" w:name="_Toc151193776"/>
      <w:bookmarkStart w:id="405" w:name="_Toc150509285"/>
      <w:bookmarkStart w:id="406" w:name="_Toc520356159"/>
      <w:r>
        <w:rPr>
          <w:rFonts w:hint="eastAsia" w:ascii="宋体" w:hAnsi="宋体"/>
          <w:color w:val="auto"/>
          <w:sz w:val="24"/>
          <w:highlight w:val="none"/>
        </w:rPr>
        <w:t>14.1  投标人应准备投标文件正本一份、副本五份及电子版一份，每套投标文件封面清楚地注明“正本”或 “副本”。若正本和副本不符，以正本为准。</w:t>
      </w:r>
    </w:p>
    <w:p>
      <w:pPr>
        <w:spacing w:before="120" w:line="360" w:lineRule="auto"/>
        <w:ind w:left="1035" w:leftChars="150" w:hanging="720" w:hangingChars="300"/>
        <w:rPr>
          <w:rFonts w:ascii="宋体" w:hAnsi="宋体"/>
          <w:color w:val="auto"/>
          <w:sz w:val="24"/>
          <w:highlight w:val="none"/>
        </w:rPr>
      </w:pPr>
      <w:r>
        <w:rPr>
          <w:rFonts w:hint="eastAsia" w:ascii="宋体" w:hAnsi="宋体"/>
          <w:color w:val="auto"/>
          <w:sz w:val="24"/>
          <w:highlight w:val="none"/>
        </w:rPr>
        <w:t>14.2  投标文件的正本需打印或用不退色墨水书写；投标文件封面均应加盖投标人公章、法定代表人章(或法定代表人签字)、授权代表签字，授权代表须将以书面形式出具的 “授权证书” 附在投标文件中；加盖骑缝章；投标文件的副本可采用正本的复印件。</w:t>
      </w:r>
    </w:p>
    <w:p>
      <w:pPr>
        <w:spacing w:before="120" w:line="360" w:lineRule="auto"/>
        <w:ind w:left="1035" w:leftChars="150" w:hanging="720" w:hangingChars="300"/>
        <w:rPr>
          <w:rFonts w:ascii="宋体" w:hAnsi="宋体"/>
          <w:color w:val="auto"/>
          <w:sz w:val="24"/>
          <w:highlight w:val="none"/>
        </w:rPr>
      </w:pPr>
      <w:r>
        <w:rPr>
          <w:rFonts w:hint="eastAsia" w:ascii="宋体" w:hAnsi="宋体"/>
          <w:color w:val="auto"/>
          <w:sz w:val="24"/>
          <w:highlight w:val="none"/>
        </w:rPr>
        <w:t>14.3  投标人的澄清、说明或者补正应当采用书面形式，并加盖公章，或者由法定代表人或其授权的代表签字。投标人的澄清、说明或者补正不得超出投标文件的范围或者改变投标文件的实质性内容。</w:t>
      </w:r>
    </w:p>
    <w:p>
      <w:pPr>
        <w:spacing w:before="120" w:line="360" w:lineRule="auto"/>
        <w:ind w:firstLine="360" w:firstLineChars="150"/>
        <w:rPr>
          <w:rFonts w:ascii="宋体" w:hAnsi="宋体"/>
          <w:color w:val="auto"/>
          <w:sz w:val="24"/>
          <w:highlight w:val="none"/>
        </w:rPr>
      </w:pPr>
      <w:r>
        <w:rPr>
          <w:rFonts w:hint="eastAsia" w:ascii="宋体" w:hAnsi="宋体"/>
          <w:color w:val="auto"/>
          <w:sz w:val="24"/>
          <w:highlight w:val="none"/>
        </w:rPr>
        <w:t>14.4  投标文件装订成册。</w:t>
      </w:r>
    </w:p>
    <w:p>
      <w:pPr>
        <w:ind w:left="1140" w:leftChars="200" w:hanging="720" w:hangingChars="300"/>
        <w:rPr>
          <w:rFonts w:ascii="宋体" w:hAnsi="宋体"/>
          <w:color w:val="auto"/>
          <w:sz w:val="24"/>
          <w:highlight w:val="none"/>
        </w:rPr>
      </w:pPr>
      <w:r>
        <w:rPr>
          <w:rFonts w:hint="eastAsia" w:ascii="宋体" w:hAnsi="宋体"/>
          <w:color w:val="auto"/>
          <w:sz w:val="24"/>
          <w:highlight w:val="none"/>
        </w:rPr>
        <w:t>14.5  投标人的投标文件不按以上规定制作装订、签字和加盖章的投标视为投标无效。</w:t>
      </w:r>
    </w:p>
    <w:p>
      <w:pPr>
        <w:tabs>
          <w:tab w:val="left" w:pos="900"/>
          <w:tab w:val="left" w:pos="1080"/>
        </w:tabs>
        <w:snapToGrid w:val="0"/>
        <w:spacing w:line="360" w:lineRule="auto"/>
        <w:ind w:left="357"/>
        <w:rPr>
          <w:rFonts w:ascii="宋体" w:hAnsi="宋体"/>
          <w:color w:val="auto"/>
          <w:highlight w:val="none"/>
        </w:rPr>
      </w:pPr>
      <w:r>
        <w:rPr>
          <w:rFonts w:hint="eastAsia" w:ascii="宋体" w:hAnsi="宋体"/>
          <w:color w:val="auto"/>
          <w:highlight w:val="none"/>
        </w:rPr>
        <w:t xml:space="preserve">   </w:t>
      </w:r>
    </w:p>
    <w:p>
      <w:pPr>
        <w:pStyle w:val="4"/>
        <w:spacing w:before="0" w:line="360" w:lineRule="auto"/>
        <w:rPr>
          <w:rFonts w:ascii="宋体" w:hAnsi="宋体" w:eastAsia="宋体"/>
          <w:color w:val="auto"/>
          <w:sz w:val="28"/>
          <w:highlight w:val="none"/>
        </w:rPr>
      </w:pPr>
      <w:r>
        <w:rPr>
          <w:rFonts w:hint="eastAsia" w:ascii="宋体" w:hAnsi="宋体" w:eastAsia="宋体"/>
          <w:color w:val="auto"/>
          <w:sz w:val="28"/>
          <w:highlight w:val="none"/>
        </w:rPr>
        <w:t>四   投标文件的提交</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407" w:name="_Toc226965725"/>
      <w:bookmarkStart w:id="408" w:name="_Toc164351629"/>
      <w:bookmarkStart w:id="409" w:name="_Toc305158877"/>
      <w:bookmarkStart w:id="410" w:name="_Toc151193633"/>
      <w:bookmarkStart w:id="411" w:name="_Toc305158803"/>
      <w:bookmarkStart w:id="412" w:name="_Toc195842900"/>
      <w:bookmarkStart w:id="413" w:name="_Toc264969225"/>
      <w:bookmarkStart w:id="414" w:name="_Toc127151535"/>
      <w:bookmarkStart w:id="415" w:name="_Toc164229376"/>
      <w:bookmarkStart w:id="416" w:name="_Toc150509286"/>
      <w:bookmarkStart w:id="417" w:name="_Toc150480773"/>
      <w:bookmarkStart w:id="418" w:name="_Toc265228373"/>
      <w:bookmarkStart w:id="419" w:name="_Toc520356160"/>
      <w:bookmarkStart w:id="420" w:name="_Toc164608649"/>
      <w:bookmarkStart w:id="421" w:name="_Toc127151736"/>
      <w:bookmarkStart w:id="422" w:name="_Toc226309779"/>
      <w:bookmarkStart w:id="423" w:name="_Toc127161449"/>
      <w:bookmarkStart w:id="424" w:name="_Toc151193705"/>
      <w:bookmarkStart w:id="425" w:name="_Toc150774740"/>
      <w:bookmarkStart w:id="426" w:name="_Toc151190162"/>
      <w:bookmarkStart w:id="427" w:name="_Toc164229230"/>
      <w:bookmarkStart w:id="428" w:name="_Toc149720828"/>
      <w:bookmarkStart w:id="429" w:name="_Toc226337231"/>
      <w:bookmarkStart w:id="430" w:name="_Toc151193923"/>
      <w:bookmarkStart w:id="431" w:name="_Toc164608804"/>
      <w:bookmarkStart w:id="432" w:name="_Toc150774635"/>
      <w:bookmarkStart w:id="433" w:name="_Toc151193849"/>
      <w:bookmarkStart w:id="434" w:name="_Toc142311037"/>
      <w:bookmarkStart w:id="435" w:name="_Toc226965808"/>
      <w:bookmarkStart w:id="436" w:name="_Toc151193777"/>
      <w:r>
        <w:rPr>
          <w:rFonts w:hint="eastAsia" w:ascii="宋体" w:hAnsi="宋体"/>
          <w:color w:val="auto"/>
          <w:sz w:val="24"/>
          <w:highlight w:val="none"/>
        </w:rPr>
        <w:t>投标文件的</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Pr>
          <w:rFonts w:hint="eastAsia" w:ascii="宋体" w:hAnsi="宋体"/>
          <w:color w:val="auto"/>
          <w:sz w:val="24"/>
          <w:highlight w:val="none"/>
        </w:rPr>
        <w:t>提交</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投标人应将投标文件正本和副本密封包装，投标文件密封包装在开口处用封条密封，封条格式自制，在封条上填写密封日期，并加盖投标单位公章，投标文件密封包装正面须加盖投标单位公章。</w:t>
      </w:r>
    </w:p>
    <w:p>
      <w:pPr>
        <w:numPr>
          <w:ilvl w:val="1"/>
          <w:numId w:val="9"/>
        </w:numPr>
        <w:tabs>
          <w:tab w:val="left" w:pos="1080"/>
          <w:tab w:val="left" w:pos="1305"/>
          <w:tab w:val="left" w:pos="1589"/>
          <w:tab w:val="left" w:pos="2014"/>
          <w:tab w:val="clear" w:pos="8535"/>
        </w:tabs>
        <w:snapToGrid w:val="0"/>
        <w:spacing w:line="360" w:lineRule="auto"/>
        <w:ind w:left="1077" w:hanging="720"/>
        <w:rPr>
          <w:b/>
          <w:bCs/>
          <w:color w:val="auto"/>
          <w:sz w:val="24"/>
          <w:highlight w:val="none"/>
        </w:rPr>
      </w:pPr>
      <w:r>
        <w:rPr>
          <w:rFonts w:hint="eastAsia"/>
          <w:color w:val="auto"/>
          <w:sz w:val="24"/>
          <w:highlight w:val="none"/>
        </w:rPr>
        <w:t>投标文件密封包装均应</w:t>
      </w:r>
      <w:r>
        <w:rPr>
          <w:b/>
          <w:bCs/>
          <w:color w:val="auto"/>
          <w:sz w:val="24"/>
          <w:highlight w:val="none"/>
        </w:rPr>
        <w:t>:</w:t>
      </w:r>
    </w:p>
    <w:p>
      <w:pPr>
        <w:tabs>
          <w:tab w:val="left" w:pos="1080"/>
          <w:tab w:val="left" w:pos="1589"/>
          <w:tab w:val="left" w:pos="2014"/>
        </w:tabs>
        <w:snapToGrid w:val="0"/>
        <w:spacing w:line="360" w:lineRule="auto"/>
        <w:ind w:left="567" w:leftChars="270" w:firstLine="480" w:firstLineChars="200"/>
        <w:rPr>
          <w:color w:val="auto"/>
          <w:sz w:val="24"/>
          <w:highlight w:val="none"/>
        </w:rPr>
      </w:pPr>
      <w:r>
        <w:rPr>
          <w:color w:val="auto"/>
          <w:sz w:val="24"/>
          <w:highlight w:val="none"/>
        </w:rPr>
        <w:t xml:space="preserve">1) </w:t>
      </w:r>
      <w:r>
        <w:rPr>
          <w:rFonts w:hint="eastAsia"/>
          <w:color w:val="auto"/>
          <w:sz w:val="24"/>
          <w:highlight w:val="none"/>
        </w:rPr>
        <w:t>清楚标明递交至招标公告或投标邀请书中指明的地址。</w:t>
      </w:r>
    </w:p>
    <w:p>
      <w:pPr>
        <w:tabs>
          <w:tab w:val="left" w:pos="1080"/>
          <w:tab w:val="left" w:pos="1589"/>
          <w:tab w:val="left" w:pos="2014"/>
        </w:tabs>
        <w:snapToGrid w:val="0"/>
        <w:spacing w:line="360" w:lineRule="auto"/>
        <w:ind w:left="926" w:leftChars="441" w:firstLine="120" w:firstLineChars="50"/>
        <w:rPr>
          <w:color w:val="auto"/>
          <w:sz w:val="24"/>
          <w:highlight w:val="none"/>
        </w:rPr>
      </w:pPr>
      <w:r>
        <w:rPr>
          <w:color w:val="auto"/>
          <w:sz w:val="24"/>
          <w:highlight w:val="none"/>
        </w:rPr>
        <w:t xml:space="preserve">2) </w:t>
      </w:r>
      <w:r>
        <w:rPr>
          <w:rFonts w:hint="eastAsia"/>
          <w:color w:val="auto"/>
          <w:sz w:val="24"/>
          <w:highlight w:val="none"/>
        </w:rPr>
        <w:t>注明招标公告或投标邀请书中指明的项目名称、包号和“在</w:t>
      </w:r>
      <w:r>
        <w:rPr>
          <w:color w:val="auto"/>
          <w:sz w:val="24"/>
          <w:highlight w:val="none"/>
        </w:rPr>
        <w:t xml:space="preserve"> (</w:t>
      </w:r>
      <w:r>
        <w:rPr>
          <w:rFonts w:hint="eastAsia"/>
          <w:color w:val="auto"/>
          <w:sz w:val="24"/>
          <w:highlight w:val="none"/>
        </w:rPr>
        <w:t>开标日期、时间</w:t>
      </w:r>
      <w:r>
        <w:rPr>
          <w:color w:val="auto"/>
          <w:sz w:val="24"/>
          <w:highlight w:val="none"/>
        </w:rPr>
        <w:t>)</w:t>
      </w:r>
      <w:r>
        <w:rPr>
          <w:rFonts w:hint="eastAsia"/>
          <w:color w:val="auto"/>
          <w:sz w:val="24"/>
          <w:highlight w:val="none"/>
        </w:rPr>
        <w:t>之前不得启封”的字样，并根据本须知第</w:t>
      </w:r>
      <w:r>
        <w:rPr>
          <w:color w:val="auto"/>
          <w:sz w:val="24"/>
          <w:highlight w:val="none"/>
        </w:rPr>
        <w:t>17</w:t>
      </w:r>
      <w:r>
        <w:rPr>
          <w:rFonts w:hint="eastAsia"/>
          <w:color w:val="auto"/>
          <w:sz w:val="24"/>
          <w:highlight w:val="none"/>
        </w:rPr>
        <w:t>条的规定填入开标日期和时间。</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信封应写明投标人名称和地址，以便投标被宣布为“迟到”投标时，能原封退回。</w:t>
      </w:r>
    </w:p>
    <w:p>
      <w:pPr>
        <w:numPr>
          <w:ilvl w:val="1"/>
          <w:numId w:val="9"/>
        </w:numPr>
        <w:tabs>
          <w:tab w:val="left" w:pos="1080"/>
          <w:tab w:val="left" w:pos="1305"/>
          <w:tab w:val="left" w:pos="2014"/>
          <w:tab w:val="clear" w:pos="8535"/>
        </w:tabs>
        <w:snapToGrid w:val="0"/>
        <w:spacing w:line="360" w:lineRule="auto"/>
        <w:ind w:left="993" w:hanging="709"/>
        <w:rPr>
          <w:color w:val="auto"/>
          <w:sz w:val="24"/>
          <w:highlight w:val="none"/>
        </w:rPr>
      </w:pPr>
      <w:r>
        <w:rPr>
          <w:rFonts w:hint="eastAsia"/>
          <w:color w:val="auto"/>
          <w:sz w:val="24"/>
          <w:highlight w:val="none"/>
        </w:rPr>
        <w:t>如果投标文件密封包装未按第</w:t>
      </w:r>
      <w:r>
        <w:rPr>
          <w:color w:val="auto"/>
          <w:sz w:val="24"/>
          <w:highlight w:val="none"/>
        </w:rPr>
        <w:t>15.2</w:t>
      </w:r>
      <w:r>
        <w:rPr>
          <w:rFonts w:hint="eastAsia"/>
          <w:color w:val="auto"/>
          <w:sz w:val="24"/>
          <w:highlight w:val="none"/>
        </w:rPr>
        <w:t>条要求加写标记和密封，招标机构对误投或过早启封概不负责。</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bCs/>
          <w:color w:val="auto"/>
          <w:sz w:val="24"/>
          <w:highlight w:val="none"/>
        </w:rPr>
        <w:t>开标一览表的递交</w:t>
      </w:r>
      <w:r>
        <w:rPr>
          <w:bCs/>
          <w:color w:val="auto"/>
          <w:sz w:val="24"/>
          <w:highlight w:val="none"/>
        </w:rPr>
        <w:t>(</w:t>
      </w:r>
      <w:r>
        <w:rPr>
          <w:rFonts w:hint="eastAsia"/>
          <w:color w:val="auto"/>
          <w:sz w:val="24"/>
          <w:highlight w:val="none"/>
        </w:rPr>
        <w:t>提供二份符合招标文件格式要求的相同原件，一份单独密封</w:t>
      </w:r>
      <w:r>
        <w:rPr>
          <w:rFonts w:hint="eastAsia"/>
          <w:bCs/>
          <w:color w:val="auto"/>
          <w:sz w:val="24"/>
          <w:highlight w:val="none"/>
        </w:rPr>
        <w:t>在一个信封里，投标现场单独递交</w:t>
      </w:r>
      <w:r>
        <w:rPr>
          <w:rFonts w:hint="eastAsia"/>
          <w:color w:val="auto"/>
          <w:sz w:val="24"/>
          <w:highlight w:val="none"/>
        </w:rPr>
        <w:t>用于开标现场宣读，另一份须在投标文件正本中提供</w:t>
      </w:r>
      <w:r>
        <w:rPr>
          <w:bCs/>
          <w:color w:val="auto"/>
          <w:sz w:val="24"/>
          <w:highlight w:val="none"/>
        </w:rPr>
        <w:t>)</w:t>
      </w:r>
      <w:r>
        <w:rPr>
          <w:rFonts w:hint="eastAsia"/>
          <w:bCs/>
          <w:color w:val="auto"/>
          <w:sz w:val="24"/>
          <w:highlight w:val="none"/>
        </w:rPr>
        <w:t>。</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b/>
          <w:color w:val="auto"/>
          <w:sz w:val="24"/>
          <w:highlight w:val="none"/>
        </w:rPr>
        <w:t>(</w:t>
      </w:r>
      <w:r>
        <w:rPr>
          <w:rFonts w:hint="eastAsia"/>
          <w:b/>
          <w:color w:val="auto"/>
          <w:sz w:val="24"/>
          <w:highlight w:val="none"/>
        </w:rPr>
        <w:t>投标人所递交的投标文件未按第</w:t>
      </w:r>
      <w:r>
        <w:rPr>
          <w:b/>
          <w:color w:val="auto"/>
          <w:sz w:val="24"/>
          <w:highlight w:val="none"/>
        </w:rPr>
        <w:t>15</w:t>
      </w:r>
      <w:r>
        <w:rPr>
          <w:rFonts w:hint="eastAsia"/>
          <w:b/>
          <w:color w:val="auto"/>
          <w:sz w:val="24"/>
          <w:highlight w:val="none"/>
        </w:rPr>
        <w:t>条款相关要求密封的，依据《财政部第</w:t>
      </w:r>
      <w:r>
        <w:rPr>
          <w:b/>
          <w:color w:val="auto"/>
          <w:sz w:val="24"/>
          <w:highlight w:val="none"/>
        </w:rPr>
        <w:t>87</w:t>
      </w:r>
      <w:r>
        <w:rPr>
          <w:rFonts w:hint="eastAsia"/>
          <w:b/>
          <w:color w:val="auto"/>
          <w:sz w:val="24"/>
          <w:highlight w:val="none"/>
        </w:rPr>
        <w:t>号令》第</w:t>
      </w:r>
      <w:r>
        <w:rPr>
          <w:b/>
          <w:color w:val="auto"/>
          <w:sz w:val="24"/>
          <w:highlight w:val="none"/>
        </w:rPr>
        <w:t>33</w:t>
      </w:r>
      <w:r>
        <w:rPr>
          <w:rFonts w:hint="eastAsia"/>
          <w:b/>
          <w:color w:val="auto"/>
          <w:sz w:val="24"/>
          <w:highlight w:val="none"/>
        </w:rPr>
        <w:t>条相关规定，其投标文件将被拒收</w:t>
      </w:r>
      <w:r>
        <w:rPr>
          <w:b/>
          <w:color w:val="auto"/>
          <w:sz w:val="24"/>
          <w:highlight w:val="none"/>
        </w:rPr>
        <w:t>)</w:t>
      </w:r>
    </w:p>
    <w:p>
      <w:pPr>
        <w:numPr>
          <w:ilvl w:val="0"/>
          <w:numId w:val="9"/>
        </w:numPr>
        <w:tabs>
          <w:tab w:val="left" w:pos="360"/>
        </w:tabs>
        <w:snapToGrid w:val="0"/>
        <w:spacing w:line="360" w:lineRule="auto"/>
        <w:ind w:left="357" w:hanging="357"/>
        <w:outlineLvl w:val="1"/>
        <w:rPr>
          <w:rFonts w:ascii="宋体" w:hAnsi="宋体"/>
          <w:b/>
          <w:bCs/>
          <w:color w:val="auto"/>
          <w:sz w:val="24"/>
          <w:highlight w:val="none"/>
        </w:rPr>
      </w:pPr>
      <w:bookmarkStart w:id="437" w:name="_Toc150509287"/>
      <w:bookmarkStart w:id="438" w:name="_Toc151193634"/>
      <w:bookmarkStart w:id="439" w:name="_Toc520356161"/>
      <w:bookmarkStart w:id="440" w:name="_Toc265228374"/>
      <w:bookmarkStart w:id="441" w:name="_Toc226965726"/>
      <w:bookmarkStart w:id="442" w:name="_Toc151193850"/>
      <w:bookmarkStart w:id="443" w:name="_Toc305158878"/>
      <w:bookmarkStart w:id="444" w:name="_Toc164229377"/>
      <w:bookmarkStart w:id="445" w:name="_Toc127151737"/>
      <w:bookmarkStart w:id="446" w:name="_Toc150774741"/>
      <w:bookmarkStart w:id="447" w:name="_Toc151193778"/>
      <w:bookmarkStart w:id="448" w:name="_Toc151193706"/>
      <w:bookmarkStart w:id="449" w:name="_Toc226965809"/>
      <w:bookmarkStart w:id="450" w:name="_Toc151193924"/>
      <w:bookmarkStart w:id="451" w:name="_Toc127161450"/>
      <w:bookmarkStart w:id="452" w:name="_Toc149720829"/>
      <w:bookmarkStart w:id="453" w:name="_Toc150774636"/>
      <w:bookmarkStart w:id="454" w:name="_Toc150480774"/>
      <w:bookmarkStart w:id="455" w:name="_Toc164229231"/>
      <w:bookmarkStart w:id="456" w:name="_Toc195842901"/>
      <w:bookmarkStart w:id="457" w:name="_Toc226337232"/>
      <w:bookmarkStart w:id="458" w:name="_Toc164351630"/>
      <w:bookmarkStart w:id="459" w:name="_Toc226309780"/>
      <w:bookmarkStart w:id="460" w:name="_Toc127151536"/>
      <w:bookmarkStart w:id="461" w:name="_Toc164608805"/>
      <w:bookmarkStart w:id="462" w:name="_Toc305158804"/>
      <w:bookmarkStart w:id="463" w:name="_Toc142311038"/>
      <w:bookmarkStart w:id="464" w:name="_Toc151190163"/>
      <w:bookmarkStart w:id="465" w:name="_Toc164608650"/>
      <w:bookmarkStart w:id="466" w:name="_Toc264969226"/>
      <w:r>
        <w:rPr>
          <w:rFonts w:hint="eastAsia" w:ascii="宋体" w:hAnsi="宋体"/>
          <w:b/>
          <w:bCs/>
          <w:color w:val="auto"/>
          <w:sz w:val="24"/>
          <w:highlight w:val="none"/>
        </w:rPr>
        <w:t>投标截止</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hint="eastAsia" w:ascii="宋体" w:hAnsi="宋体"/>
          <w:b/>
          <w:bCs/>
          <w:color w:val="auto"/>
          <w:sz w:val="24"/>
          <w:highlight w:val="none"/>
        </w:rPr>
        <w:t>时间</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投标人应在招标公告或投标邀请书中规定的截止日期和时间内，将投标文件递交招标采购单位，递交地点应是招标公告或投标邀请书中规定的地址。</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招标采购单位有权按本须知的规定，通过修改招标文件延长投标截止期。在此情况下，招标采购单位和投标人受投标截止期制约的所有权利和义务均应延长至新的截止期。</w:t>
      </w:r>
    </w:p>
    <w:p>
      <w:pPr>
        <w:numPr>
          <w:ilvl w:val="1"/>
          <w:numId w:val="9"/>
        </w:numPr>
        <w:tabs>
          <w:tab w:val="left" w:pos="1080"/>
          <w:tab w:val="left" w:pos="1305"/>
          <w:tab w:val="left" w:pos="1589"/>
          <w:tab w:val="left" w:pos="2014"/>
          <w:tab w:val="clear" w:pos="8535"/>
        </w:tabs>
        <w:snapToGrid w:val="0"/>
        <w:spacing w:line="360" w:lineRule="auto"/>
        <w:ind w:left="1077" w:hanging="720"/>
        <w:rPr>
          <w:rFonts w:ascii="宋体" w:hAnsi="宋体"/>
          <w:b/>
          <w:bCs/>
          <w:color w:val="auto"/>
          <w:sz w:val="24"/>
          <w:highlight w:val="none"/>
        </w:rPr>
      </w:pPr>
      <w:r>
        <w:rPr>
          <w:rFonts w:hint="eastAsia"/>
          <w:color w:val="auto"/>
          <w:sz w:val="24"/>
          <w:highlight w:val="none"/>
        </w:rPr>
        <w:t>招标采购单位将拒绝并原封退回在本须知规定的投标截止期后收到的任何投标文件。</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467" w:name="_Toc164351631"/>
      <w:bookmarkStart w:id="468" w:name="_Toc164229232"/>
      <w:bookmarkStart w:id="469" w:name="_Toc226337233"/>
      <w:bookmarkStart w:id="470" w:name="_Toc127161451"/>
      <w:bookmarkStart w:id="471" w:name="_Toc195842902"/>
      <w:bookmarkStart w:id="472" w:name="_Toc149720830"/>
      <w:bookmarkStart w:id="473" w:name="_Toc305158805"/>
      <w:bookmarkStart w:id="474" w:name="_Toc265228375"/>
      <w:bookmarkStart w:id="475" w:name="_Toc151190164"/>
      <w:bookmarkStart w:id="476" w:name="_Toc127151738"/>
      <w:bookmarkStart w:id="477" w:name="_Toc150774637"/>
      <w:bookmarkStart w:id="478" w:name="_Toc151193925"/>
      <w:bookmarkStart w:id="479" w:name="_Toc520356162"/>
      <w:bookmarkStart w:id="480" w:name="_Toc264969227"/>
      <w:bookmarkStart w:id="481" w:name="_Toc151193707"/>
      <w:bookmarkStart w:id="482" w:name="_Toc164229378"/>
      <w:bookmarkStart w:id="483" w:name="_Toc150774742"/>
      <w:bookmarkStart w:id="484" w:name="_Toc142311039"/>
      <w:bookmarkStart w:id="485" w:name="_Toc127151537"/>
      <w:bookmarkStart w:id="486" w:name="_Toc164608651"/>
      <w:bookmarkStart w:id="487" w:name="_Toc151193635"/>
      <w:bookmarkStart w:id="488" w:name="_Toc150509288"/>
      <w:bookmarkStart w:id="489" w:name="_Toc164608806"/>
      <w:bookmarkStart w:id="490" w:name="_Toc150480775"/>
      <w:bookmarkStart w:id="491" w:name="_Toc305158879"/>
      <w:bookmarkStart w:id="492" w:name="_Toc226965727"/>
      <w:bookmarkStart w:id="493" w:name="_Toc151193779"/>
      <w:bookmarkStart w:id="494" w:name="_Toc226309781"/>
      <w:bookmarkStart w:id="495" w:name="_Toc151193851"/>
      <w:bookmarkStart w:id="496" w:name="_Toc226965810"/>
      <w:r>
        <w:rPr>
          <w:rFonts w:hint="eastAsia" w:ascii="宋体" w:hAnsi="宋体"/>
          <w:color w:val="auto"/>
          <w:sz w:val="24"/>
          <w:highlight w:val="none"/>
        </w:rPr>
        <w:t>投标文件的修改与撤回</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投标以后，如果投标人提出书面修改或撤标要求，在投标截止时间前送达招标采购单位者，招标采购单位将予以接受。</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投标人对投标文件的修改或撤回通知应按本须知规定编制、密封、标记和发送。</w:t>
      </w:r>
    </w:p>
    <w:p>
      <w:pPr>
        <w:numPr>
          <w:ilvl w:val="1"/>
          <w:numId w:val="9"/>
        </w:numPr>
        <w:tabs>
          <w:tab w:val="left" w:pos="1080"/>
          <w:tab w:val="left" w:pos="1305"/>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在投标截止期之后，投标人不得对其投标文件做任何修改。</w:t>
      </w:r>
    </w:p>
    <w:p>
      <w:pPr>
        <w:numPr>
          <w:ilvl w:val="1"/>
          <w:numId w:val="9"/>
        </w:numPr>
        <w:tabs>
          <w:tab w:val="left" w:pos="1080"/>
          <w:tab w:val="left" w:pos="1589"/>
          <w:tab w:val="left" w:pos="2014"/>
          <w:tab w:val="clear" w:pos="8535"/>
        </w:tabs>
        <w:snapToGrid w:val="0"/>
        <w:spacing w:line="360" w:lineRule="auto"/>
        <w:ind w:left="1077" w:hanging="720"/>
        <w:rPr>
          <w:color w:val="auto"/>
          <w:sz w:val="24"/>
          <w:highlight w:val="none"/>
        </w:rPr>
      </w:pPr>
      <w:r>
        <w:rPr>
          <w:rFonts w:hint="eastAsia"/>
          <w:color w:val="auto"/>
          <w:sz w:val="24"/>
          <w:highlight w:val="none"/>
        </w:rPr>
        <w:t>从投标截止期至投标人在投标书格式中确定的投标有效期之间，投标人不得撤回其投标，否则其投标保证金将按照本须知的规定不予退回。</w:t>
      </w:r>
    </w:p>
    <w:p>
      <w:pPr>
        <w:pStyle w:val="26"/>
        <w:ind w:firstLine="420"/>
        <w:rPr>
          <w:color w:val="auto"/>
          <w:sz w:val="21"/>
          <w:highlight w:val="none"/>
        </w:rPr>
      </w:pPr>
    </w:p>
    <w:p>
      <w:pPr>
        <w:pStyle w:val="4"/>
        <w:spacing w:before="0" w:line="360" w:lineRule="auto"/>
        <w:rPr>
          <w:rFonts w:ascii="宋体" w:hAnsi="宋体" w:eastAsia="宋体"/>
          <w:color w:val="auto"/>
          <w:sz w:val="28"/>
          <w:highlight w:val="none"/>
        </w:rPr>
      </w:pPr>
      <w:bookmarkStart w:id="497" w:name="_Toc151193780"/>
      <w:bookmarkStart w:id="498" w:name="_Toc150480776"/>
      <w:bookmarkStart w:id="499" w:name="_Toc151193852"/>
      <w:bookmarkStart w:id="500" w:name="_Toc151190165"/>
      <w:bookmarkStart w:id="501" w:name="_Toc151193636"/>
      <w:bookmarkStart w:id="502" w:name="_Toc195842903"/>
      <w:bookmarkStart w:id="503" w:name="_Toc305158880"/>
      <w:bookmarkStart w:id="504" w:name="_Toc127151538"/>
      <w:bookmarkStart w:id="505" w:name="_Toc150774743"/>
      <w:bookmarkStart w:id="506" w:name="_Toc150774638"/>
      <w:bookmarkStart w:id="507" w:name="_Toc151193708"/>
      <w:bookmarkStart w:id="508" w:name="_Toc226965811"/>
      <w:bookmarkStart w:id="509" w:name="_Toc264969228"/>
      <w:bookmarkStart w:id="510" w:name="_Toc265228376"/>
      <w:bookmarkStart w:id="511" w:name="_Toc226337234"/>
      <w:bookmarkStart w:id="512" w:name="_Toc151193926"/>
      <w:bookmarkStart w:id="513" w:name="_Toc305158806"/>
      <w:bookmarkStart w:id="514" w:name="_Toc142311040"/>
      <w:bookmarkStart w:id="515" w:name="_Toc150509289"/>
      <w:bookmarkStart w:id="516" w:name="_Toc520356163"/>
      <w:bookmarkStart w:id="517" w:name="_Toc226965728"/>
      <w:bookmarkStart w:id="518" w:name="_Toc226309782"/>
      <w:r>
        <w:rPr>
          <w:rFonts w:hint="eastAsia" w:ascii="宋体" w:hAnsi="宋体" w:eastAsia="宋体"/>
          <w:color w:val="auto"/>
          <w:sz w:val="28"/>
          <w:highlight w:val="none"/>
        </w:rPr>
        <w:t>五   开标、资格审查及评标</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519" w:name="_Toc520356164"/>
      <w:bookmarkStart w:id="520" w:name="_Toc305158881"/>
      <w:bookmarkStart w:id="521" w:name="_Toc150774744"/>
      <w:bookmarkStart w:id="522" w:name="_Toc151193927"/>
      <w:bookmarkStart w:id="523" w:name="_Toc150774639"/>
      <w:bookmarkStart w:id="524" w:name="_Toc142311041"/>
      <w:bookmarkStart w:id="525" w:name="_Toc195842904"/>
      <w:bookmarkStart w:id="526" w:name="_Toc264969229"/>
      <w:bookmarkStart w:id="527" w:name="_Toc150480777"/>
      <w:bookmarkStart w:id="528" w:name="_Toc226965812"/>
      <w:bookmarkStart w:id="529" w:name="_Toc127161453"/>
      <w:bookmarkStart w:id="530" w:name="_Toc127151539"/>
      <w:bookmarkStart w:id="531" w:name="_Toc164608808"/>
      <w:bookmarkStart w:id="532" w:name="_Toc149720832"/>
      <w:bookmarkStart w:id="533" w:name="_Toc164351633"/>
      <w:bookmarkStart w:id="534" w:name="_Toc151193781"/>
      <w:bookmarkStart w:id="535" w:name="_Toc150509290"/>
      <w:bookmarkStart w:id="536" w:name="_Toc164229380"/>
      <w:bookmarkStart w:id="537" w:name="_Toc164229234"/>
      <w:bookmarkStart w:id="538" w:name="_Toc305158807"/>
      <w:bookmarkStart w:id="539" w:name="_Toc151190166"/>
      <w:bookmarkStart w:id="540" w:name="_Toc226309783"/>
      <w:bookmarkStart w:id="541" w:name="_Toc164608653"/>
      <w:bookmarkStart w:id="542" w:name="_Toc226337235"/>
      <w:bookmarkStart w:id="543" w:name="_Toc151193709"/>
      <w:bookmarkStart w:id="544" w:name="_Toc127151740"/>
      <w:bookmarkStart w:id="545" w:name="_Toc265228377"/>
      <w:bookmarkStart w:id="546" w:name="_Toc226965729"/>
      <w:bookmarkStart w:id="547" w:name="_Toc151193637"/>
      <w:bookmarkStart w:id="548" w:name="_Toc151193853"/>
      <w:r>
        <w:rPr>
          <w:rFonts w:hint="eastAsia" w:ascii="宋体" w:hAnsi="宋体"/>
          <w:color w:val="auto"/>
          <w:sz w:val="24"/>
          <w:highlight w:val="none"/>
        </w:rPr>
        <w:t>开标</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招标代理机构应当按招标公告或投标邀请书的规定，在投标截止时间的同一时间和招标公告或投标邀请书预先确定的地点组织公开开标。开标时邀请所有投标人代表、采购人和有关方面代表参加。参加开标的代表应签名报到以证明其出席。评标委员会成员不得参加开标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开标时，由投标人或其推选的代表检查投标文件的密封情况，经确认无误后，由招标代理机构当众宣读投标人名称、投标报价等。对于投标人在投标截止期前递交的投标声明，在开标时当众宣读，评标时有效。未宣读的投标报价等实质内容，评标时不予承认。</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bookmarkStart w:id="549" w:name="_Toc520356165"/>
      <w:r>
        <w:rPr>
          <w:rFonts w:hint="eastAsia" w:ascii="宋体" w:hAnsi="宋体"/>
          <w:color w:val="auto"/>
          <w:sz w:val="24"/>
          <w:highlight w:val="none"/>
        </w:rPr>
        <w:t>招标代理机构将对开标宣读内容做开标记录，由投标人代表签字确认。投标人未参加开标的，视同认可开标结果。</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color w:val="auto"/>
          <w:sz w:val="24"/>
          <w:highlight w:val="none"/>
        </w:rPr>
        <w:t>投标人不足</w:t>
      </w:r>
      <w:r>
        <w:rPr>
          <w:color w:val="auto"/>
          <w:sz w:val="24"/>
          <w:highlight w:val="none"/>
        </w:rPr>
        <w:t>3</w:t>
      </w:r>
      <w:r>
        <w:rPr>
          <w:rFonts w:hint="eastAsia"/>
          <w:color w:val="auto"/>
          <w:sz w:val="24"/>
          <w:highlight w:val="none"/>
        </w:rPr>
        <w:t>家的，不予开标。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除了按照招标文件规定原封退回迟到的投标文件之外，开标时将不得拒绝任何投标。</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资格审查</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见第三章《资格审查》。</w:t>
      </w:r>
    </w:p>
    <w:bookmarkEnd w:id="549"/>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550" w:name="_Toc150774640"/>
      <w:bookmarkStart w:id="551" w:name="_Toc150774745"/>
      <w:bookmarkStart w:id="552" w:name="_Toc127151540"/>
      <w:bookmarkStart w:id="553" w:name="_Toc226965813"/>
      <w:bookmarkStart w:id="554" w:name="_Toc151193782"/>
      <w:bookmarkStart w:id="555" w:name="_Toc164229235"/>
      <w:bookmarkStart w:id="556" w:name="_Toc149720833"/>
      <w:bookmarkStart w:id="557" w:name="_Toc195842905"/>
      <w:bookmarkStart w:id="558" w:name="_Toc164351634"/>
      <w:bookmarkStart w:id="559" w:name="_Toc226965730"/>
      <w:bookmarkStart w:id="560" w:name="_Toc150480778"/>
      <w:bookmarkStart w:id="561" w:name="_Toc151193710"/>
      <w:bookmarkStart w:id="562" w:name="_Toc151190167"/>
      <w:bookmarkStart w:id="563" w:name="_Toc151193638"/>
      <w:bookmarkStart w:id="564" w:name="_Toc142311042"/>
      <w:bookmarkStart w:id="565" w:name="_Toc164608654"/>
      <w:bookmarkStart w:id="566" w:name="_Toc265228378"/>
      <w:bookmarkStart w:id="567" w:name="_Toc127151741"/>
      <w:bookmarkStart w:id="568" w:name="_Toc305158808"/>
      <w:bookmarkStart w:id="569" w:name="_Toc264969230"/>
      <w:bookmarkStart w:id="570" w:name="_Toc226309784"/>
      <w:bookmarkStart w:id="571" w:name="_Toc226337236"/>
      <w:bookmarkStart w:id="572" w:name="_Toc151193928"/>
      <w:bookmarkStart w:id="573" w:name="_Toc305158882"/>
      <w:bookmarkStart w:id="574" w:name="_Toc164608809"/>
      <w:bookmarkStart w:id="575" w:name="_Toc164229381"/>
      <w:bookmarkStart w:id="576" w:name="_Toc151193854"/>
      <w:bookmarkStart w:id="577" w:name="_Toc150509291"/>
      <w:bookmarkStart w:id="578" w:name="_Toc127161454"/>
      <w:r>
        <w:rPr>
          <w:rFonts w:hint="eastAsia" w:ascii="宋体" w:hAnsi="宋体"/>
          <w:color w:val="auto"/>
          <w:sz w:val="24"/>
          <w:highlight w:val="none"/>
        </w:rPr>
        <w:t>评标委员会</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评标委员会根据政府采购有关规定和本次招标采购项目的特点进行组建，并负责具体评标事务，独立履行职责。</w:t>
      </w:r>
      <w:bookmarkStart w:id="579" w:name="_Toc520356166"/>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End w:id="579"/>
      <w:bookmarkStart w:id="580" w:name="_Toc520356169"/>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评标程序、评标方法和评标标准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见第四章《评标程序、评标方法和评标标准》。</w:t>
      </w:r>
    </w:p>
    <w:p>
      <w:pPr>
        <w:tabs>
          <w:tab w:val="left" w:pos="360"/>
          <w:tab w:val="left" w:pos="1080"/>
        </w:tabs>
        <w:snapToGrid w:val="0"/>
        <w:spacing w:line="360" w:lineRule="auto"/>
        <w:ind w:left="1080"/>
        <w:rPr>
          <w:rFonts w:ascii="宋体" w:hAnsi="宋体"/>
          <w:color w:val="auto"/>
          <w:sz w:val="24"/>
          <w:highlight w:val="none"/>
        </w:rPr>
      </w:pPr>
    </w:p>
    <w:p>
      <w:pPr>
        <w:pStyle w:val="4"/>
        <w:spacing w:before="0" w:line="360" w:lineRule="auto"/>
        <w:rPr>
          <w:rFonts w:ascii="宋体" w:hAnsi="宋体" w:eastAsia="宋体"/>
          <w:color w:val="auto"/>
          <w:sz w:val="28"/>
          <w:highlight w:val="none"/>
        </w:rPr>
      </w:pPr>
      <w:bookmarkStart w:id="581" w:name="_Toc151193859"/>
      <w:bookmarkStart w:id="582" w:name="_Toc151193715"/>
      <w:bookmarkStart w:id="583" w:name="_Toc150774645"/>
      <w:bookmarkStart w:id="584" w:name="_Toc226965818"/>
      <w:bookmarkStart w:id="585" w:name="_Toc305158887"/>
      <w:bookmarkStart w:id="586" w:name="_Toc195842910"/>
      <w:bookmarkStart w:id="587" w:name="_Toc142311047"/>
      <w:bookmarkStart w:id="588" w:name="_Toc151193787"/>
      <w:bookmarkStart w:id="589" w:name="_Toc226337241"/>
      <w:bookmarkStart w:id="590" w:name="_Toc226965735"/>
      <w:bookmarkStart w:id="591" w:name="_Toc127151545"/>
      <w:bookmarkStart w:id="592" w:name="_Toc264969235"/>
      <w:bookmarkStart w:id="593" w:name="_Toc151193643"/>
      <w:bookmarkStart w:id="594" w:name="_Toc150774750"/>
      <w:bookmarkStart w:id="595" w:name="_Toc151190172"/>
      <w:bookmarkStart w:id="596" w:name="_Toc265228383"/>
      <w:bookmarkStart w:id="597" w:name="_Toc226309789"/>
      <w:bookmarkStart w:id="598" w:name="_Toc305158813"/>
      <w:bookmarkStart w:id="599" w:name="_Toc150509296"/>
      <w:bookmarkStart w:id="600" w:name="_Toc151193933"/>
      <w:bookmarkStart w:id="601" w:name="_Toc150480783"/>
      <w:r>
        <w:rPr>
          <w:rFonts w:hint="eastAsia" w:ascii="宋体" w:hAnsi="宋体" w:eastAsia="宋体"/>
          <w:color w:val="auto"/>
          <w:sz w:val="28"/>
          <w:highlight w:val="none"/>
        </w:rPr>
        <w:t xml:space="preserve">六   </w:t>
      </w:r>
      <w:bookmarkEnd w:id="580"/>
      <w:r>
        <w:rPr>
          <w:rFonts w:hint="eastAsia" w:ascii="宋体" w:hAnsi="宋体" w:eastAsia="宋体"/>
          <w:color w:val="auto"/>
          <w:sz w:val="28"/>
          <w:highlight w:val="none"/>
        </w:rPr>
        <w:t>确定中标</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Start w:id="602" w:name="_Toc150774647"/>
      <w:bookmarkStart w:id="603" w:name="_Toc226309791"/>
      <w:bookmarkStart w:id="604" w:name="_Toc226965737"/>
      <w:bookmarkStart w:id="605" w:name="_Toc151193717"/>
      <w:bookmarkStart w:id="606" w:name="_Toc142311049"/>
      <w:bookmarkStart w:id="607" w:name="_Toc264969237"/>
      <w:bookmarkStart w:id="608" w:name="_Toc151193789"/>
      <w:bookmarkStart w:id="609" w:name="_Toc150509298"/>
      <w:bookmarkStart w:id="610" w:name="_Toc305158815"/>
      <w:bookmarkStart w:id="611" w:name="_Toc127151547"/>
      <w:bookmarkStart w:id="612" w:name="_Toc164229242"/>
      <w:bookmarkStart w:id="613" w:name="_Toc127151748"/>
      <w:bookmarkStart w:id="614" w:name="_Toc150774752"/>
      <w:bookmarkStart w:id="615" w:name="_Toc151193645"/>
      <w:bookmarkStart w:id="616" w:name="_Toc195842912"/>
      <w:bookmarkStart w:id="617" w:name="_Toc226965820"/>
      <w:bookmarkStart w:id="618" w:name="_Toc164351641"/>
      <w:bookmarkStart w:id="619" w:name="_Toc149720840"/>
      <w:bookmarkStart w:id="620" w:name="_Toc164608816"/>
      <w:bookmarkStart w:id="621" w:name="_Toc265228385"/>
      <w:bookmarkStart w:id="622" w:name="_Toc305158889"/>
      <w:bookmarkStart w:id="623" w:name="_Toc164608661"/>
      <w:bookmarkStart w:id="624" w:name="_Toc127161461"/>
      <w:bookmarkStart w:id="625" w:name="_Toc151190174"/>
      <w:bookmarkStart w:id="626" w:name="_Toc150480785"/>
      <w:bookmarkStart w:id="627" w:name="_Toc226337243"/>
      <w:bookmarkStart w:id="628" w:name="_Toc151193861"/>
      <w:bookmarkStart w:id="629" w:name="_Toc164229388"/>
      <w:bookmarkStart w:id="630" w:name="_Toc151193935"/>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确定中标人</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成交供应商。</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631" w:name="_Toc305158891"/>
      <w:bookmarkStart w:id="632" w:name="_Toc305158817"/>
      <w:bookmarkStart w:id="633" w:name="_Toc226337245"/>
      <w:bookmarkStart w:id="634" w:name="_Toc195842914"/>
      <w:bookmarkStart w:id="635" w:name="_Toc150774649"/>
      <w:bookmarkStart w:id="636" w:name="_Toc164229244"/>
      <w:bookmarkStart w:id="637" w:name="_Toc226309793"/>
      <w:bookmarkStart w:id="638" w:name="_Toc226965739"/>
      <w:bookmarkStart w:id="639" w:name="_Toc164229390"/>
      <w:bookmarkStart w:id="640" w:name="_Toc151193719"/>
      <w:bookmarkStart w:id="641" w:name="_Toc150480787"/>
      <w:bookmarkStart w:id="642" w:name="_Toc164351643"/>
      <w:bookmarkStart w:id="643" w:name="_Toc151193647"/>
      <w:bookmarkStart w:id="644" w:name="_Toc127161463"/>
      <w:bookmarkStart w:id="645" w:name="_Toc151193791"/>
      <w:bookmarkStart w:id="646" w:name="_Toc226965822"/>
      <w:bookmarkStart w:id="647" w:name="_Toc164608818"/>
      <w:bookmarkStart w:id="648" w:name="_Toc151190176"/>
      <w:bookmarkStart w:id="649" w:name="_Toc127151750"/>
      <w:bookmarkStart w:id="650" w:name="_Toc151193863"/>
      <w:bookmarkStart w:id="651" w:name="_Toc150774754"/>
      <w:bookmarkStart w:id="652" w:name="_Toc142311051"/>
      <w:bookmarkStart w:id="653" w:name="_Toc127151549"/>
      <w:bookmarkStart w:id="654" w:name="_Toc264969239"/>
      <w:bookmarkStart w:id="655" w:name="_Toc164608663"/>
      <w:bookmarkStart w:id="656" w:name="_Toc149720842"/>
      <w:bookmarkStart w:id="657" w:name="_Toc151193937"/>
      <w:bookmarkStart w:id="658" w:name="_Toc265228387"/>
      <w:bookmarkStart w:id="659" w:name="_Toc150509300"/>
      <w:bookmarkStart w:id="660" w:name="_Ref467306425"/>
      <w:bookmarkStart w:id="661" w:name="_Ref467307090"/>
      <w:bookmarkStart w:id="662" w:name="_Toc520356176"/>
      <w:r>
        <w:rPr>
          <w:rFonts w:hint="eastAsia" w:ascii="宋体" w:hAnsi="宋体"/>
          <w:color w:val="auto"/>
          <w:sz w:val="24"/>
          <w:highlight w:val="none"/>
        </w:rPr>
        <w:t>中标公告与中标通知书</w:t>
      </w:r>
      <w:bookmarkEnd w:id="631"/>
      <w:bookmarkEnd w:id="632"/>
    </w:p>
    <w:p>
      <w:pPr>
        <w:numPr>
          <w:ilvl w:val="1"/>
          <w:numId w:val="9"/>
        </w:numPr>
        <w:tabs>
          <w:tab w:val="left" w:pos="1080"/>
          <w:tab w:val="left" w:pos="1589"/>
          <w:tab w:val="left" w:pos="2014"/>
          <w:tab w:val="clear" w:pos="8535"/>
        </w:tabs>
        <w:snapToGrid w:val="0"/>
        <w:spacing w:line="360" w:lineRule="auto"/>
        <w:ind w:left="1468"/>
        <w:rPr>
          <w:rFonts w:ascii="宋体" w:hAnsi="宋体"/>
          <w:b/>
          <w:color w:val="auto"/>
          <w:sz w:val="24"/>
          <w:highlight w:val="none"/>
        </w:rPr>
      </w:pPr>
      <w:r>
        <w:rPr>
          <w:rFonts w:hint="eastAsia" w:ascii="宋体" w:hAnsi="宋体"/>
          <w:b/>
          <w:color w:val="auto"/>
          <w:sz w:val="24"/>
          <w:highlight w:val="none"/>
        </w:rPr>
        <w:t xml:space="preserve">  </w:t>
      </w:r>
      <w:r>
        <w:rPr>
          <w:rFonts w:hint="eastAsia" w:ascii="宋体" w:hAnsi="宋体"/>
          <w:bCs/>
          <w:color w:val="auto"/>
          <w:sz w:val="24"/>
          <w:highlight w:val="none"/>
        </w:rPr>
        <w:t>采购人或采购代理机构自中标人确定之日起2个工作日内，在中国政府采购网、北京市政府采购网、北京经济技术开发区官网公告中标结果，同时向中标人发出中标通知书，中标公告期限为1个工作日。</w:t>
      </w:r>
    </w:p>
    <w:p>
      <w:pPr>
        <w:numPr>
          <w:ilvl w:val="1"/>
          <w:numId w:val="9"/>
        </w:numPr>
        <w:tabs>
          <w:tab w:val="left" w:pos="1080"/>
          <w:tab w:val="left" w:pos="1589"/>
          <w:tab w:val="left" w:pos="2014"/>
          <w:tab w:val="clear" w:pos="8535"/>
        </w:tabs>
        <w:snapToGrid w:val="0"/>
        <w:spacing w:line="360" w:lineRule="auto"/>
        <w:ind w:left="1468"/>
        <w:rPr>
          <w:rFonts w:ascii="宋体" w:hAnsi="宋体"/>
          <w:color w:val="auto"/>
          <w:sz w:val="24"/>
          <w:highlight w:val="none"/>
        </w:rPr>
      </w:pPr>
      <w:r>
        <w:rPr>
          <w:rFonts w:hint="eastAsia" w:ascii="宋体" w:hAnsi="宋体"/>
          <w:color w:val="auto"/>
          <w:sz w:val="24"/>
          <w:highlight w:val="none"/>
        </w:rPr>
        <w:t>中标通知书对采购人和中标供应商均具有法律效力。中标通知书发出后，采购人改变中标结果的，或者中标供应商放弃中标项目的，应当依法承担法律责任。</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废标</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在招标采购中，出现下列情形之一的，应予废标：</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符合专业条件的供应商或者对招标文件作实质响应的供应商不足三家的；</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出现影响采购公正的违法、违规行为的；</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投标人的报价均超过了采购预算，采购人不能支付的；</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因重大变故，采购任务取消的。</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废标后，采购人将废标理由通知所有投标人。</w:t>
      </w:r>
    </w:p>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Pr>
        <w:numPr>
          <w:ilvl w:val="0"/>
          <w:numId w:val="9"/>
        </w:numPr>
        <w:tabs>
          <w:tab w:val="left" w:pos="360"/>
        </w:tabs>
        <w:snapToGrid w:val="0"/>
        <w:spacing w:line="360" w:lineRule="auto"/>
        <w:ind w:left="357" w:hanging="357"/>
        <w:outlineLvl w:val="1"/>
        <w:rPr>
          <w:rFonts w:ascii="宋体" w:hAnsi="宋体"/>
          <w:color w:val="auto"/>
          <w:sz w:val="24"/>
          <w:highlight w:val="none"/>
        </w:rPr>
      </w:pPr>
      <w:bookmarkStart w:id="663" w:name="_Toc150480788"/>
      <w:bookmarkStart w:id="664" w:name="_Ref467306978"/>
      <w:bookmarkStart w:id="665" w:name="_Toc127151751"/>
      <w:bookmarkStart w:id="666" w:name="_Toc264969240"/>
      <w:bookmarkStart w:id="667" w:name="_Toc305158818"/>
      <w:bookmarkStart w:id="668" w:name="_Toc151193938"/>
      <w:bookmarkStart w:id="669" w:name="_Toc127151550"/>
      <w:bookmarkStart w:id="670" w:name="_Toc164229245"/>
      <w:bookmarkStart w:id="671" w:name="_Toc164229391"/>
      <w:bookmarkStart w:id="672" w:name="_Toc195842915"/>
      <w:bookmarkStart w:id="673" w:name="_Toc226965823"/>
      <w:bookmarkStart w:id="674" w:name="_Toc226309794"/>
      <w:bookmarkStart w:id="675" w:name="_Toc151193792"/>
      <w:bookmarkStart w:id="676" w:name="_Toc151190177"/>
      <w:bookmarkStart w:id="677" w:name="_Toc226965740"/>
      <w:bookmarkStart w:id="678" w:name="_Toc164608664"/>
      <w:bookmarkStart w:id="679" w:name="_Toc164608819"/>
      <w:bookmarkStart w:id="680" w:name="_Toc150774755"/>
      <w:bookmarkStart w:id="681" w:name="_Ref467306377"/>
      <w:bookmarkStart w:id="682" w:name="_Toc149720843"/>
      <w:bookmarkStart w:id="683" w:name="_Toc151193720"/>
      <w:bookmarkStart w:id="684" w:name="_Toc520356175"/>
      <w:bookmarkStart w:id="685" w:name="_Toc226337246"/>
      <w:bookmarkStart w:id="686" w:name="_Toc151193864"/>
      <w:bookmarkStart w:id="687" w:name="_Toc150774650"/>
      <w:bookmarkStart w:id="688" w:name="_Toc142311052"/>
      <w:bookmarkStart w:id="689" w:name="_Ref467307062"/>
      <w:bookmarkStart w:id="690" w:name="_Toc127161464"/>
      <w:bookmarkStart w:id="691" w:name="_Toc151193648"/>
      <w:bookmarkStart w:id="692" w:name="_Toc265228388"/>
      <w:bookmarkStart w:id="693" w:name="_Toc305158892"/>
      <w:bookmarkStart w:id="694" w:name="_Toc150509301"/>
      <w:bookmarkStart w:id="695" w:name="_Toc164351644"/>
      <w:bookmarkStart w:id="696" w:name="_Ref467307204"/>
      <w:r>
        <w:rPr>
          <w:rFonts w:hint="eastAsia" w:ascii="宋体" w:hAnsi="宋体"/>
          <w:color w:val="auto"/>
          <w:sz w:val="24"/>
          <w:highlight w:val="none"/>
        </w:rPr>
        <w:t>签订合同</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中标人、采购人应当自中标通知书发出之日起30日内，按照招标文件和中标人投标文件的规定签订书面合同。所签订的合同不得对招标文件确定的事项和中标人投标文件作实质性修改。</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中标人拒绝与采购人签订合同的，采购人可以按照评标报告推荐的中标候选人名单排序，确定下一候选人为中标人，也可以重新开展政府采购活动。</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联合体中标的，联合体各方应当共同与采购人签订合同，就中标项目向采购人承担连带责任。</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政府采购合同不能转包。</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hint="eastAsia" w:ascii="宋体" w:hAnsi="宋体"/>
          <w:b/>
          <w:color w:val="auto"/>
          <w:sz w:val="24"/>
          <w:highlight w:val="none"/>
        </w:rPr>
        <w:t>，</w:t>
      </w:r>
      <w:r>
        <w:rPr>
          <w:rFonts w:hint="eastAsia" w:ascii="宋体" w:hAnsi="宋体"/>
          <w:color w:val="auto"/>
          <w:sz w:val="24"/>
          <w:highlight w:val="none"/>
        </w:rPr>
        <w:t>否则</w:t>
      </w:r>
      <w:r>
        <w:rPr>
          <w:rFonts w:hint="eastAsia" w:ascii="宋体" w:hAnsi="宋体"/>
          <w:b/>
          <w:color w:val="auto"/>
          <w:sz w:val="24"/>
          <w:highlight w:val="none"/>
        </w:rPr>
        <w:t>投标无效</w:t>
      </w:r>
      <w:r>
        <w:rPr>
          <w:rFonts w:hint="eastAsia" w:ascii="宋体" w:hAnsi="宋体"/>
          <w:color w:val="auto"/>
          <w:sz w:val="24"/>
          <w:highlight w:val="none"/>
        </w:rPr>
        <w:t>。中标人就采购项目和分包项目向采购人负责，分包供应商就分包项目承担责任。</w:t>
      </w:r>
    </w:p>
    <w:bookmarkEnd w:id="660"/>
    <w:bookmarkEnd w:id="661"/>
    <w:bookmarkEnd w:id="662"/>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询问与质疑</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询问</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投标人对政府采购活动事项有疑问的，可依法提出询问，并按《投标人须知资料表》载明的形式送达采购人或采购代理机构。</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采购人或采购代理机构对供应商依法提出的询问，在3个工作日内作出答复，但答复的内容不得涉及商业秘密。</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质疑</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认为采购文件、采购过程、中标结果使自己的权益受到损害的，可以在知道或者应知其权益受到损害之日起7个工作日内，由投标人派授权代表以书面形式向采购人、采购代理机构提出质疑。采购人、采购代理机构在收到质疑函后7个工作日内作出答复。</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质疑函须使用财政部制定的范本文件。</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投标人为自然人的，应当由本人签字；投标人为法人或者其他组织的，应当由法定代表人、主要负责人，或者其授权代表签字或者盖章，并加盖公章。</w:t>
      </w:r>
    </w:p>
    <w:p>
      <w:pPr>
        <w:numPr>
          <w:ilvl w:val="2"/>
          <w:numId w:val="9"/>
        </w:numPr>
        <w:snapToGrid w:val="0"/>
        <w:spacing w:line="360" w:lineRule="auto"/>
        <w:rPr>
          <w:rFonts w:ascii="宋体" w:hAnsi="宋体"/>
          <w:color w:val="auto"/>
          <w:sz w:val="24"/>
          <w:highlight w:val="none"/>
        </w:rPr>
      </w:pPr>
      <w:r>
        <w:rPr>
          <w:rFonts w:hint="eastAsia" w:ascii="宋体" w:hAnsi="宋体"/>
          <w:color w:val="auto"/>
          <w:sz w:val="24"/>
          <w:highlight w:val="none"/>
        </w:rPr>
        <w:t>投标人应在法定质疑期内一次性提出针对同一采购程序环节的质疑，法定质疑期内针对同一采购程序环节再次提出的质疑，采购人、采购代理机构有权不予答复。</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接收询问和质疑的联系部门、联系电话和通讯地址见《投标人须知资料表》。</w:t>
      </w:r>
    </w:p>
    <w:p>
      <w:pPr>
        <w:numPr>
          <w:ilvl w:val="0"/>
          <w:numId w:val="9"/>
        </w:numPr>
        <w:tabs>
          <w:tab w:val="left" w:pos="360"/>
        </w:tabs>
        <w:snapToGrid w:val="0"/>
        <w:spacing w:line="360" w:lineRule="auto"/>
        <w:ind w:left="357" w:hanging="357"/>
        <w:outlineLvl w:val="1"/>
        <w:rPr>
          <w:rFonts w:ascii="宋体" w:hAnsi="宋体"/>
          <w:color w:val="auto"/>
          <w:sz w:val="24"/>
          <w:highlight w:val="none"/>
        </w:rPr>
      </w:pPr>
      <w:r>
        <w:rPr>
          <w:rFonts w:hint="eastAsia" w:ascii="宋体" w:hAnsi="宋体"/>
          <w:color w:val="auto"/>
          <w:sz w:val="24"/>
          <w:highlight w:val="none"/>
        </w:rPr>
        <w:t>代理费</w:t>
      </w:r>
    </w:p>
    <w:p>
      <w:pPr>
        <w:numPr>
          <w:ilvl w:val="1"/>
          <w:numId w:val="9"/>
        </w:numPr>
        <w:tabs>
          <w:tab w:val="left" w:pos="1080"/>
          <w:tab w:val="left" w:pos="1589"/>
          <w:tab w:val="left" w:pos="2014"/>
          <w:tab w:val="clear" w:pos="8535"/>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收费对象、收费标准及缴纳时间见《投标人须知资料表》。由中标人支付的，中标人须一次性向采购代理机构缴纳代理费，投标报价应包含代理费用。</w:t>
      </w:r>
    </w:p>
    <w:p>
      <w:pPr>
        <w:tabs>
          <w:tab w:val="left" w:pos="900"/>
          <w:tab w:val="left" w:pos="1080"/>
          <w:tab w:val="left" w:pos="1589"/>
        </w:tabs>
        <w:snapToGrid w:val="0"/>
        <w:spacing w:line="360" w:lineRule="auto"/>
        <w:rPr>
          <w:rFonts w:ascii="宋体" w:hAnsi="宋体"/>
          <w:color w:val="auto"/>
          <w:sz w:val="24"/>
          <w:highlight w:val="none"/>
        </w:rPr>
      </w:pPr>
    </w:p>
    <w:p>
      <w:pPr>
        <w:pStyle w:val="26"/>
        <w:ind w:firstLine="420"/>
        <w:rPr>
          <w:rFonts w:ascii="Times New Roman"/>
          <w:color w:val="auto"/>
          <w:sz w:val="21"/>
          <w:highlight w:val="none"/>
        </w:rPr>
      </w:pPr>
    </w:p>
    <w:p>
      <w:pPr>
        <w:pStyle w:val="26"/>
        <w:rPr>
          <w:color w:val="auto"/>
          <w:highlight w:val="none"/>
        </w:rPr>
      </w:pPr>
    </w:p>
    <w:p>
      <w:pPr>
        <w:pStyle w:val="26"/>
        <w:rPr>
          <w:color w:val="auto"/>
          <w:highlight w:val="none"/>
        </w:rPr>
      </w:pPr>
    </w:p>
    <w:p>
      <w:pPr>
        <w:pStyle w:val="26"/>
        <w:rPr>
          <w:color w:val="auto"/>
          <w:highlight w:val="none"/>
        </w:rPr>
      </w:pPr>
    </w:p>
    <w:p>
      <w:pPr>
        <w:pStyle w:val="26"/>
        <w:rPr>
          <w:color w:val="auto"/>
          <w:highlight w:val="none"/>
        </w:rPr>
      </w:pPr>
    </w:p>
    <w:p>
      <w:pPr>
        <w:pStyle w:val="26"/>
        <w:rPr>
          <w:color w:val="auto"/>
          <w:highlight w:val="none"/>
        </w:rPr>
      </w:pPr>
    </w:p>
    <w:p>
      <w:pPr>
        <w:pStyle w:val="26"/>
        <w:rPr>
          <w:color w:val="auto"/>
          <w:highlight w:val="none"/>
        </w:rPr>
      </w:pPr>
    </w:p>
    <w:p>
      <w:pPr>
        <w:spacing w:line="360" w:lineRule="auto"/>
        <w:jc w:val="center"/>
        <w:outlineLvl w:val="0"/>
        <w:rPr>
          <w:rFonts w:ascii="宋体" w:hAnsi="宋体"/>
          <w:b/>
          <w:color w:val="auto"/>
          <w:sz w:val="36"/>
          <w:szCs w:val="36"/>
          <w:highlight w:val="none"/>
        </w:rPr>
      </w:pPr>
      <w:bookmarkStart w:id="697" w:name="_Toc226965827"/>
      <w:bookmarkStart w:id="698" w:name="_Toc353873664"/>
      <w:bookmarkStart w:id="699" w:name="_Toc150774759"/>
      <w:bookmarkStart w:id="700" w:name="_Toc142311056"/>
      <w:bookmarkStart w:id="701" w:name="_Toc150480792"/>
      <w:bookmarkStart w:id="702" w:name="_Toc305158822"/>
      <w:bookmarkStart w:id="703" w:name="_Toc226337250"/>
      <w:bookmarkStart w:id="704" w:name="_Toc265228392"/>
      <w:bookmarkStart w:id="705" w:name="_Toc353873934"/>
      <w:bookmarkStart w:id="706" w:name="_Toc353825544"/>
      <w:bookmarkStart w:id="707" w:name="_Toc264969244"/>
      <w:bookmarkStart w:id="708" w:name="_Toc127151554"/>
      <w:bookmarkStart w:id="709" w:name="_Toc305158896"/>
      <w:bookmarkStart w:id="710" w:name="_Toc8412"/>
      <w:bookmarkStart w:id="711" w:name="_Toc111134028"/>
      <w:r>
        <w:rPr>
          <w:rFonts w:hint="eastAsia" w:ascii="宋体" w:hAnsi="宋体"/>
          <w:b/>
          <w:color w:val="auto"/>
          <w:sz w:val="36"/>
          <w:szCs w:val="36"/>
          <w:highlight w:val="none"/>
        </w:rPr>
        <w:t xml:space="preserve">第三章   </w:t>
      </w:r>
      <w:bookmarkEnd w:id="697"/>
      <w:bookmarkEnd w:id="698"/>
      <w:bookmarkEnd w:id="699"/>
      <w:bookmarkEnd w:id="700"/>
      <w:bookmarkEnd w:id="701"/>
      <w:bookmarkEnd w:id="702"/>
      <w:bookmarkEnd w:id="703"/>
      <w:bookmarkEnd w:id="704"/>
      <w:bookmarkEnd w:id="705"/>
      <w:bookmarkEnd w:id="706"/>
      <w:bookmarkEnd w:id="707"/>
      <w:bookmarkEnd w:id="708"/>
      <w:bookmarkEnd w:id="709"/>
      <w:r>
        <w:rPr>
          <w:rFonts w:hint="eastAsia" w:ascii="宋体" w:hAnsi="宋体"/>
          <w:b/>
          <w:color w:val="auto"/>
          <w:sz w:val="36"/>
          <w:szCs w:val="36"/>
          <w:highlight w:val="none"/>
        </w:rPr>
        <w:t>资格审查</w:t>
      </w:r>
      <w:bookmarkEnd w:id="710"/>
      <w:bookmarkEnd w:id="711"/>
      <w:bookmarkStart w:id="712" w:name="_Toc487900382"/>
    </w:p>
    <w:p>
      <w:pPr>
        <w:tabs>
          <w:tab w:val="left" w:pos="360"/>
          <w:tab w:val="left" w:pos="900"/>
        </w:tabs>
        <w:snapToGrid w:val="0"/>
        <w:spacing w:line="360" w:lineRule="auto"/>
        <w:jc w:val="center"/>
        <w:outlineLvl w:val="1"/>
        <w:rPr>
          <w:rFonts w:ascii="宋体" w:hAnsi="宋体"/>
          <w:b/>
          <w:color w:val="auto"/>
          <w:sz w:val="24"/>
          <w:highlight w:val="none"/>
        </w:rPr>
      </w:pPr>
      <w:bookmarkStart w:id="713" w:name="_Toc99301422"/>
      <w:r>
        <w:rPr>
          <w:rFonts w:hint="eastAsia" w:ascii="宋体" w:hAnsi="宋体"/>
          <w:b/>
          <w:color w:val="auto"/>
          <w:sz w:val="24"/>
          <w:highlight w:val="none"/>
        </w:rPr>
        <w:t>一、资格审查程序</w:t>
      </w:r>
      <w:bookmarkEnd w:id="713"/>
    </w:p>
    <w:p>
      <w:pPr>
        <w:numPr>
          <w:ilvl w:val="0"/>
          <w:numId w:val="12"/>
        </w:numPr>
        <w:tabs>
          <w:tab w:val="left" w:pos="426"/>
          <w:tab w:val="left" w:pos="851"/>
        </w:tabs>
        <w:snapToGrid w:val="0"/>
        <w:spacing w:line="360" w:lineRule="auto"/>
        <w:ind w:left="426" w:hanging="426"/>
        <w:outlineLvl w:val="9"/>
        <w:rPr>
          <w:rFonts w:ascii="宋体" w:hAnsi="宋体"/>
          <w:color w:val="auto"/>
          <w:sz w:val="24"/>
          <w:highlight w:val="none"/>
        </w:rPr>
      </w:pPr>
      <w:r>
        <w:rPr>
          <w:rFonts w:hint="eastAsia" w:ascii="宋体" w:hAnsi="宋体"/>
          <w:color w:val="auto"/>
          <w:sz w:val="24"/>
          <w:highlight w:val="none"/>
        </w:rPr>
        <w:t>开标结束后，采购人或采购代理机构将根据《资格审查要求》中的规定，对投标人进行资格审查，并形成资格审查结果。</w:t>
      </w:r>
    </w:p>
    <w:p>
      <w:pPr>
        <w:numPr>
          <w:ilvl w:val="0"/>
          <w:numId w:val="12"/>
        </w:numPr>
        <w:tabs>
          <w:tab w:val="left" w:pos="426"/>
          <w:tab w:val="left" w:pos="851"/>
        </w:tabs>
        <w:snapToGrid w:val="0"/>
        <w:spacing w:line="360" w:lineRule="auto"/>
        <w:ind w:left="426" w:hanging="426"/>
        <w:outlineLvl w:val="9"/>
        <w:rPr>
          <w:rFonts w:ascii="宋体" w:hAnsi="宋体"/>
          <w:color w:val="auto"/>
          <w:sz w:val="24"/>
          <w:highlight w:val="none"/>
        </w:rPr>
      </w:pPr>
      <w:r>
        <w:rPr>
          <w:rFonts w:hint="eastAsia" w:ascii="宋体" w:hAnsi="宋体"/>
          <w:color w:val="auto"/>
          <w:sz w:val="24"/>
          <w:highlight w:val="none"/>
        </w:rPr>
        <w:t>《资格审查要求》中对格式有要求的，除招标文件另有规定外，均为“实质性格式”文件。</w:t>
      </w:r>
    </w:p>
    <w:p>
      <w:pPr>
        <w:numPr>
          <w:ilvl w:val="0"/>
          <w:numId w:val="12"/>
        </w:numPr>
        <w:tabs>
          <w:tab w:val="left" w:pos="426"/>
          <w:tab w:val="left" w:pos="851"/>
        </w:tabs>
        <w:snapToGrid w:val="0"/>
        <w:spacing w:line="360" w:lineRule="auto"/>
        <w:ind w:left="426" w:hanging="426"/>
        <w:outlineLvl w:val="9"/>
        <w:rPr>
          <w:rFonts w:ascii="宋体" w:hAnsi="宋体"/>
          <w:color w:val="auto"/>
          <w:sz w:val="24"/>
          <w:highlight w:val="none"/>
        </w:rPr>
      </w:pPr>
      <w:r>
        <w:rPr>
          <w:rFonts w:hint="eastAsia" w:ascii="宋体" w:hAnsi="宋体"/>
          <w:color w:val="auto"/>
          <w:sz w:val="24"/>
          <w:highlight w:val="none"/>
        </w:rPr>
        <w:t>投标人《资格证明文件》有任何一项不符合《资格审查要求》的，资格审查不合格，其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0"/>
          <w:numId w:val="12"/>
        </w:numPr>
        <w:tabs>
          <w:tab w:val="left" w:pos="426"/>
          <w:tab w:val="left" w:pos="851"/>
        </w:tabs>
        <w:snapToGrid w:val="0"/>
        <w:spacing w:line="360" w:lineRule="auto"/>
        <w:ind w:left="426" w:hanging="426"/>
        <w:outlineLvl w:val="9"/>
        <w:rPr>
          <w:rFonts w:ascii="宋体" w:hAnsi="宋体"/>
          <w:color w:val="auto"/>
          <w:sz w:val="24"/>
          <w:highlight w:val="none"/>
        </w:rPr>
      </w:pPr>
      <w:r>
        <w:rPr>
          <w:rFonts w:hint="eastAsia" w:ascii="宋体" w:hAnsi="宋体"/>
          <w:color w:val="auto"/>
          <w:sz w:val="24"/>
          <w:highlight w:val="none"/>
        </w:rPr>
        <w:t>资格审查合格的投标人不足3家的，不进行评标。</w:t>
      </w:r>
    </w:p>
    <w:p>
      <w:pPr>
        <w:widowControl/>
        <w:jc w:val="left"/>
        <w:rPr>
          <w:rFonts w:ascii="宋体" w:hAnsi="宋体"/>
          <w:color w:val="auto"/>
          <w:sz w:val="24"/>
          <w:highlight w:val="none"/>
        </w:rPr>
      </w:pPr>
    </w:p>
    <w:p>
      <w:pPr>
        <w:tabs>
          <w:tab w:val="left" w:pos="360"/>
          <w:tab w:val="left" w:pos="900"/>
        </w:tabs>
        <w:snapToGrid w:val="0"/>
        <w:spacing w:line="360" w:lineRule="auto"/>
        <w:jc w:val="center"/>
        <w:outlineLvl w:val="1"/>
        <w:rPr>
          <w:rFonts w:ascii="宋体" w:hAnsi="宋体"/>
          <w:b/>
          <w:color w:val="auto"/>
          <w:sz w:val="24"/>
          <w:highlight w:val="none"/>
        </w:rPr>
      </w:pPr>
      <w:r>
        <w:rPr>
          <w:rFonts w:hint="eastAsia" w:ascii="宋体" w:hAnsi="宋体"/>
          <w:b/>
          <w:color w:val="auto"/>
          <w:sz w:val="24"/>
          <w:highlight w:val="none"/>
        </w:rPr>
        <w:t>二、资格审查要求</w:t>
      </w:r>
    </w:p>
    <w:p>
      <w:pPr>
        <w:pStyle w:val="26"/>
        <w:rPr>
          <w:color w:val="auto"/>
          <w:highlight w:val="none"/>
        </w:rPr>
      </w:pPr>
    </w:p>
    <w:tbl>
      <w:tblPr>
        <w:tblStyle w:val="45"/>
        <w:tblW w:w="9628"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1"/>
        <w:gridCol w:w="2714"/>
        <w:gridCol w:w="4416"/>
        <w:gridCol w:w="16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blHeader/>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auto"/>
                <w:sz w:val="24"/>
                <w:highlight w:val="none"/>
              </w:rPr>
            </w:pPr>
            <w:r>
              <w:rPr>
                <w:rFonts w:hint="eastAsia" w:ascii="宋体" w:hAnsi="宋体"/>
                <w:b/>
                <w:color w:val="auto"/>
                <w:sz w:val="24"/>
                <w:highlight w:val="none"/>
              </w:rPr>
              <w:t>序号</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auto"/>
                <w:sz w:val="24"/>
                <w:highlight w:val="none"/>
              </w:rPr>
            </w:pPr>
            <w:r>
              <w:rPr>
                <w:rFonts w:hint="eastAsia" w:ascii="宋体" w:hAnsi="宋体"/>
                <w:b/>
                <w:color w:val="auto"/>
                <w:sz w:val="24"/>
                <w:highlight w:val="none"/>
              </w:rPr>
              <w:t>审查因素</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auto"/>
                <w:sz w:val="24"/>
                <w:highlight w:val="none"/>
              </w:rPr>
            </w:pPr>
            <w:r>
              <w:rPr>
                <w:rFonts w:hint="eastAsia" w:ascii="宋体" w:hAnsi="宋体"/>
                <w:b/>
                <w:color w:val="auto"/>
                <w:sz w:val="24"/>
                <w:highlight w:val="none"/>
              </w:rPr>
              <w:t>审查内容</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b/>
                <w:color w:val="auto"/>
                <w:sz w:val="24"/>
                <w:highlight w:val="none"/>
              </w:rPr>
            </w:pPr>
            <w:r>
              <w:rPr>
                <w:rFonts w:hint="eastAsia" w:ascii="宋体" w:hAnsi="宋体"/>
                <w:b/>
                <w:color w:val="auto"/>
                <w:sz w:val="24"/>
                <w:highlight w:val="none"/>
              </w:rPr>
              <w:t>格式要求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满足《中华人民共和国政府采购法》第二十二条规定及法律法规的其他规定</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具体规定见第一章《投标邀请》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1-1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营业执照等证明文件</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投标人为企业（包括合伙企业）的，应提供有效的“营业执照”；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投标人为事业单位的，应提供有效的“事业单位法人证书”；</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投标人是非企业机构的，应提供有效的“执业许可证”、“登记证书”等证明文件；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投标人是个体工商户的，应提供有效的“个体工商户营业执照”；</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投标人是自然人的，应提供有效的自然人身份证明。</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若本项目允许分支机构参加投标，则分支机构参加投标的，此处可提供该分支机构或其所属法人或其他组织的相应证明文件。</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1-2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投标人资格声明书</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提供了符合招标文件要求的《投标人资格声明书》。</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75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color w:val="auto"/>
                <w:sz w:val="24"/>
                <w:highlight w:val="none"/>
              </w:rPr>
              <w:t>1-</w:t>
            </w:r>
            <w:r>
              <w:rPr>
                <w:rFonts w:hint="default"/>
                <w:color w:val="auto"/>
                <w:sz w:val="24"/>
                <w:highlight w:val="none"/>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投标人信用记录</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查询渠道：信用中国网站和中国政府采购网（</w:t>
            </w:r>
            <w:r>
              <w:rPr>
                <w:rFonts w:hint="default"/>
                <w:color w:val="auto"/>
                <w:highlight w:val="none"/>
              </w:rPr>
              <w:t>www.creditchina.gov.cn</w:t>
            </w:r>
            <w:r>
              <w:rPr>
                <w:rFonts w:hint="default"/>
                <w:color w:val="auto"/>
                <w:sz w:val="24"/>
                <w:highlight w:val="none"/>
              </w:rPr>
              <w:t>、</w:t>
            </w:r>
            <w:r>
              <w:rPr>
                <w:rFonts w:hint="default"/>
                <w:color w:val="auto"/>
                <w:highlight w:val="none"/>
              </w:rPr>
              <w:t>www.ccgp.gov.cn</w:t>
            </w:r>
            <w:r>
              <w:rPr>
                <w:rFonts w:hint="default"/>
                <w:color w:val="auto"/>
                <w:sz w:val="24"/>
                <w:highlight w:val="none"/>
              </w:rPr>
              <w:t>）；</w:t>
            </w:r>
          </w:p>
          <w:p>
            <w:pPr>
              <w:keepNext w:val="0"/>
              <w:keepLines w:val="0"/>
              <w:suppressLineNumbers w:val="0"/>
              <w:tabs>
                <w:tab w:val="left" w:pos="900"/>
                <w:tab w:val="left" w:pos="1980"/>
              </w:tabs>
              <w:snapToGrid w:val="0"/>
              <w:spacing w:before="0" w:beforeAutospacing="0" w:after="0" w:afterAutospacing="0"/>
              <w:ind w:left="0" w:right="0"/>
              <w:rPr>
                <w:rFonts w:hint="default"/>
                <w:color w:val="auto"/>
                <w:sz w:val="24"/>
                <w:highlight w:val="none"/>
              </w:rPr>
            </w:pPr>
            <w:r>
              <w:rPr>
                <w:rFonts w:hint="default"/>
                <w:color w:val="auto"/>
                <w:sz w:val="24"/>
                <w:highlight w:val="none"/>
              </w:rPr>
              <w:t>截止时点：投标截止时间以后、</w:t>
            </w:r>
            <w:r>
              <w:rPr>
                <w:rFonts w:hint="eastAsia"/>
                <w:color w:val="auto"/>
                <w:sz w:val="24"/>
                <w:highlight w:val="none"/>
              </w:rPr>
              <w:t>资格审查阶段采购人或</w:t>
            </w:r>
            <w:r>
              <w:rPr>
                <w:rFonts w:hint="default"/>
                <w:color w:val="auto"/>
                <w:sz w:val="24"/>
                <w:highlight w:val="none"/>
              </w:rPr>
              <w:t>采购代理机构的实际查询时间；</w:t>
            </w:r>
          </w:p>
          <w:p>
            <w:pPr>
              <w:keepNext w:val="0"/>
              <w:keepLines w:val="0"/>
              <w:suppressLineNumbers w:val="0"/>
              <w:tabs>
                <w:tab w:val="left" w:pos="900"/>
                <w:tab w:val="left" w:pos="1980"/>
              </w:tabs>
              <w:snapToGrid w:val="0"/>
              <w:spacing w:before="0" w:beforeAutospacing="0" w:after="0" w:afterAutospacing="0"/>
              <w:ind w:left="0" w:right="0"/>
              <w:rPr>
                <w:rFonts w:hint="default"/>
                <w:color w:val="auto"/>
                <w:sz w:val="24"/>
                <w:highlight w:val="none"/>
              </w:rPr>
            </w:pPr>
            <w:r>
              <w:rPr>
                <w:rFonts w:hint="default"/>
                <w:color w:val="auto"/>
                <w:sz w:val="24"/>
                <w:highlight w:val="none"/>
              </w:rPr>
              <w:t>信用信息查询记录和证据留存具体方式：查询结果网页打印页作为查询记录和证据，与其他采购文件一并保存；</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信用信息的使用原则：经认定的被列入失信被执行人、</w:t>
            </w:r>
            <w:r>
              <w:rPr>
                <w:rFonts w:hint="eastAsia"/>
                <w:color w:val="auto"/>
                <w:sz w:val="24"/>
                <w:highlight w:val="none"/>
                <w:lang w:eastAsia="zh-CN"/>
              </w:rPr>
              <w:t>重大税收违法失信主体</w:t>
            </w:r>
            <w:r>
              <w:rPr>
                <w:rFonts w:hint="default"/>
                <w:color w:val="auto"/>
                <w:sz w:val="24"/>
                <w:highlight w:val="none"/>
              </w:rPr>
              <w:t>、政府采购严重违法失信行为记录名单的投标人，其</w:t>
            </w:r>
            <w:r>
              <w:rPr>
                <w:rFonts w:hint="default"/>
                <w:b/>
                <w:color w:val="auto"/>
                <w:sz w:val="24"/>
                <w:highlight w:val="none"/>
              </w:rPr>
              <w:t>投标无效</w:t>
            </w:r>
            <w:r>
              <w:rPr>
                <w:rFonts w:hint="default"/>
                <w:color w:val="auto"/>
                <w:sz w:val="24"/>
                <w:highlight w:val="none"/>
              </w:rPr>
              <w:t>。联合体形式投标的，联合体成员存在不良信用记录，视同联合体存在不良信用记录。</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无须投标人提供，由采购人或采购代理机构查询。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落实政府采购政策需满足的资格要求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具体要求见第一章《投标邀请》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2-1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中小企业声明函</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当本项目（包）涉及预留份额专门面向中小企业采购</w:t>
            </w:r>
            <w:r>
              <w:rPr>
                <w:rFonts w:hint="eastAsia"/>
                <w:color w:val="auto"/>
                <w:sz w:val="24"/>
                <w:highlight w:val="none"/>
              </w:rPr>
              <w:t>，</w:t>
            </w:r>
            <w:r>
              <w:rPr>
                <w:rFonts w:hint="default"/>
                <w:color w:val="auto"/>
                <w:sz w:val="24"/>
                <w:highlight w:val="none"/>
              </w:rPr>
              <w:t>此时建议在《资格证明文件》中提供。</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eastAsia"/>
                <w:color w:val="auto"/>
                <w:sz w:val="24"/>
                <w:highlight w:val="none"/>
              </w:rPr>
              <w:t>1、投标人单独投标的，应提供中小企业声明函；如为监狱企业或</w:t>
            </w:r>
            <w:r>
              <w:rPr>
                <w:rFonts w:hint="default"/>
                <w:color w:val="auto"/>
                <w:sz w:val="24"/>
                <w:highlight w:val="none"/>
              </w:rPr>
              <w:t>残疾人福利性单位</w:t>
            </w:r>
            <w:r>
              <w:rPr>
                <w:rFonts w:hint="eastAsia"/>
                <w:color w:val="auto"/>
                <w:sz w:val="24"/>
                <w:highlight w:val="none"/>
              </w:rPr>
              <w:t>，不必提供中小企业声明函，但须按注1或注2要求提供证明材料。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eastAsia"/>
                <w:color w:val="auto"/>
                <w:sz w:val="24"/>
                <w:highlight w:val="none"/>
              </w:rPr>
              <w:t>2、如招标文件</w:t>
            </w:r>
            <w:r>
              <w:rPr>
                <w:rFonts w:hint="default"/>
                <w:color w:val="auto"/>
                <w:sz w:val="24"/>
                <w:highlight w:val="none"/>
              </w:rPr>
              <w:t>要求以联合体形式参加或者要求合同分包的，</w:t>
            </w:r>
            <w:r>
              <w:rPr>
                <w:rFonts w:hint="eastAsia"/>
                <w:color w:val="auto"/>
                <w:sz w:val="24"/>
                <w:highlight w:val="none"/>
              </w:rPr>
              <w:t>且投标人为联合体或拟进行合同分包的，则</w:t>
            </w:r>
            <w:r>
              <w:rPr>
                <w:rFonts w:hint="default"/>
                <w:color w:val="auto"/>
                <w:sz w:val="24"/>
                <w:highlight w:val="none"/>
              </w:rPr>
              <w:t>联合体中的中小企业、签订分包意向协议的中小企业具体情况须在《中小企业声明函》中如实填报。</w:t>
            </w:r>
            <w:r>
              <w:rPr>
                <w:rFonts w:hint="eastAsia"/>
                <w:color w:val="auto"/>
                <w:sz w:val="24"/>
                <w:highlight w:val="none"/>
              </w:rPr>
              <w:t>上述中小企业如为监狱企业或</w:t>
            </w:r>
            <w:r>
              <w:rPr>
                <w:rFonts w:hint="default"/>
                <w:color w:val="auto"/>
                <w:sz w:val="24"/>
                <w:highlight w:val="none"/>
              </w:rPr>
              <w:t>残疾人福利性单位</w:t>
            </w:r>
            <w:r>
              <w:rPr>
                <w:rFonts w:hint="eastAsia"/>
                <w:color w:val="auto"/>
                <w:sz w:val="24"/>
                <w:highlight w:val="none"/>
              </w:rPr>
              <w:t>应在声明函中如实列明单位性质，并按注1或注2要求提供证明材料。</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eastAsia"/>
                <w:color w:val="auto"/>
                <w:sz w:val="24"/>
                <w:highlight w:val="none"/>
              </w:rPr>
              <w:t>注1：</w:t>
            </w:r>
            <w:r>
              <w:rPr>
                <w:rFonts w:hint="default"/>
                <w:color w:val="auto"/>
                <w:sz w:val="24"/>
                <w:highlight w:val="none"/>
              </w:rPr>
              <w:t>监狱企业须提供由省级以上监狱管理局（北京市含教育矫治局）、戒毒管理局（含新疆生产建设兵团）出具的属于监狱企业的证明文件。</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color w:val="auto"/>
                <w:sz w:val="24"/>
                <w:highlight w:val="none"/>
              </w:rPr>
              <w:t>注2：</w:t>
            </w:r>
            <w:r>
              <w:rPr>
                <w:rFonts w:hint="default"/>
                <w:color w:val="auto"/>
                <w:sz w:val="24"/>
                <w:highlight w:val="none"/>
              </w:rPr>
              <w:t>残疾人福利性单位须按招标文件要求提供《残疾人福利性单位声明函》。</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格式见《投标文件格式》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vAlign w:val="center"/>
          </w:tcPr>
          <w:p>
            <w:pPr>
              <w:keepNext w:val="0"/>
              <w:keepLines w:val="0"/>
              <w:suppressLineNumbers w:val="0"/>
              <w:tabs>
                <w:tab w:val="left" w:pos="1080"/>
              </w:tabs>
              <w:snapToGrid w:val="0"/>
              <w:spacing w:before="0" w:beforeAutospacing="0" w:after="0" w:afterAutospacing="0"/>
              <w:ind w:left="0" w:right="0"/>
              <w:jc w:val="center"/>
              <w:rPr>
                <w:rFonts w:hint="default"/>
                <w:color w:val="auto"/>
                <w:sz w:val="24"/>
                <w:highlight w:val="none"/>
              </w:rPr>
            </w:pPr>
            <w:r>
              <w:rPr>
                <w:rFonts w:hint="default"/>
                <w:color w:val="auto"/>
                <w:sz w:val="24"/>
                <w:highlight w:val="none"/>
              </w:rPr>
              <w:t>2-2</w:t>
            </w:r>
          </w:p>
        </w:tc>
        <w:tc>
          <w:tcPr>
            <w:tcW w:w="2714" w:type="dxa"/>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拟分包情况说明及分包意向协议（类型一）</w:t>
            </w:r>
          </w:p>
        </w:tc>
        <w:tc>
          <w:tcPr>
            <w:tcW w:w="4416" w:type="dxa"/>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如本项目（包）要求通过分包措施预留部分采购份额面向中小企业采购、且投标人因落实政府采购政策拟进行分包的，必须提供；否则无须提供。</w:t>
            </w:r>
          </w:p>
          <w:p>
            <w:pPr>
              <w:keepNext w:val="0"/>
              <w:keepLines w:val="0"/>
              <w:suppressLineNumbers w:val="0"/>
              <w:tabs>
                <w:tab w:val="left" w:pos="1080"/>
              </w:tabs>
              <w:snapToGrid w:val="0"/>
              <w:spacing w:before="0" w:beforeAutospacing="0" w:after="0" w:afterAutospacing="0"/>
              <w:ind w:left="0" w:right="0"/>
              <w:rPr>
                <w:rFonts w:hint="default"/>
                <w:b/>
                <w:color w:val="auto"/>
                <w:sz w:val="24"/>
                <w:highlight w:val="none"/>
              </w:rPr>
            </w:pPr>
            <w:r>
              <w:rPr>
                <w:rFonts w:hint="default"/>
                <w:color w:val="auto"/>
                <w:sz w:val="24"/>
                <w:highlight w:val="none"/>
              </w:rPr>
              <w:t>对于预留份额专门面向中小企业采购的项目（包），组成联合体或者接受分包合同的中小企业与联合体内其他企业、分包企业之间不得存在直接控股、管理关系。</w:t>
            </w:r>
          </w:p>
        </w:tc>
        <w:tc>
          <w:tcPr>
            <w:tcW w:w="1667" w:type="dxa"/>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s="宋体"/>
                <w:color w:val="auto"/>
                <w:sz w:val="24"/>
                <w:highlight w:val="none"/>
              </w:rPr>
            </w:pPr>
            <w:r>
              <w:rPr>
                <w:rFonts w:hint="eastAsia" w:ascii="宋体" w:hAnsi="宋体" w:cs="宋体"/>
                <w:color w:val="auto"/>
                <w:sz w:val="24"/>
                <w:highlight w:val="none"/>
              </w:rPr>
              <w:t>格式见《投标文件格式》</w:t>
            </w:r>
          </w:p>
          <w:p>
            <w:pPr>
              <w:pStyle w:val="26"/>
              <w:keepNext w:val="0"/>
              <w:keepLines w:val="0"/>
              <w:suppressLineNumbers w:val="0"/>
              <w:spacing w:before="0" w:beforeAutospacing="0" w:after="0" w:afterAutospacing="0"/>
              <w:ind w:left="0" w:right="0" w:firstLine="0" w:firstLineChars="0"/>
              <w:rPr>
                <w:rFonts w:hint="default"/>
                <w:color w:val="auto"/>
                <w:highlight w:val="none"/>
              </w:rPr>
            </w:pPr>
            <w:r>
              <w:rPr>
                <w:rFonts w:hint="eastAsia" w:ascii="宋体" w:hAnsi="宋体" w:eastAsia="宋体" w:cs="宋体"/>
                <w:color w:val="auto"/>
                <w:highlight w:val="none"/>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0"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2-3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其它落实政府采购政策的资格要求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3</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本项目的特定资格要求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68"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3-1</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是否接受联合体投标</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1、如本项目接受联合体投标，且投标人为联合体时必须提供《联合协议》，明确各方拟承担的工作和责任，并指定联合体牵头人，授权其代表所有联合体成员负责本项目投标和合同实施阶段的</w:t>
            </w:r>
            <w:r>
              <w:rPr>
                <w:rFonts w:hint="eastAsia"/>
                <w:color w:val="auto"/>
                <w:sz w:val="24"/>
                <w:highlight w:val="none"/>
              </w:rPr>
              <w:t>牵头</w:t>
            </w:r>
            <w:r>
              <w:rPr>
                <w:rFonts w:hint="default"/>
                <w:color w:val="auto"/>
                <w:sz w:val="24"/>
                <w:highlight w:val="none"/>
              </w:rPr>
              <w:t>、协调工作。该联合协议应当作为投标文件的组成部分，与投标文件其他内容同时递交。</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2、</w:t>
            </w:r>
            <w:r>
              <w:rPr>
                <w:rFonts w:hint="eastAsia"/>
                <w:color w:val="auto"/>
                <w:sz w:val="24"/>
                <w:highlight w:val="none"/>
              </w:rPr>
              <w:t>联合体各成员单位均须提供本表中序号1-1、1-2的证明文件。</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eastAsia"/>
                <w:color w:val="auto"/>
                <w:sz w:val="24"/>
                <w:highlight w:val="none"/>
              </w:rPr>
              <w:t>3、本表序号3-2项规定的其他特定资格要求中的每一小项要求，联合体各方中至少应当有一方符合本表中其他资格要求并提供证明文件。</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eastAsia"/>
                <w:color w:val="auto"/>
                <w:sz w:val="24"/>
                <w:highlight w:val="none"/>
              </w:rPr>
              <w:t>4</w:t>
            </w:r>
            <w:r>
              <w:rPr>
                <w:rFonts w:hint="default"/>
                <w:color w:val="auto"/>
                <w:sz w:val="24"/>
                <w:highlight w:val="none"/>
              </w:rPr>
              <w:t>、联合体中有同类资质的供应商按照联合体分工承担相同工作的，应当按照资质等级较低的供应商确定资质等级。</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5、以联合体形式参加政府采购活动的，联合体各方不得再单独参加或者与其他供应商另外组成联合体参加同一合同项下的政府采购活动。</w:t>
            </w:r>
          </w:p>
          <w:p>
            <w:pPr>
              <w:keepNext w:val="0"/>
              <w:keepLines w:val="0"/>
              <w:suppressLineNumbers w:val="0"/>
              <w:tabs>
                <w:tab w:val="left" w:pos="1080"/>
              </w:tabs>
              <w:snapToGrid w:val="0"/>
              <w:spacing w:before="0" w:beforeAutospacing="0" w:after="0" w:afterAutospacing="0"/>
              <w:ind w:left="0" w:right="0"/>
              <w:rPr>
                <w:rFonts w:hint="default"/>
                <w:color w:val="auto"/>
                <w:sz w:val="24"/>
                <w:highlight w:val="none"/>
              </w:rPr>
            </w:pPr>
            <w:r>
              <w:rPr>
                <w:rFonts w:hint="default"/>
                <w:color w:val="auto"/>
                <w:sz w:val="24"/>
                <w:highlight w:val="none"/>
              </w:rPr>
              <w:t>6、若联合体中任一成员单位中途退出，则该联合体的</w:t>
            </w:r>
            <w:r>
              <w:rPr>
                <w:rFonts w:hint="default"/>
                <w:b/>
                <w:color w:val="auto"/>
                <w:sz w:val="24"/>
                <w:highlight w:val="none"/>
              </w:rPr>
              <w:t>投标无效</w:t>
            </w:r>
            <w:r>
              <w:rPr>
                <w:rFonts w:hint="default"/>
                <w:color w:val="auto"/>
                <w:sz w:val="24"/>
                <w:highlight w:val="none"/>
              </w:rPr>
              <w:t>。</w:t>
            </w:r>
          </w:p>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7、本项目不接受联合体投标</w:t>
            </w:r>
            <w:r>
              <w:rPr>
                <w:rFonts w:hint="eastAsia"/>
                <w:color w:val="auto"/>
                <w:sz w:val="24"/>
                <w:highlight w:val="none"/>
              </w:rPr>
              <w:t>时</w:t>
            </w:r>
            <w:r>
              <w:rPr>
                <w:rFonts w:hint="default"/>
                <w:color w:val="auto"/>
                <w:sz w:val="24"/>
                <w:highlight w:val="none"/>
              </w:rPr>
              <w:t>，</w:t>
            </w:r>
            <w:r>
              <w:rPr>
                <w:rFonts w:hint="eastAsia"/>
                <w:color w:val="auto"/>
                <w:sz w:val="24"/>
                <w:highlight w:val="none"/>
              </w:rPr>
              <w:t>投标人不得为联合体</w:t>
            </w:r>
            <w:r>
              <w:rPr>
                <w:rFonts w:hint="default"/>
                <w:color w:val="auto"/>
                <w:sz w:val="24"/>
                <w:highlight w:val="none"/>
              </w:rPr>
              <w:t>。</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格式见《投标文件格式》</w:t>
            </w:r>
            <w:r>
              <w:rPr>
                <w:rFonts w:hint="eastAsia"/>
                <w:b/>
                <w:color w:val="auto"/>
                <w:sz w:val="24"/>
                <w:highlight w:val="none"/>
              </w:rPr>
              <w:t>（本项目不适用）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4"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color w:val="auto"/>
                <w:sz w:val="24"/>
                <w:highlight w:val="none"/>
              </w:rPr>
              <w:t>3-2</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sz w:val="24"/>
                <w:highlight w:val="none"/>
              </w:rPr>
              <w:t>其他特定资格要求</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kern w:val="0"/>
                <w:sz w:val="24"/>
                <w:highlight w:val="none"/>
              </w:rPr>
            </w:pPr>
            <w:r>
              <w:rPr>
                <w:rFonts w:hint="default"/>
                <w:color w:val="auto"/>
                <w:sz w:val="24"/>
                <w:highlight w:val="none"/>
              </w:rPr>
              <w:t>如有，见第一章《投标邀请》</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eastAsia" w:ascii="宋体" w:hAnsi="宋体"/>
                <w:color w:val="auto"/>
                <w:sz w:val="24"/>
                <w:highlight w:val="none"/>
              </w:rPr>
              <w:t>提供证明文件（复印件加盖公章）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83" w:hRule="atLeast"/>
        </w:trPr>
        <w:tc>
          <w:tcPr>
            <w:tcW w:w="831"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sz w:val="24"/>
                <w:highlight w:val="none"/>
              </w:rPr>
              <w:t>4</w:t>
            </w:r>
          </w:p>
        </w:tc>
        <w:tc>
          <w:tcPr>
            <w:tcW w:w="271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left"/>
              <w:rPr>
                <w:rFonts w:hint="default" w:ascii="宋体" w:hAnsi="宋体"/>
                <w:color w:val="auto"/>
                <w:sz w:val="24"/>
                <w:highlight w:val="none"/>
              </w:rPr>
            </w:pPr>
            <w:r>
              <w:rPr>
                <w:rFonts w:hint="eastAsia" w:ascii="宋体" w:hAnsi="宋体"/>
                <w:color w:val="auto"/>
                <w:sz w:val="24"/>
                <w:highlight w:val="none"/>
              </w:rPr>
              <w:t>投标保证金</w:t>
            </w:r>
          </w:p>
        </w:tc>
        <w:tc>
          <w:tcPr>
            <w:tcW w:w="441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kern w:val="0"/>
                <w:sz w:val="24"/>
                <w:highlight w:val="none"/>
              </w:rPr>
            </w:pPr>
            <w:r>
              <w:rPr>
                <w:rFonts w:hint="eastAsia" w:ascii="宋体" w:hAnsi="宋体"/>
                <w:color w:val="auto"/>
                <w:kern w:val="0"/>
                <w:sz w:val="24"/>
                <w:highlight w:val="none"/>
              </w:rPr>
              <w:t>按照招标文件的规定提交投标保证金。</w:t>
            </w:r>
          </w:p>
        </w:tc>
        <w:tc>
          <w:tcPr>
            <w:tcW w:w="1667"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sz w:val="24"/>
                <w:highlight w:val="none"/>
              </w:rPr>
            </w:pPr>
            <w:r>
              <w:rPr>
                <w:rFonts w:hint="default" w:ascii="宋体" w:hAnsi="宋体"/>
                <w:color w:val="auto"/>
                <w:sz w:val="24"/>
                <w:highlight w:val="none"/>
              </w:rPr>
              <w:t>本项目不收取投标保证金</w:t>
            </w:r>
          </w:p>
        </w:tc>
      </w:tr>
      <w:bookmarkEnd w:id="712"/>
    </w:tbl>
    <w:p>
      <w:pPr>
        <w:spacing w:line="360" w:lineRule="auto"/>
        <w:ind w:firstLine="904" w:firstLineChars="250"/>
        <w:jc w:val="center"/>
        <w:outlineLvl w:val="0"/>
        <w:rPr>
          <w:rFonts w:hint="eastAsia" w:ascii="宋体" w:hAnsi="宋体"/>
          <w:b/>
          <w:color w:val="auto"/>
          <w:sz w:val="36"/>
          <w:szCs w:val="36"/>
          <w:highlight w:val="none"/>
        </w:rPr>
      </w:pPr>
      <w:bookmarkStart w:id="714" w:name="_Hlt487972895"/>
      <w:bookmarkEnd w:id="714"/>
      <w:bookmarkStart w:id="715" w:name="_Toc127151779"/>
      <w:bookmarkStart w:id="716" w:name="_Toc226965858"/>
      <w:bookmarkStart w:id="717" w:name="_Toc353825550"/>
      <w:bookmarkStart w:id="718" w:name="_Toc127161490"/>
      <w:bookmarkStart w:id="719" w:name="_Toc353873940"/>
      <w:bookmarkStart w:id="720" w:name="_Toc30760"/>
      <w:bookmarkStart w:id="721" w:name="_Toc111134029"/>
    </w:p>
    <w:p>
      <w:pPr>
        <w:spacing w:line="360" w:lineRule="auto"/>
        <w:ind w:firstLine="904" w:firstLineChars="250"/>
        <w:jc w:val="center"/>
        <w:outlineLvl w:val="0"/>
        <w:rPr>
          <w:rFonts w:ascii="宋体" w:hAnsi="宋体"/>
          <w:b/>
          <w:color w:val="auto"/>
          <w:sz w:val="36"/>
          <w:szCs w:val="36"/>
          <w:highlight w:val="none"/>
        </w:rPr>
      </w:pPr>
      <w:r>
        <w:rPr>
          <w:rFonts w:hint="eastAsia" w:ascii="宋体" w:hAnsi="宋体"/>
          <w:b/>
          <w:color w:val="auto"/>
          <w:sz w:val="36"/>
          <w:szCs w:val="36"/>
          <w:highlight w:val="none"/>
        </w:rPr>
        <w:t xml:space="preserve">第四章   </w:t>
      </w:r>
      <w:bookmarkEnd w:id="715"/>
      <w:bookmarkEnd w:id="716"/>
      <w:bookmarkEnd w:id="717"/>
      <w:bookmarkEnd w:id="718"/>
      <w:bookmarkEnd w:id="719"/>
      <w:bookmarkStart w:id="722" w:name="_Hlt164229061"/>
      <w:bookmarkEnd w:id="722"/>
      <w:r>
        <w:rPr>
          <w:rFonts w:hint="eastAsia" w:ascii="宋体" w:hAnsi="宋体"/>
          <w:b/>
          <w:color w:val="auto"/>
          <w:sz w:val="36"/>
          <w:szCs w:val="36"/>
          <w:highlight w:val="none"/>
        </w:rPr>
        <w:t>评标程序、评标方法和评标标准</w:t>
      </w:r>
      <w:bookmarkEnd w:id="720"/>
      <w:bookmarkEnd w:id="721"/>
    </w:p>
    <w:p>
      <w:pPr>
        <w:tabs>
          <w:tab w:val="left" w:pos="360"/>
          <w:tab w:val="left" w:pos="900"/>
        </w:tabs>
        <w:snapToGrid w:val="0"/>
        <w:spacing w:line="360" w:lineRule="auto"/>
        <w:jc w:val="center"/>
        <w:outlineLvl w:val="1"/>
        <w:rPr>
          <w:rFonts w:ascii="宋体" w:hAnsi="宋体"/>
          <w:b/>
          <w:color w:val="auto"/>
          <w:highlight w:val="none"/>
        </w:rPr>
      </w:pPr>
      <w:r>
        <w:rPr>
          <w:rFonts w:hint="eastAsia" w:ascii="宋体" w:hAnsi="宋体"/>
          <w:b/>
          <w:color w:val="auto"/>
          <w:sz w:val="24"/>
          <w:highlight w:val="none"/>
        </w:rPr>
        <w:t>一、评标方法</w:t>
      </w:r>
    </w:p>
    <w:p>
      <w:pPr>
        <w:numPr>
          <w:ilvl w:val="0"/>
          <w:numId w:val="13"/>
        </w:numPr>
        <w:tabs>
          <w:tab w:val="left" w:pos="360"/>
        </w:tabs>
        <w:snapToGrid w:val="0"/>
        <w:spacing w:line="360" w:lineRule="auto"/>
        <w:outlineLvl w:val="1"/>
        <w:rPr>
          <w:rFonts w:ascii="宋体" w:hAnsi="宋体"/>
          <w:color w:val="auto"/>
          <w:sz w:val="24"/>
          <w:highlight w:val="none"/>
        </w:rPr>
      </w:pPr>
      <w:bookmarkStart w:id="723" w:name="_Toc226965814"/>
      <w:bookmarkStart w:id="724" w:name="_Toc164229382"/>
      <w:bookmarkStart w:id="725" w:name="_Toc151193639"/>
      <w:bookmarkStart w:id="726" w:name="_Toc164351635"/>
      <w:bookmarkStart w:id="727" w:name="_Toc195842906"/>
      <w:bookmarkStart w:id="728" w:name="_Toc164608655"/>
      <w:bookmarkStart w:id="729" w:name="_Toc164229236"/>
      <w:bookmarkStart w:id="730" w:name="_Toc150774746"/>
      <w:bookmarkStart w:id="731" w:name="_Toc305158809"/>
      <w:bookmarkStart w:id="732" w:name="_Toc150774641"/>
      <w:bookmarkStart w:id="733" w:name="_Toc151193783"/>
      <w:bookmarkStart w:id="734" w:name="_Toc264969231"/>
      <w:bookmarkStart w:id="735" w:name="_Toc150480779"/>
      <w:bookmarkStart w:id="736" w:name="_Toc164608810"/>
      <w:bookmarkStart w:id="737" w:name="_Toc127161455"/>
      <w:bookmarkStart w:id="738" w:name="_Toc127151541"/>
      <w:bookmarkStart w:id="739" w:name="_Toc149720834"/>
      <w:bookmarkStart w:id="740" w:name="_Toc226337237"/>
      <w:bookmarkStart w:id="741" w:name="_Toc151193855"/>
      <w:bookmarkStart w:id="742" w:name="_Toc150509292"/>
      <w:bookmarkStart w:id="743" w:name="_Toc151193711"/>
      <w:bookmarkStart w:id="744" w:name="_Toc226309785"/>
      <w:bookmarkStart w:id="745" w:name="_Toc142311043"/>
      <w:bookmarkStart w:id="746" w:name="_Toc151193929"/>
      <w:bookmarkStart w:id="747" w:name="_Toc226965731"/>
      <w:bookmarkStart w:id="748" w:name="_Toc305158883"/>
      <w:bookmarkStart w:id="749" w:name="_Toc265228379"/>
      <w:bookmarkStart w:id="750" w:name="_Toc127151742"/>
      <w:bookmarkStart w:id="751" w:name="_Toc151190168"/>
      <w:bookmarkStart w:id="752" w:name="_Toc353873941"/>
      <w:bookmarkStart w:id="753" w:name="_Toc353825551"/>
      <w:r>
        <w:rPr>
          <w:rFonts w:hint="eastAsia" w:ascii="宋体" w:hAnsi="宋体"/>
          <w:color w:val="auto"/>
          <w:sz w:val="24"/>
          <w:highlight w:val="none"/>
        </w:rPr>
        <w:t>投标文件的符合性审查</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评标委员会对资格审查合格的投标人的投标文件进行符合性审查，以确定其是否满足招标文件的实质性要求。</w:t>
      </w:r>
      <w:bookmarkStart w:id="754" w:name="_Toc520356167"/>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54"/>
      <w:r>
        <w:rPr>
          <w:rFonts w:hint="eastAsia" w:ascii="宋体" w:hAnsi="宋体"/>
          <w:color w:val="auto"/>
          <w:sz w:val="24"/>
          <w:highlight w:val="none"/>
        </w:rPr>
        <w:t>要求的，</w:t>
      </w:r>
      <w:r>
        <w:rPr>
          <w:rFonts w:hint="eastAsia" w:ascii="宋体" w:hAnsi="宋体"/>
          <w:b/>
          <w:color w:val="auto"/>
          <w:sz w:val="24"/>
          <w:highlight w:val="none"/>
        </w:rPr>
        <w:t>投标无效</w:t>
      </w:r>
      <w:r>
        <w:rPr>
          <w:rFonts w:hint="eastAsia" w:ascii="宋体" w:hAnsi="宋体"/>
          <w:color w:val="auto"/>
          <w:sz w:val="24"/>
          <w:highlight w:val="none"/>
        </w:rPr>
        <w:t>。</w:t>
      </w:r>
    </w:p>
    <w:p>
      <w:pPr>
        <w:tabs>
          <w:tab w:val="left" w:pos="900"/>
          <w:tab w:val="left" w:pos="1080"/>
          <w:tab w:val="left" w:pos="1589"/>
        </w:tabs>
        <w:snapToGrid w:val="0"/>
        <w:spacing w:line="360" w:lineRule="auto"/>
        <w:ind w:leftChars="-170" w:hanging="357" w:hangingChars="148"/>
        <w:jc w:val="center"/>
        <w:rPr>
          <w:rFonts w:ascii="宋体" w:hAnsi="宋体"/>
          <w:b/>
          <w:color w:val="auto"/>
          <w:sz w:val="24"/>
          <w:highlight w:val="none"/>
        </w:rPr>
      </w:pPr>
      <w:r>
        <w:rPr>
          <w:rFonts w:hint="eastAsia" w:ascii="宋体" w:hAnsi="宋体"/>
          <w:b/>
          <w:color w:val="auto"/>
          <w:sz w:val="24"/>
          <w:highlight w:val="none"/>
        </w:rPr>
        <w:t>符合性审查要求</w:t>
      </w:r>
    </w:p>
    <w:tbl>
      <w:tblPr>
        <w:tblStyle w:val="4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2237"/>
        <w:gridCol w:w="4278"/>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auto"/>
                <w:kern w:val="0"/>
                <w:sz w:val="24"/>
                <w:highlight w:val="none"/>
              </w:rPr>
            </w:pPr>
            <w:r>
              <w:rPr>
                <w:rFonts w:hint="eastAsia" w:ascii="宋体" w:hAnsi="宋体"/>
                <w:b/>
                <w:color w:val="auto"/>
                <w:kern w:val="0"/>
                <w:sz w:val="24"/>
                <w:highlight w:val="none"/>
              </w:rPr>
              <w:t>序号</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auto"/>
                <w:kern w:val="0"/>
                <w:sz w:val="24"/>
                <w:highlight w:val="none"/>
              </w:rPr>
            </w:pPr>
            <w:r>
              <w:rPr>
                <w:rFonts w:hint="eastAsia" w:ascii="宋体" w:hAnsi="宋体"/>
                <w:b/>
                <w:color w:val="auto"/>
                <w:kern w:val="0"/>
                <w:sz w:val="24"/>
                <w:highlight w:val="none"/>
              </w:rPr>
              <w:t>审查因素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auto"/>
                <w:kern w:val="0"/>
                <w:sz w:val="24"/>
                <w:highlight w:val="none"/>
              </w:rPr>
            </w:pPr>
            <w:r>
              <w:rPr>
                <w:rFonts w:hint="eastAsia" w:ascii="宋体" w:hAnsi="宋体"/>
                <w:b/>
                <w:color w:val="auto"/>
                <w:kern w:val="0"/>
                <w:sz w:val="24"/>
                <w:highlight w:val="none"/>
              </w:rPr>
              <w:t>审查内容</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b/>
                <w:color w:val="auto"/>
                <w:kern w:val="0"/>
                <w:sz w:val="24"/>
                <w:highlight w:val="none"/>
              </w:rPr>
            </w:pPr>
            <w:r>
              <w:rPr>
                <w:rFonts w:hint="default"/>
                <w:b/>
                <w:color w:val="auto"/>
                <w:kern w:val="0"/>
                <w:sz w:val="24"/>
                <w:highlight w:val="none"/>
              </w:rPr>
              <w:t>是否允许澄清、说明或者更正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授权委托书</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按招标文件要求提供授权委托书；</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投标完整性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sz w:val="24"/>
                <w:highlight w:val="none"/>
              </w:rPr>
              <w:t>未将一个采购包中的内容拆开投标；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投标报价</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投标报价未</w:t>
            </w:r>
            <w:r>
              <w:rPr>
                <w:rFonts w:hint="eastAsia" w:ascii="宋体" w:hAnsi="宋体"/>
                <w:color w:val="auto"/>
                <w:sz w:val="24"/>
                <w:highlight w:val="none"/>
              </w:rPr>
              <w:t>超过招标文件中规定的项目/采购包预算金额或者项目/采购包最高限价</w:t>
            </w:r>
            <w:r>
              <w:rPr>
                <w:rFonts w:hint="eastAsia" w:ascii="宋体" w:hAnsi="宋体"/>
                <w:color w:val="auto"/>
                <w:kern w:val="0"/>
                <w:sz w:val="24"/>
                <w:highlight w:val="none"/>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报价唯一性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投标文件未</w:t>
            </w:r>
            <w:r>
              <w:rPr>
                <w:rFonts w:hint="eastAsia" w:ascii="宋体" w:hAnsi="宋体"/>
                <w:color w:val="auto"/>
                <w:sz w:val="24"/>
                <w:highlight w:val="none"/>
              </w:rPr>
              <w:t>出现可选择性或可调整的报价（招标文件另有规定的除外）</w:t>
            </w:r>
            <w:r>
              <w:rPr>
                <w:rFonts w:hint="eastAsia" w:ascii="宋体" w:hAnsi="宋体"/>
                <w:color w:val="auto"/>
                <w:kern w:val="0"/>
                <w:sz w:val="24"/>
                <w:highlight w:val="none"/>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5</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投标有效期</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投标文件中承诺的投标有效期满足招标文件中载明的投标有效期的；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6</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签署、盖章</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按照招标文件要求签署、盖章的；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7</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实质性格式</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标记为“实质性格式”的文件均按招标文件要求提供；</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8</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报价合理性</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报价合理，或</w:t>
            </w:r>
            <w:r>
              <w:rPr>
                <w:rFonts w:hint="eastAsia" w:ascii="宋体" w:hAnsi="宋体"/>
                <w:color w:val="auto"/>
                <w:sz w:val="24"/>
                <w:highlight w:val="none"/>
              </w:rPr>
              <w:t>投标人的报价明显低于其他通过符合性审查投标人的报价，有可能影响产品质量或者不能诚信履约的，能够应评标委员会要求在规定时间内证明其报价合理性的</w:t>
            </w:r>
            <w:r>
              <w:rPr>
                <w:rFonts w:hint="eastAsia" w:ascii="宋体" w:hAnsi="宋体"/>
                <w:color w:val="auto"/>
                <w:kern w:val="0"/>
                <w:sz w:val="24"/>
                <w:highlight w:val="none"/>
              </w:rPr>
              <w:t>；</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9</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是否涉及进口</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sz w:val="24"/>
                <w:highlight w:val="none"/>
              </w:rPr>
              <w:t>本项目不涉及进口，投标人所投产品为进口产品的其投标将被视为无效投标；</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10</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公平竞争</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sz w:val="24"/>
                <w:highlight w:val="none"/>
              </w:rPr>
              <w:t>投标人遵循公平竞争的原则，不存在恶意串通，妨碍其他投标人的竞争行为，不存在损害采购人或者其他投标人的合法权益情形的；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11</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串通投标</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sz w:val="24"/>
                <w:highlight w:val="none"/>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 性差异；（五）不同投标人的投标文件相互混装；（六）不同投标人的投标保证金从同一单位或者个人的账户转出；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12</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附加条件</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kern w:val="0"/>
                <w:sz w:val="24"/>
                <w:highlight w:val="none"/>
              </w:rPr>
              <w:t>投标文件未含有采购人不能接受的附加条件的；</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13</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sz w:val="24"/>
                <w:highlight w:val="none"/>
              </w:rPr>
              <w:t>中标服务费承诺书</w:t>
            </w:r>
          </w:p>
        </w:tc>
        <w:tc>
          <w:tcPr>
            <w:tcW w:w="4278"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rPr>
                <w:rFonts w:hint="default" w:ascii="宋体" w:hAnsi="宋体"/>
                <w:color w:val="auto"/>
                <w:sz w:val="24"/>
                <w:highlight w:val="none"/>
              </w:rPr>
            </w:pPr>
            <w:r>
              <w:rPr>
                <w:rFonts w:hint="default"/>
                <w:color w:val="auto"/>
                <w:kern w:val="0"/>
                <w:sz w:val="24"/>
                <w:highlight w:val="none"/>
              </w:rPr>
              <w:t>按照招标文件的要求提交中标服务费承诺书，格式自拟。</w:t>
            </w:r>
          </w:p>
        </w:tc>
        <w:tc>
          <w:tcPr>
            <w:tcW w:w="1922" w:type="dxa"/>
            <w:tcBorders>
              <w:top w:val="single" w:color="auto" w:sz="4" w:space="0"/>
              <w:left w:val="single" w:color="auto" w:sz="4" w:space="0"/>
              <w:right w:val="single" w:color="auto" w:sz="4" w:space="0"/>
            </w:tcBorders>
            <w:vAlign w:val="center"/>
          </w:tcPr>
          <w:p>
            <w:pPr>
              <w:keepNext w:val="0"/>
              <w:keepLines w:val="0"/>
              <w:suppressLineNumbers w:val="0"/>
              <w:tabs>
                <w:tab w:val="left" w:pos="1080"/>
              </w:tabs>
              <w:snapToGrid w:val="0"/>
              <w:spacing w:before="0" w:beforeAutospacing="0" w:after="0" w:afterAutospacing="0"/>
              <w:ind w:left="0" w:right="0"/>
              <w:jc w:val="center"/>
              <w:rPr>
                <w:rFonts w:hint="default"/>
                <w:color w:val="auto"/>
                <w:kern w:val="0"/>
                <w:sz w:val="24"/>
                <w:highlight w:val="none"/>
              </w:rPr>
            </w:pPr>
            <w:r>
              <w:rPr>
                <w:rFonts w:hint="eastAsia" w:ascii="宋体" w:hAnsi="宋体"/>
                <w:color w:val="auto"/>
                <w:kern w:val="0"/>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67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14</w:t>
            </w:r>
          </w:p>
        </w:tc>
        <w:tc>
          <w:tcPr>
            <w:tcW w:w="223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kern w:val="0"/>
                <w:sz w:val="24"/>
                <w:highlight w:val="none"/>
              </w:rPr>
            </w:pPr>
            <w:r>
              <w:rPr>
                <w:rFonts w:hint="eastAsia" w:ascii="宋体" w:hAnsi="宋体"/>
                <w:color w:val="auto"/>
                <w:kern w:val="0"/>
                <w:sz w:val="24"/>
                <w:highlight w:val="none"/>
              </w:rPr>
              <w:t>其他无效情形</w:t>
            </w:r>
          </w:p>
        </w:tc>
        <w:tc>
          <w:tcPr>
            <w:tcW w:w="427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olor w:val="auto"/>
                <w:kern w:val="0"/>
                <w:sz w:val="24"/>
                <w:highlight w:val="none"/>
              </w:rPr>
            </w:pPr>
            <w:r>
              <w:rPr>
                <w:rFonts w:hint="eastAsia" w:ascii="宋体" w:hAnsi="宋体"/>
                <w:color w:val="auto"/>
                <w:sz w:val="24"/>
                <w:highlight w:val="none"/>
              </w:rPr>
              <w:t>投标人、投标文件不存在不符合法律、法规和招标文件规定的其他无效情形。</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center"/>
              <w:rPr>
                <w:rFonts w:hint="default" w:ascii="宋体" w:hAnsi="宋体"/>
                <w:color w:val="auto"/>
                <w:sz w:val="24"/>
                <w:highlight w:val="none"/>
              </w:rPr>
            </w:pPr>
            <w:r>
              <w:rPr>
                <w:rFonts w:hint="eastAsia" w:ascii="宋体" w:hAnsi="宋体"/>
                <w:color w:val="auto"/>
                <w:kern w:val="0"/>
                <w:sz w:val="24"/>
                <w:highlight w:val="none"/>
              </w:rPr>
              <w:t>否</w:t>
            </w:r>
          </w:p>
        </w:tc>
      </w:tr>
    </w:tbl>
    <w:p>
      <w:pPr>
        <w:widowControl/>
        <w:spacing w:beforeAutospacing="1" w:afterAutospacing="1" w:line="360" w:lineRule="auto"/>
        <w:jc w:val="left"/>
        <w:rPr>
          <w:rFonts w:ascii="宋体" w:hAnsi="宋体"/>
          <w:color w:val="auto"/>
          <w:sz w:val="24"/>
          <w:highlight w:val="none"/>
        </w:rPr>
        <w:sectPr>
          <w:footerReference r:id="rId5" w:type="first"/>
          <w:footerReference r:id="rId4" w:type="default"/>
          <w:pgSz w:w="11907" w:h="16840"/>
          <w:pgMar w:top="1418" w:right="1134" w:bottom="1418" w:left="1701" w:header="851" w:footer="851" w:gutter="0"/>
          <w:pgNumType w:fmt="decimal" w:start="1"/>
          <w:cols w:space="720" w:num="1"/>
          <w:titlePg/>
          <w:docGrid w:linePitch="286" w:charSpace="0"/>
        </w:sectPr>
      </w:pPr>
    </w:p>
    <w:p>
      <w:pPr>
        <w:numPr>
          <w:ilvl w:val="0"/>
          <w:numId w:val="13"/>
        </w:numPr>
        <w:tabs>
          <w:tab w:val="left" w:pos="360"/>
        </w:tabs>
        <w:snapToGrid w:val="0"/>
        <w:spacing w:line="360" w:lineRule="auto"/>
        <w:outlineLvl w:val="1"/>
        <w:rPr>
          <w:rFonts w:ascii="宋体" w:hAnsi="宋体"/>
          <w:color w:val="auto"/>
          <w:sz w:val="24"/>
          <w:highlight w:val="none"/>
        </w:rPr>
      </w:pPr>
      <w:r>
        <w:rPr>
          <w:rFonts w:hint="eastAsia" w:ascii="宋体" w:hAnsi="宋体"/>
          <w:color w:val="auto"/>
          <w:sz w:val="24"/>
          <w:highlight w:val="none"/>
        </w:rPr>
        <w:t>投标文件有关事项的澄清或者说明</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或其授权的代表签字。投标人的澄清、说明或者补正不得超出投标文件的范围或者改变投标文件的实质性内容。澄清文件将作为投标文件内容的一部分。</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hint="eastAsia" w:ascii="宋体" w:hAnsi="宋体"/>
          <w:b/>
          <w:color w:val="auto"/>
          <w:sz w:val="24"/>
          <w:highlight w:val="none"/>
        </w:rPr>
        <w:t>无效投标处理</w:t>
      </w:r>
      <w:r>
        <w:rPr>
          <w:rFonts w:hint="eastAsia" w:ascii="宋体" w:hAnsi="宋体"/>
          <w:color w:val="auto"/>
          <w:sz w:val="24"/>
          <w:highlight w:val="none"/>
        </w:rPr>
        <w:t>。</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开投标，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投标文件报价出现前后不一致的，按照下列规定修正：</w:t>
      </w:r>
    </w:p>
    <w:p>
      <w:pPr>
        <w:numPr>
          <w:ilvl w:val="2"/>
          <w:numId w:val="13"/>
        </w:numPr>
        <w:tabs>
          <w:tab w:val="left" w:pos="1080"/>
          <w:tab w:val="left" w:pos="1589"/>
          <w:tab w:val="left" w:pos="2035"/>
          <w:tab w:val="left" w:pos="2114"/>
        </w:tabs>
        <w:snapToGrid w:val="0"/>
        <w:spacing w:line="360" w:lineRule="auto"/>
        <w:ind w:left="2035"/>
        <w:rPr>
          <w:rFonts w:ascii="宋体" w:hAnsi="宋体"/>
          <w:color w:val="auto"/>
          <w:sz w:val="24"/>
          <w:highlight w:val="none"/>
        </w:rPr>
      </w:pPr>
      <w:r>
        <w:rPr>
          <w:rFonts w:hint="eastAsia" w:ascii="宋体" w:hAnsi="宋体"/>
          <w:color w:val="auto"/>
          <w:sz w:val="24"/>
          <w:highlight w:val="none"/>
        </w:rPr>
        <w:t>招标文件对于报价修正是否另有规定：</w:t>
      </w:r>
    </w:p>
    <w:p>
      <w:pPr>
        <w:tabs>
          <w:tab w:val="left" w:pos="1080"/>
          <w:tab w:val="left" w:pos="1589"/>
          <w:tab w:val="left" w:pos="2035"/>
          <w:tab w:val="left" w:pos="2114"/>
        </w:tabs>
        <w:snapToGrid w:val="0"/>
        <w:spacing w:line="360" w:lineRule="auto"/>
        <w:ind w:left="2035"/>
        <w:rPr>
          <w:rFonts w:ascii="宋体" w:hAnsi="宋体"/>
          <w:color w:val="auto"/>
          <w:sz w:val="24"/>
          <w:highlight w:val="none"/>
          <w:u w:val="single"/>
        </w:rPr>
      </w:pPr>
      <w:r>
        <w:rPr>
          <w:rFonts w:hint="eastAsia" w:ascii="宋体" w:hAnsi="宋体"/>
          <w:color w:val="auto"/>
          <w:sz w:val="24"/>
          <w:highlight w:val="none"/>
        </w:rPr>
        <w:t>□有，具体规定为：______________</w:t>
      </w:r>
    </w:p>
    <w:p>
      <w:pPr>
        <w:tabs>
          <w:tab w:val="left" w:pos="1080"/>
          <w:tab w:val="left" w:pos="1589"/>
          <w:tab w:val="left" w:pos="2035"/>
          <w:tab w:val="left" w:pos="2114"/>
        </w:tabs>
        <w:snapToGrid w:val="0"/>
        <w:spacing w:line="360" w:lineRule="auto"/>
        <w:ind w:left="2035"/>
        <w:rPr>
          <w:rFonts w:ascii="宋体" w:hAnsi="宋体"/>
          <w:color w:val="auto"/>
          <w:sz w:val="24"/>
          <w:highlight w:val="none"/>
        </w:rPr>
      </w:pPr>
      <w:r>
        <w:rPr>
          <w:rFonts w:hint="eastAsia"/>
          <w:color w:val="auto"/>
          <w:highlight w:val="none"/>
        </w:rPr>
        <w:t>■</w:t>
      </w:r>
      <w:r>
        <w:rPr>
          <w:rFonts w:hint="eastAsia" w:ascii="宋体" w:hAnsi="宋体"/>
          <w:color w:val="auto"/>
          <w:sz w:val="24"/>
          <w:highlight w:val="none"/>
        </w:rPr>
        <w:t>无，按下述2.4.2-2.4.7项规定修正。</w:t>
      </w:r>
    </w:p>
    <w:p>
      <w:pPr>
        <w:numPr>
          <w:ilvl w:val="2"/>
          <w:numId w:val="13"/>
        </w:numPr>
        <w:tabs>
          <w:tab w:val="left" w:pos="2035"/>
          <w:tab w:val="left" w:pos="2114"/>
          <w:tab w:val="left" w:pos="2977"/>
        </w:tabs>
        <w:snapToGrid w:val="0"/>
        <w:spacing w:line="360" w:lineRule="auto"/>
        <w:ind w:left="2035"/>
        <w:rPr>
          <w:rFonts w:ascii="宋体" w:hAnsi="宋体"/>
          <w:color w:val="auto"/>
          <w:sz w:val="24"/>
          <w:highlight w:val="none"/>
        </w:rPr>
      </w:pPr>
      <w:r>
        <w:rPr>
          <w:rFonts w:hint="eastAsia" w:ascii="宋体" w:hAnsi="宋体"/>
          <w:color w:val="auto"/>
          <w:sz w:val="24"/>
          <w:highlight w:val="none"/>
        </w:rPr>
        <w:t>单独递交的开标一览表（报价表）与投标文件中开标一览表（报价表）内容不一致的，以单独递交的开标一览表（报价表）为准；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auto"/>
          <w:sz w:val="24"/>
          <w:highlight w:val="none"/>
        </w:rPr>
      </w:pPr>
      <w:r>
        <w:rPr>
          <w:rFonts w:hint="eastAsia" w:ascii="宋体" w:hAnsi="宋体"/>
          <w:color w:val="auto"/>
          <w:sz w:val="24"/>
          <w:highlight w:val="none"/>
        </w:rPr>
        <w:t>投标文件中开标一览表（报价表）内容与投标文件中相应内容不一致的，以开标一览表（报价表）为准；</w:t>
      </w:r>
    </w:p>
    <w:p>
      <w:pPr>
        <w:numPr>
          <w:ilvl w:val="2"/>
          <w:numId w:val="13"/>
        </w:numPr>
        <w:tabs>
          <w:tab w:val="left" w:pos="2035"/>
          <w:tab w:val="left" w:pos="2114"/>
          <w:tab w:val="left" w:pos="2977"/>
        </w:tabs>
        <w:snapToGrid w:val="0"/>
        <w:spacing w:line="360" w:lineRule="auto"/>
        <w:ind w:left="2035"/>
        <w:rPr>
          <w:rFonts w:ascii="宋体" w:hAnsi="宋体"/>
          <w:color w:val="auto"/>
          <w:sz w:val="24"/>
          <w:highlight w:val="none"/>
        </w:rPr>
      </w:pPr>
      <w:r>
        <w:rPr>
          <w:rFonts w:hint="eastAsia" w:ascii="宋体" w:hAnsi="宋体"/>
          <w:color w:val="auto"/>
          <w:sz w:val="24"/>
          <w:highlight w:val="none"/>
        </w:rPr>
        <w:t>大写金额和小写金额不一致的，以大写金额为准；</w:t>
      </w:r>
    </w:p>
    <w:p>
      <w:pPr>
        <w:numPr>
          <w:ilvl w:val="2"/>
          <w:numId w:val="13"/>
        </w:numPr>
        <w:tabs>
          <w:tab w:val="left" w:pos="2035"/>
          <w:tab w:val="left" w:pos="2114"/>
          <w:tab w:val="left" w:pos="2977"/>
        </w:tabs>
        <w:snapToGrid w:val="0"/>
        <w:spacing w:line="360" w:lineRule="auto"/>
        <w:ind w:left="2035"/>
        <w:rPr>
          <w:rFonts w:ascii="宋体" w:hAnsi="宋体"/>
          <w:color w:val="auto"/>
          <w:sz w:val="24"/>
          <w:highlight w:val="none"/>
        </w:rPr>
      </w:pPr>
      <w:r>
        <w:rPr>
          <w:rFonts w:hint="eastAsia" w:ascii="宋体" w:hAnsi="宋体"/>
          <w:color w:val="auto"/>
          <w:sz w:val="24"/>
          <w:highlight w:val="none"/>
        </w:rPr>
        <w:t>单价金额小数点或者百分比有明显错位的，以开标一览表的总价为准，并修改单价；</w:t>
      </w:r>
    </w:p>
    <w:p>
      <w:pPr>
        <w:numPr>
          <w:ilvl w:val="2"/>
          <w:numId w:val="13"/>
        </w:numPr>
        <w:tabs>
          <w:tab w:val="left" w:pos="2035"/>
          <w:tab w:val="left" w:pos="2114"/>
          <w:tab w:val="left" w:pos="2977"/>
        </w:tabs>
        <w:snapToGrid w:val="0"/>
        <w:spacing w:line="360" w:lineRule="auto"/>
        <w:ind w:left="2035"/>
        <w:rPr>
          <w:rFonts w:ascii="宋体" w:hAnsi="宋体"/>
          <w:color w:val="auto"/>
          <w:sz w:val="24"/>
          <w:highlight w:val="none"/>
        </w:rPr>
      </w:pPr>
      <w:r>
        <w:rPr>
          <w:rFonts w:hint="eastAsia" w:ascii="宋体" w:hAnsi="宋体"/>
          <w:color w:val="auto"/>
          <w:sz w:val="24"/>
          <w:highlight w:val="none"/>
        </w:rPr>
        <w:t>总价金额与按单价汇总金额不一致的，以单价金额计算结果为准。</w:t>
      </w:r>
    </w:p>
    <w:p>
      <w:pPr>
        <w:numPr>
          <w:ilvl w:val="2"/>
          <w:numId w:val="13"/>
        </w:numPr>
        <w:tabs>
          <w:tab w:val="left" w:pos="1080"/>
          <w:tab w:val="left" w:pos="1589"/>
          <w:tab w:val="left" w:pos="2035"/>
          <w:tab w:val="left" w:pos="2114"/>
        </w:tabs>
        <w:snapToGrid w:val="0"/>
        <w:spacing w:line="360" w:lineRule="auto"/>
        <w:ind w:left="2035"/>
        <w:rPr>
          <w:rFonts w:ascii="宋体" w:hAnsi="宋体"/>
          <w:color w:val="auto"/>
          <w:sz w:val="24"/>
          <w:highlight w:val="none"/>
        </w:rPr>
      </w:pPr>
      <w:r>
        <w:rPr>
          <w:rFonts w:hint="eastAsia" w:ascii="宋体" w:hAnsi="宋体"/>
          <w:color w:val="auto"/>
          <w:sz w:val="24"/>
          <w:highlight w:val="none"/>
        </w:rPr>
        <w:t>同时出现两种以上不一致的，按照前款规定的顺序修正。修正后的报价经投标人书面确认后产生约束力，投标人不确认的，其</w:t>
      </w:r>
      <w:r>
        <w:rPr>
          <w:rFonts w:hint="eastAsia" w:ascii="宋体" w:hAnsi="宋体"/>
          <w:b/>
          <w:color w:val="auto"/>
          <w:sz w:val="24"/>
          <w:highlight w:val="none"/>
        </w:rPr>
        <w:t>投标无效</w:t>
      </w:r>
      <w:r>
        <w:rPr>
          <w:rFonts w:hint="eastAsia" w:ascii="宋体" w:hAnsi="宋体"/>
          <w:color w:val="auto"/>
          <w:sz w:val="24"/>
          <w:highlight w:val="none"/>
        </w:rPr>
        <w:t>。</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落实政府采购政策的价格调整：只有符合第二章《投标人须知》5.2条规定情形的，可以享受中小企业扶持政策，用扣除后的价格参加评审；否则，评标时价格不予扣除。</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对于未预留份额专门面向中小企业采购的采购项目，以及预留份额项目中的非预留部分采购包，对小微企业报价给予</w:t>
      </w:r>
      <w:r>
        <w:rPr>
          <w:rFonts w:hint="eastAsia" w:ascii="宋体" w:hAnsi="宋体"/>
          <w:color w:val="auto"/>
          <w:sz w:val="24"/>
          <w:highlight w:val="none"/>
          <w:u w:val="single"/>
        </w:rPr>
        <w:t>10</w:t>
      </w:r>
      <w:r>
        <w:rPr>
          <w:rFonts w:hint="eastAsia" w:ascii="宋体" w:hAnsi="宋体"/>
          <w:color w:val="auto"/>
          <w:sz w:val="24"/>
          <w:highlight w:val="none"/>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 30%以上的联合体或者大中型企业的报价给予</w:t>
      </w:r>
      <w:r>
        <w:rPr>
          <w:rFonts w:hint="eastAsia" w:ascii="宋体" w:hAnsi="宋体"/>
          <w:color w:val="auto"/>
          <w:sz w:val="24"/>
          <w:highlight w:val="none"/>
          <w:u w:val="single"/>
        </w:rPr>
        <w:t>4</w:t>
      </w:r>
      <w:r>
        <w:rPr>
          <w:rFonts w:hint="eastAsia" w:ascii="宋体" w:hAnsi="宋体"/>
          <w:color w:val="auto"/>
          <w:sz w:val="24"/>
          <w:highlight w:val="none"/>
        </w:rPr>
        <w:t>%的扣除，用扣除后的价格参加评审。</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组成联合体或者接受分包的小微企业与联合体内其他企业、分包企业之间存在直接控股、管理关系的，不享受价格扣除优惠政策。</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价格扣除比例对小型企业和微型企业同等对待，不作区分。</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中小企业参加政府采购活动，应当按照招标文件给定的格式出具《中小企业声明函》，否则不得享受相关中小企业扶持政策。</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监狱企业提供了由省级以上监狱管理局（北京市含教育矫治局）、戒毒管理局（含新疆生产建设兵团）出具的属于监狱企业的证明文件的，视同小微企业。</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残疾人福利性单位按招标文件要求提供了《残疾人福利性单位声明函》（见附件）的，视同小微企业。</w:t>
      </w:r>
    </w:p>
    <w:p>
      <w:pPr>
        <w:numPr>
          <w:ilvl w:val="2"/>
          <w:numId w:val="13"/>
        </w:numPr>
        <w:tabs>
          <w:tab w:val="left" w:pos="1080"/>
          <w:tab w:val="left" w:pos="1589"/>
          <w:tab w:val="left" w:pos="2014"/>
          <w:tab w:val="clear" w:pos="1980"/>
        </w:tabs>
        <w:snapToGrid w:val="0"/>
        <w:spacing w:line="360" w:lineRule="auto"/>
        <w:ind w:left="2035"/>
        <w:rPr>
          <w:rFonts w:ascii="宋体" w:hAnsi="宋体"/>
          <w:color w:val="auto"/>
          <w:sz w:val="24"/>
          <w:highlight w:val="none"/>
        </w:rPr>
      </w:pPr>
      <w:r>
        <w:rPr>
          <w:rFonts w:hint="eastAsia" w:ascii="宋体" w:hAnsi="宋体"/>
          <w:color w:val="auto"/>
          <w:sz w:val="24"/>
          <w:highlight w:val="none"/>
        </w:rPr>
        <w:t>若投标人同时属于小型或微型企业、监狱企业、残疾人福利性单位中的两种及以上，将不重复享受小微企业价格扣减的优惠政策。</w:t>
      </w:r>
    </w:p>
    <w:p>
      <w:pPr>
        <w:numPr>
          <w:ilvl w:val="0"/>
          <w:numId w:val="13"/>
        </w:numPr>
        <w:tabs>
          <w:tab w:val="left" w:pos="360"/>
        </w:tabs>
        <w:snapToGrid w:val="0"/>
        <w:spacing w:line="360" w:lineRule="auto"/>
        <w:outlineLvl w:val="1"/>
        <w:rPr>
          <w:rFonts w:ascii="宋体" w:hAnsi="宋体"/>
          <w:color w:val="auto"/>
          <w:sz w:val="24"/>
          <w:highlight w:val="none"/>
        </w:rPr>
      </w:pPr>
      <w:r>
        <w:rPr>
          <w:rFonts w:hint="eastAsia" w:ascii="宋体" w:hAnsi="宋体"/>
          <w:color w:val="auto"/>
          <w:sz w:val="24"/>
          <w:highlight w:val="none"/>
        </w:rPr>
        <w:t>投标文件的比较和评价</w:t>
      </w:r>
      <w:bookmarkEnd w:id="752"/>
      <w:bookmarkEnd w:id="753"/>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评标委员会将按照招标文件中规定的评标方法和标准，对符合性审查合格的投标文件进行商务和技术评估，综合比较与评价；未通过符合性审查的投标文件不得进入比较与评价。</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评标方法和评标标准</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本项目采用的评标方法为：</w:t>
      </w:r>
    </w:p>
    <w:p>
      <w:pPr>
        <w:tabs>
          <w:tab w:val="left" w:pos="900"/>
          <w:tab w:val="left" w:pos="1589"/>
          <w:tab w:val="left" w:pos="1701"/>
        </w:tabs>
        <w:snapToGrid w:val="0"/>
        <w:spacing w:line="360" w:lineRule="auto"/>
        <w:ind w:left="1985"/>
        <w:rPr>
          <w:rFonts w:ascii="宋体" w:hAnsi="宋体"/>
          <w:color w:val="auto"/>
          <w:sz w:val="24"/>
          <w:highlight w:val="none"/>
        </w:rPr>
      </w:pPr>
      <w:r>
        <w:rPr>
          <w:rFonts w:hint="eastAsia"/>
          <w:color w:val="auto"/>
          <w:highlight w:val="none"/>
        </w:rPr>
        <w:t>■</w:t>
      </w:r>
      <w:r>
        <w:rPr>
          <w:rFonts w:hint="eastAsia" w:ascii="宋体" w:hAnsi="宋体"/>
          <w:color w:val="auto"/>
          <w:sz w:val="24"/>
          <w:highlight w:val="none"/>
        </w:rPr>
        <w:t>综合评分法，指投标文件满足招标文件全部实质性要求，且按照评审因素的量化指标评审得分最高的投标人为中标候选人的评标方法，见《评标标准》，招标文件中没有规定的评标标准不得作为评审的依据。</w:t>
      </w:r>
    </w:p>
    <w:p>
      <w:pPr>
        <w:tabs>
          <w:tab w:val="left" w:pos="900"/>
          <w:tab w:val="left" w:pos="1589"/>
          <w:tab w:val="left" w:pos="1701"/>
        </w:tabs>
        <w:snapToGrid w:val="0"/>
        <w:spacing w:line="360" w:lineRule="auto"/>
        <w:ind w:left="1985"/>
        <w:rPr>
          <w:rFonts w:ascii="宋体" w:hAnsi="宋体"/>
          <w:color w:val="auto"/>
          <w:sz w:val="24"/>
          <w:highlight w:val="none"/>
        </w:rPr>
      </w:pPr>
      <w:r>
        <w:rPr>
          <w:rFonts w:hint="eastAsia" w:ascii="宋体" w:hAnsi="宋体"/>
          <w:color w:val="auto"/>
          <w:sz w:val="24"/>
          <w:highlight w:val="none"/>
        </w:rPr>
        <w:t>□最低评标价法，指投标文件满足招标文件全部实质性要求，且投标报价最低的投标人为中标候选人的评标方法。</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他</w:t>
      </w:r>
      <w:r>
        <w:rPr>
          <w:rFonts w:hint="eastAsia" w:ascii="宋体" w:hAnsi="宋体"/>
          <w:b/>
          <w:color w:val="auto"/>
          <w:sz w:val="24"/>
          <w:highlight w:val="none"/>
        </w:rPr>
        <w:t>投标无效</w:t>
      </w:r>
      <w:r>
        <w:rPr>
          <w:rFonts w:hint="eastAsia" w:ascii="宋体" w:hAnsi="宋体"/>
          <w:color w:val="auto"/>
          <w:sz w:val="24"/>
          <w:highlight w:val="none"/>
        </w:rPr>
        <w:t>。</w:t>
      </w:r>
    </w:p>
    <w:p>
      <w:p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□随机抽取</w:t>
      </w:r>
    </w:p>
    <w:p>
      <w:pPr>
        <w:tabs>
          <w:tab w:val="left" w:pos="1080"/>
          <w:tab w:val="left" w:pos="1589"/>
          <w:tab w:val="left" w:pos="2035"/>
        </w:tabs>
        <w:snapToGrid w:val="0"/>
        <w:spacing w:line="360" w:lineRule="auto"/>
        <w:ind w:left="2035"/>
        <w:rPr>
          <w:rFonts w:ascii="宋体" w:hAnsi="宋体"/>
          <w:color w:val="auto"/>
          <w:sz w:val="24"/>
          <w:highlight w:val="none"/>
          <w:u w:val="single"/>
        </w:rPr>
      </w:pPr>
      <w:r>
        <w:rPr>
          <w:rFonts w:hint="eastAsia" w:ascii="宋体" w:hAnsi="宋体"/>
          <w:color w:val="auto"/>
          <w:sz w:val="24"/>
          <w:highlight w:val="none"/>
        </w:rPr>
        <w:t>□其他方式，具体要求：</w:t>
      </w:r>
      <w:r>
        <w:rPr>
          <w:rFonts w:hint="eastAsia" w:ascii="宋体" w:hAnsi="宋体"/>
          <w:color w:val="auto"/>
          <w:sz w:val="24"/>
          <w:highlight w:val="none"/>
          <w:u w:val="single"/>
        </w:rPr>
        <w:t xml:space="preserve">   /  </w:t>
      </w:r>
    </w:p>
    <w:p>
      <w:pPr>
        <w:numPr>
          <w:ilvl w:val="2"/>
          <w:numId w:val="13"/>
        </w:numPr>
        <w:tabs>
          <w:tab w:val="left" w:pos="1080"/>
          <w:tab w:val="left" w:pos="1589"/>
          <w:tab w:val="left" w:pos="2035"/>
        </w:tabs>
        <w:snapToGrid w:val="0"/>
        <w:spacing w:line="360" w:lineRule="auto"/>
        <w:ind w:left="2035"/>
        <w:rPr>
          <w:rFonts w:ascii="宋体" w:hAnsi="宋体"/>
          <w:color w:val="auto"/>
          <w:sz w:val="24"/>
          <w:highlight w:val="none"/>
        </w:rPr>
      </w:pPr>
      <w:r>
        <w:rPr>
          <w:rFonts w:hint="eastAsia" w:ascii="宋体" w:hAnsi="宋体"/>
          <w:color w:val="auto"/>
          <w:sz w:val="24"/>
          <w:highlight w:val="none"/>
        </w:rPr>
        <w:t>非政府强制采购的节能产品或环境标志产品，依据品目清单和认证证书实施政府优先采购。优先采购的具体规定（如涉及）</w:t>
      </w:r>
      <w:r>
        <w:rPr>
          <w:rFonts w:hint="eastAsia" w:ascii="宋体" w:hAnsi="宋体"/>
          <w:color w:val="auto"/>
          <w:sz w:val="24"/>
          <w:highlight w:val="none"/>
          <w:u w:val="single"/>
        </w:rPr>
        <w:t xml:space="preserve">   /  </w:t>
      </w:r>
      <w:r>
        <w:rPr>
          <w:rFonts w:hint="eastAsia" w:ascii="宋体" w:hAnsi="宋体"/>
          <w:color w:val="auto"/>
          <w:sz w:val="24"/>
          <w:highlight w:val="none"/>
        </w:rPr>
        <w:t>。</w:t>
      </w:r>
    </w:p>
    <w:p>
      <w:pPr>
        <w:numPr>
          <w:ilvl w:val="2"/>
          <w:numId w:val="13"/>
        </w:numPr>
        <w:tabs>
          <w:tab w:val="left" w:pos="1080"/>
          <w:tab w:val="left" w:pos="1589"/>
          <w:tab w:val="left" w:pos="2035"/>
        </w:tabs>
        <w:snapToGrid w:val="0"/>
        <w:spacing w:line="360" w:lineRule="auto"/>
        <w:rPr>
          <w:rFonts w:ascii="宋体" w:hAnsi="宋体"/>
          <w:color w:val="auto"/>
          <w:sz w:val="24"/>
          <w:highlight w:val="none"/>
        </w:rPr>
      </w:pPr>
      <w:r>
        <w:rPr>
          <w:rFonts w:hint="eastAsia" w:ascii="宋体" w:hAnsi="宋体"/>
          <w:color w:val="auto"/>
          <w:sz w:val="24"/>
          <w:highlight w:val="none"/>
        </w:rPr>
        <w:t>关于无线局域网认证产品政府采购清单中的产品，优先采购的具体规定（如涉及）</w:t>
      </w:r>
      <w:r>
        <w:rPr>
          <w:rFonts w:hint="eastAsia" w:ascii="宋体" w:hAnsi="宋体"/>
          <w:color w:val="auto"/>
          <w:sz w:val="24"/>
          <w:highlight w:val="none"/>
          <w:u w:val="single"/>
        </w:rPr>
        <w:t xml:space="preserve">   /   </w:t>
      </w:r>
      <w:r>
        <w:rPr>
          <w:rFonts w:hint="eastAsia" w:ascii="宋体" w:hAnsi="宋体"/>
          <w:color w:val="auto"/>
          <w:sz w:val="24"/>
          <w:highlight w:val="none"/>
        </w:rPr>
        <w:t>。</w:t>
      </w:r>
    </w:p>
    <w:p>
      <w:pPr>
        <w:numPr>
          <w:ilvl w:val="0"/>
          <w:numId w:val="13"/>
        </w:numPr>
        <w:tabs>
          <w:tab w:val="left" w:pos="360"/>
        </w:tabs>
        <w:snapToGrid w:val="0"/>
        <w:spacing w:line="360" w:lineRule="auto"/>
        <w:outlineLvl w:val="1"/>
        <w:rPr>
          <w:rFonts w:ascii="宋体" w:hAnsi="宋体"/>
          <w:color w:val="auto"/>
          <w:sz w:val="24"/>
          <w:highlight w:val="none"/>
        </w:rPr>
      </w:pPr>
      <w:r>
        <w:rPr>
          <w:rFonts w:hint="eastAsia" w:ascii="宋体" w:hAnsi="宋体"/>
          <w:color w:val="auto"/>
          <w:sz w:val="24"/>
          <w:highlight w:val="none"/>
        </w:rPr>
        <w:t>确定</w:t>
      </w:r>
      <w:bookmarkStart w:id="755" w:name="_Toc264969236"/>
      <w:bookmarkStart w:id="756" w:name="_Toc164229387"/>
      <w:bookmarkStart w:id="757" w:name="_Toc151193716"/>
      <w:bookmarkStart w:id="758" w:name="_Toc127151546"/>
      <w:bookmarkStart w:id="759" w:name="_Toc127151747"/>
      <w:bookmarkStart w:id="760" w:name="_Toc520356170"/>
      <w:bookmarkStart w:id="761" w:name="_Toc226965736"/>
      <w:bookmarkStart w:id="762" w:name="_Toc164608660"/>
      <w:bookmarkStart w:id="763" w:name="_Toc265228384"/>
      <w:bookmarkStart w:id="764" w:name="_Toc305158814"/>
      <w:bookmarkStart w:id="765" w:name="_Toc195842911"/>
      <w:bookmarkStart w:id="766" w:name="_Toc150480784"/>
      <w:bookmarkStart w:id="767" w:name="_Toc149720839"/>
      <w:bookmarkStart w:id="768" w:name="_Toc151193644"/>
      <w:bookmarkStart w:id="769" w:name="_Toc151193934"/>
      <w:bookmarkStart w:id="770" w:name="_Toc151193860"/>
      <w:bookmarkStart w:id="771" w:name="_Toc150509297"/>
      <w:bookmarkStart w:id="772" w:name="_Toc226965819"/>
      <w:bookmarkStart w:id="773" w:name="_Ref467307010"/>
      <w:bookmarkStart w:id="774" w:name="_Toc305158888"/>
      <w:bookmarkStart w:id="775" w:name="_Toc127161460"/>
      <w:bookmarkStart w:id="776" w:name="_Toc164608815"/>
      <w:bookmarkStart w:id="777" w:name="_Toc164229241"/>
      <w:bookmarkStart w:id="778" w:name="_Toc142311048"/>
      <w:bookmarkStart w:id="779" w:name="_Toc226337242"/>
      <w:bookmarkStart w:id="780" w:name="_Toc151190173"/>
      <w:bookmarkStart w:id="781" w:name="_Toc150774646"/>
      <w:bookmarkStart w:id="782" w:name="_Toc164351640"/>
      <w:bookmarkStart w:id="783" w:name="_Toc226309790"/>
      <w:bookmarkStart w:id="784" w:name="_Toc150774751"/>
      <w:bookmarkStart w:id="785" w:name="_Toc151193788"/>
      <w:r>
        <w:rPr>
          <w:rFonts w:hint="eastAsia" w:ascii="宋体" w:hAnsi="宋体"/>
          <w:color w:val="auto"/>
          <w:sz w:val="24"/>
          <w:highlight w:val="none"/>
        </w:rPr>
        <w:t>中标候选人名单</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用综合评分法时，评标结果按评审后得分由高到低顺序排列。得分相同的，按投标报价由低到高顺序排列。投标报价相同的按照技术部分得分由高到底顺序排列。投标报价相同且技术部分得分也相同的，由评标委员会随机抽取抽取。评分分值计算保留小数点后两位，第三位四舍五入。</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采用最低评标价法时，评标结果按本章2.4、2.5调整后的投标报价由低到高顺序排列。投标报价相同的并列。投标文件满足招标文件全部实质性要求且投标报价最低的投标人为排名第一的中标候选人。</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评标委员会要对评分汇总情况进行复核，特别是对排名第一的、报价最低的、投标或响应文件被认定为无效的情形进行重点复核。</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评标委员会将根据各投标人的评标排序，依次推荐本项目的中标候选人，起草并签署评标报告。本项目评标委员会共推荐</w:t>
      </w:r>
      <w:r>
        <w:rPr>
          <w:rFonts w:hint="eastAsia" w:ascii="宋体" w:hAnsi="宋体"/>
          <w:color w:val="auto"/>
          <w:sz w:val="24"/>
          <w:highlight w:val="none"/>
          <w:u w:val="single"/>
        </w:rPr>
        <w:t xml:space="preserve"> 3 </w:t>
      </w:r>
      <w:r>
        <w:rPr>
          <w:rFonts w:hint="eastAsia" w:ascii="宋体" w:hAnsi="宋体"/>
          <w:color w:val="auto"/>
          <w:sz w:val="24"/>
          <w:highlight w:val="none"/>
        </w:rPr>
        <w:t>名中标候选人。</w:t>
      </w:r>
    </w:p>
    <w:p>
      <w:pPr>
        <w:numPr>
          <w:ilvl w:val="0"/>
          <w:numId w:val="13"/>
        </w:numPr>
        <w:tabs>
          <w:tab w:val="left" w:pos="360"/>
        </w:tabs>
        <w:snapToGrid w:val="0"/>
        <w:spacing w:line="360" w:lineRule="auto"/>
        <w:outlineLvl w:val="1"/>
        <w:rPr>
          <w:rFonts w:ascii="宋体" w:hAnsi="宋体"/>
          <w:color w:val="auto"/>
          <w:sz w:val="24"/>
          <w:highlight w:val="none"/>
        </w:rPr>
      </w:pPr>
      <w:r>
        <w:rPr>
          <w:rFonts w:hint="eastAsia" w:ascii="宋体" w:hAnsi="宋体"/>
          <w:color w:val="auto"/>
          <w:sz w:val="24"/>
          <w:highlight w:val="none"/>
        </w:rPr>
        <w:t>报告违法行为</w:t>
      </w:r>
    </w:p>
    <w:p>
      <w:pPr>
        <w:numPr>
          <w:ilvl w:val="1"/>
          <w:numId w:val="13"/>
        </w:numPr>
        <w:tabs>
          <w:tab w:val="left" w:pos="1080"/>
        </w:tabs>
        <w:snapToGrid w:val="0"/>
        <w:spacing w:line="360" w:lineRule="auto"/>
        <w:ind w:left="1077" w:hanging="720"/>
        <w:rPr>
          <w:rFonts w:ascii="宋体" w:hAnsi="宋体"/>
          <w:color w:val="auto"/>
          <w:sz w:val="24"/>
          <w:highlight w:val="none"/>
        </w:rPr>
      </w:pPr>
      <w:r>
        <w:rPr>
          <w:rFonts w:hint="eastAsia" w:ascii="宋体" w:hAnsi="宋体"/>
          <w:color w:val="auto"/>
          <w:sz w:val="24"/>
          <w:highlight w:val="none"/>
        </w:rPr>
        <w:t>评标委员会在评标过程中发现投标人有行贿、提供虚假材料或者串通等违法行为时，有向采购人、采购代理机构或者有关部门报告的职责。</w:t>
      </w:r>
    </w:p>
    <w:p>
      <w:pPr>
        <w:widowControl/>
        <w:jc w:val="center"/>
        <w:rPr>
          <w:rFonts w:hint="eastAsia" w:ascii="宋体" w:hAnsi="宋体" w:eastAsia="宋体"/>
          <w:b/>
          <w:color w:val="auto"/>
          <w:highlight w:val="none"/>
          <w:lang w:eastAsia="zh-CN"/>
        </w:rPr>
      </w:pPr>
      <w:r>
        <w:rPr>
          <w:rFonts w:hint="eastAsia" w:ascii="宋体" w:hAnsi="宋体"/>
          <w:b/>
          <w:color w:val="auto"/>
          <w:sz w:val="24"/>
          <w:highlight w:val="none"/>
        </w:rPr>
        <w:br w:type="page"/>
      </w:r>
      <w:r>
        <w:rPr>
          <w:rFonts w:hint="eastAsia" w:ascii="宋体" w:hAnsi="宋体"/>
          <w:b/>
          <w:color w:val="auto"/>
          <w:sz w:val="24"/>
          <w:highlight w:val="none"/>
        </w:rPr>
        <w:t>二、评</w:t>
      </w:r>
      <w:r>
        <w:rPr>
          <w:rFonts w:hint="eastAsia" w:ascii="宋体" w:hAnsi="宋体"/>
          <w:b/>
          <w:color w:val="auto"/>
          <w:sz w:val="24"/>
          <w:highlight w:val="none"/>
          <w:lang w:eastAsia="zh-CN"/>
        </w:rPr>
        <w:t>分</w:t>
      </w:r>
      <w:r>
        <w:rPr>
          <w:rFonts w:hint="eastAsia" w:ascii="宋体" w:hAnsi="宋体"/>
          <w:b/>
          <w:color w:val="auto"/>
          <w:sz w:val="24"/>
          <w:highlight w:val="none"/>
        </w:rPr>
        <w:t>标准</w:t>
      </w:r>
      <w:r>
        <w:rPr>
          <w:rFonts w:hint="eastAsia" w:ascii="宋体" w:hAnsi="宋体"/>
          <w:b/>
          <w:color w:val="auto"/>
          <w:sz w:val="24"/>
          <w:highlight w:val="none"/>
          <w:lang w:eastAsia="zh-CN"/>
        </w:rPr>
        <w:t>（第</w:t>
      </w:r>
      <w:r>
        <w:rPr>
          <w:rFonts w:hint="eastAsia" w:ascii="宋体" w:hAnsi="宋体"/>
          <w:b/>
          <w:color w:val="auto"/>
          <w:sz w:val="24"/>
          <w:highlight w:val="none"/>
          <w:lang w:val="en-US" w:eastAsia="zh-CN"/>
        </w:rPr>
        <w:t>3包</w:t>
      </w:r>
      <w:r>
        <w:rPr>
          <w:rFonts w:hint="eastAsia" w:ascii="宋体" w:hAnsi="宋体"/>
          <w:b/>
          <w:color w:val="auto"/>
          <w:sz w:val="24"/>
          <w:highlight w:val="none"/>
          <w:lang w:eastAsia="zh-CN"/>
        </w:rPr>
        <w:t>）</w:t>
      </w:r>
    </w:p>
    <w:p>
      <w:pPr>
        <w:pStyle w:val="26"/>
        <w:ind w:firstLine="420"/>
        <w:rPr>
          <w:rFonts w:ascii="Times New Roman"/>
          <w:color w:val="auto"/>
          <w:sz w:val="21"/>
          <w:highlight w:val="none"/>
        </w:rPr>
      </w:pPr>
    </w:p>
    <w:tbl>
      <w:tblPr>
        <w:tblStyle w:val="45"/>
        <w:tblW w:w="99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9"/>
        <w:gridCol w:w="1126"/>
        <w:gridCol w:w="1193"/>
        <w:gridCol w:w="694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6"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序号</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评审</w:t>
            </w:r>
          </w:p>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条款</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评审项</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评审细则</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709" w:type="dxa"/>
            <w:tcBorders>
              <w:top w:val="single" w:color="auto" w:sz="6" w:space="0"/>
              <w:left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1</w:t>
            </w:r>
          </w:p>
        </w:tc>
        <w:tc>
          <w:tcPr>
            <w:tcW w:w="1126" w:type="dxa"/>
            <w:tcBorders>
              <w:top w:val="single" w:color="auto" w:sz="6" w:space="0"/>
              <w:left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4"/>
                <w:highlight w:val="none"/>
                <w:lang w:bidi="ar"/>
              </w:rPr>
            </w:pPr>
            <w:r>
              <w:rPr>
                <w:rFonts w:hint="eastAsia" w:ascii="宋体" w:hAnsi="宋体" w:cs="宋体"/>
                <w:color w:val="auto"/>
                <w:sz w:val="24"/>
                <w:highlight w:val="none"/>
                <w:lang w:bidi="ar"/>
              </w:rPr>
              <w:t>价格</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lang w:bidi="ar"/>
              </w:rPr>
            </w:pPr>
            <w:r>
              <w:rPr>
                <w:rFonts w:hint="eastAsia" w:ascii="宋体" w:hAnsi="宋体" w:cs="宋体"/>
                <w:color w:val="auto"/>
                <w:sz w:val="24"/>
                <w:highlight w:val="none"/>
                <w:lang w:bidi="ar"/>
              </w:rPr>
              <w:t>(10分)</w:t>
            </w:r>
          </w:p>
        </w:tc>
        <w:tc>
          <w:tcPr>
            <w:tcW w:w="1193" w:type="dxa"/>
            <w:tcBorders>
              <w:top w:val="single" w:color="auto" w:sz="6" w:space="0"/>
              <w:left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价格</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(10分)</w:t>
            </w:r>
          </w:p>
        </w:tc>
        <w:tc>
          <w:tcPr>
            <w:tcW w:w="6947" w:type="dxa"/>
            <w:tcBorders>
              <w:top w:val="single" w:color="auto" w:sz="6" w:space="0"/>
              <w:left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kern w:val="0"/>
                <w:sz w:val="24"/>
                <w:highlight w:val="none"/>
                <w:lang w:bidi="ar"/>
              </w:rPr>
              <w:t>各投标人的价格得分:(评标基准价/投标报价)×10</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kern w:val="0"/>
                <w:sz w:val="24"/>
                <w:highlight w:val="none"/>
                <w:lang w:bidi="ar"/>
              </w:rPr>
              <w:t>(注:实质性响应招标文件要求且最低评标价为评标基准价)</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kern w:val="0"/>
                <w:sz w:val="24"/>
                <w:highlight w:val="none"/>
                <w:lang w:bidi="ar"/>
              </w:rPr>
              <w:t>报价明显低于其他通过符合性审查投标人的报价，有可能影响产品质量或者不能诚信履约的，不能按评审委员会要求时间提交相关证明材料证明其报价合理性的视为无效投标。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b/>
                <w:color w:val="auto"/>
                <w:sz w:val="24"/>
                <w:highlight w:val="none"/>
              </w:rPr>
            </w:pPr>
            <w:r>
              <w:rPr>
                <w:rFonts w:hint="eastAsia" w:ascii="宋体" w:hAnsi="宋体" w:cs="宋体"/>
                <w:b/>
                <w:color w:val="auto"/>
                <w:sz w:val="24"/>
                <w:highlight w:val="none"/>
                <w:lang w:bidi="ar"/>
              </w:rPr>
              <w:t>2</w:t>
            </w:r>
          </w:p>
        </w:tc>
        <w:tc>
          <w:tcPr>
            <w:tcW w:w="1126"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技术</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部分</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w:t>
            </w:r>
            <w:r>
              <w:rPr>
                <w:rFonts w:hint="default" w:ascii="宋体" w:hAnsi="宋体" w:cs="宋体"/>
                <w:color w:val="auto"/>
                <w:sz w:val="24"/>
                <w:highlight w:val="none"/>
                <w:lang w:bidi="ar"/>
              </w:rPr>
              <w:t>75</w:t>
            </w:r>
            <w:r>
              <w:rPr>
                <w:rFonts w:hint="eastAsia" w:ascii="宋体" w:hAnsi="宋体" w:cs="宋体"/>
                <w:color w:val="auto"/>
                <w:sz w:val="24"/>
                <w:highlight w:val="none"/>
                <w:lang w:bidi="ar"/>
              </w:rPr>
              <w:t>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需求分析</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1.紧密结合本项目服务需求，对本项目进行全面深入的规划和分析，所述内容清晰且有条理性，得10分；</w:t>
            </w:r>
          </w:p>
          <w:p>
            <w:pPr>
              <w:keepNext w:val="0"/>
              <w:keepLines w:val="0"/>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2.结合本项目服务需求，对本项目做出基本的规划和分析，所述内容基本完整，得7分；</w:t>
            </w:r>
          </w:p>
          <w:p>
            <w:pPr>
              <w:keepNext w:val="0"/>
              <w:keepLines w:val="0"/>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3.对本项目的需求分析未做详细描述，所述内容不完整、不清晰，得4分；</w:t>
            </w:r>
          </w:p>
          <w:p>
            <w:pPr>
              <w:keepNext w:val="0"/>
              <w:keepLines w:val="0"/>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公益活动服务方案</w:t>
            </w:r>
          </w:p>
          <w:p>
            <w:pPr>
              <w:keepNext w:val="0"/>
              <w:keepLines w:val="0"/>
              <w:suppressLineNumbers w:val="0"/>
              <w:spacing w:before="0" w:beforeAutospacing="0" w:after="0" w:afterAutospacing="0"/>
              <w:ind w:left="0" w:right="0"/>
              <w:jc w:val="center"/>
              <w:rPr>
                <w:rFonts w:hint="default"/>
                <w:color w:val="auto"/>
                <w:highlight w:val="none"/>
              </w:rPr>
            </w:pPr>
            <w:r>
              <w:rPr>
                <w:rFonts w:hint="eastAsia" w:ascii="宋体" w:hAnsi="宋体" w:cs="宋体"/>
                <w:color w:val="auto"/>
                <w:sz w:val="24"/>
                <w:highlight w:val="none"/>
                <w:lang w:bidi="ar"/>
              </w:rPr>
              <w:t>（</w:t>
            </w:r>
            <w:r>
              <w:rPr>
                <w:rFonts w:hint="default" w:ascii="宋体" w:hAnsi="宋体" w:cs="宋体"/>
                <w:color w:val="auto"/>
                <w:sz w:val="24"/>
                <w:highlight w:val="none"/>
                <w:lang w:bidi="ar"/>
              </w:rPr>
              <w:t>20</w:t>
            </w:r>
            <w:r>
              <w:rPr>
                <w:rFonts w:hint="eastAsia" w:ascii="宋体" w:hAnsi="宋体" w:cs="宋体"/>
                <w:color w:val="auto"/>
                <w:sz w:val="24"/>
                <w:highlight w:val="none"/>
                <w:lang w:bidi="ar"/>
              </w:rPr>
              <w:t>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eastAsia" w:ascii="宋体" w:hAnsi="宋体" w:cs="宋体"/>
                <w:color w:val="auto"/>
                <w:kern w:val="0"/>
                <w:sz w:val="24"/>
                <w:highlight w:val="none"/>
                <w:lang w:bidi="ar"/>
              </w:rPr>
            </w:pPr>
            <w:r>
              <w:rPr>
                <w:rFonts w:hint="eastAsia" w:ascii="宋体" w:hAnsi="宋体" w:cs="宋体"/>
                <w:color w:val="auto"/>
                <w:sz w:val="24"/>
                <w:highlight w:val="none"/>
                <w:lang w:bidi="ar"/>
              </w:rPr>
              <w:t>1.公益活动服务方案</w:t>
            </w:r>
            <w:r>
              <w:rPr>
                <w:rFonts w:hint="eastAsia" w:ascii="宋体" w:hAnsi="宋体" w:cs="宋体"/>
                <w:color w:val="auto"/>
                <w:kern w:val="0"/>
                <w:sz w:val="24"/>
                <w:highlight w:val="none"/>
                <w:lang w:bidi="ar"/>
              </w:rPr>
              <w:t>科学有效，服务项目全面完整、针对性强，服务内容清晰且有条理性，满足项目实际需求，得</w:t>
            </w:r>
            <w:r>
              <w:rPr>
                <w:rFonts w:hint="default" w:ascii="宋体" w:hAnsi="宋体" w:cs="宋体"/>
                <w:color w:val="auto"/>
                <w:kern w:val="0"/>
                <w:sz w:val="24"/>
                <w:highlight w:val="none"/>
                <w:lang w:bidi="ar"/>
              </w:rPr>
              <w:t>20</w:t>
            </w:r>
            <w:r>
              <w:rPr>
                <w:rFonts w:hint="eastAsia" w:ascii="宋体" w:hAnsi="宋体" w:cs="宋体"/>
                <w:color w:val="auto"/>
                <w:kern w:val="0"/>
                <w:sz w:val="24"/>
                <w:highlight w:val="none"/>
                <w:lang w:bidi="ar"/>
              </w:rPr>
              <w:t>分；</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kern w:val="0"/>
                <w:sz w:val="24"/>
                <w:highlight w:val="none"/>
                <w:lang w:bidi="ar"/>
              </w:rPr>
              <w:t>2.公益活动服务方案合理，服务内容完整、清晰，满足项目需求，得15分；</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sz w:val="24"/>
                <w:highlight w:val="none"/>
                <w:lang w:bidi="ar"/>
              </w:rPr>
              <w:t>3.公益活动服务方案</w:t>
            </w:r>
            <w:r>
              <w:rPr>
                <w:rFonts w:hint="eastAsia" w:ascii="宋体" w:hAnsi="宋体" w:cs="宋体"/>
                <w:color w:val="auto"/>
                <w:kern w:val="0"/>
                <w:sz w:val="24"/>
                <w:highlight w:val="none"/>
                <w:lang w:bidi="ar"/>
              </w:rPr>
              <w:t>基本合理，服务项目具有一定的针对性，服务内容基本完整，得10分；</w:t>
            </w:r>
          </w:p>
          <w:p>
            <w:pPr>
              <w:keepNext w:val="0"/>
              <w:keepLines w:val="0"/>
              <w:widowControl/>
              <w:suppressLineNumbers w:val="0"/>
              <w:spacing w:before="0" w:beforeAutospacing="0" w:after="0" w:afterAutospacing="0"/>
              <w:ind w:left="0" w:right="0"/>
              <w:jc w:val="left"/>
              <w:rPr>
                <w:rFonts w:hint="default" w:ascii="宋体" w:hAnsi="宋体" w:cs="宋体"/>
                <w:color w:val="auto"/>
                <w:kern w:val="0"/>
                <w:sz w:val="24"/>
                <w:highlight w:val="none"/>
              </w:rPr>
            </w:pPr>
            <w:r>
              <w:rPr>
                <w:rFonts w:hint="eastAsia" w:ascii="宋体" w:hAnsi="宋体" w:cs="宋体"/>
                <w:color w:val="auto"/>
                <w:sz w:val="24"/>
                <w:highlight w:val="none"/>
                <w:lang w:bidi="ar"/>
              </w:rPr>
              <w:t>4.公益活动服务方案</w:t>
            </w:r>
            <w:r>
              <w:rPr>
                <w:rFonts w:hint="eastAsia" w:ascii="宋体" w:hAnsi="宋体" w:cs="宋体"/>
                <w:color w:val="auto"/>
                <w:kern w:val="0"/>
                <w:sz w:val="24"/>
                <w:highlight w:val="none"/>
                <w:lang w:bidi="ar"/>
              </w:rPr>
              <w:t>未做详细描述，服务项目不完整，服务内容不清晰，得5分；</w:t>
            </w:r>
          </w:p>
          <w:p>
            <w:pPr>
              <w:keepNext w:val="0"/>
              <w:keepLines w:val="0"/>
              <w:suppressLineNumbers w:val="0"/>
              <w:spacing w:before="0" w:beforeAutospacing="0" w:after="0" w:afterAutospacing="0"/>
              <w:ind w:left="0" w:right="0"/>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lang w:bidi="ar"/>
              </w:rPr>
              <w:t>5.未提供得0分</w:t>
            </w:r>
            <w:r>
              <w:rPr>
                <w:rFonts w:hint="eastAsia" w:ascii="宋体" w:hAnsi="宋体" w:cs="宋体"/>
                <w:color w:val="auto"/>
                <w:sz w:val="24"/>
                <w:highlight w:val="none"/>
                <w:lang w:eastAsia="zh-CN" w:bidi="ar"/>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szCs w:val="20"/>
                <w:highlight w:val="none"/>
              </w:rPr>
            </w:pPr>
            <w:r>
              <w:rPr>
                <w:rFonts w:hint="eastAsia" w:ascii="宋体" w:hAnsi="宋体" w:cs="宋体"/>
                <w:color w:val="auto"/>
                <w:sz w:val="24"/>
                <w:szCs w:val="20"/>
                <w:highlight w:val="none"/>
                <w:lang w:bidi="ar"/>
              </w:rPr>
              <w:t>项目进度计划安排</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szCs w:val="20"/>
                <w:highlight w:val="none"/>
                <w:lang w:bidi="ar"/>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宋体" w:hAnsi="宋体" w:cs="宋体"/>
                <w:color w:val="auto"/>
                <w:sz w:val="24"/>
                <w:szCs w:val="20"/>
                <w:highlight w:val="none"/>
              </w:rPr>
            </w:pPr>
            <w:r>
              <w:rPr>
                <w:rFonts w:hint="eastAsia" w:ascii="宋体" w:hAnsi="宋体" w:cs="宋体"/>
                <w:color w:val="auto"/>
                <w:sz w:val="24"/>
                <w:szCs w:val="20"/>
                <w:highlight w:val="none"/>
                <w:lang w:bidi="ar"/>
              </w:rPr>
              <w:t>1.项目整体进度计划科学、可行，项目各阶段工作安排合理、完全满足项目整体要求得15分；</w:t>
            </w:r>
          </w:p>
          <w:p>
            <w:pPr>
              <w:keepNext w:val="0"/>
              <w:keepLines w:val="0"/>
              <w:suppressLineNumbers w:val="0"/>
              <w:spacing w:before="0" w:beforeAutospacing="0" w:after="0" w:afterAutospacing="0"/>
              <w:ind w:left="0" w:right="0"/>
              <w:rPr>
                <w:rFonts w:hint="default" w:ascii="宋体" w:hAnsi="宋体" w:cs="宋体"/>
                <w:color w:val="auto"/>
                <w:sz w:val="24"/>
                <w:szCs w:val="20"/>
                <w:highlight w:val="none"/>
              </w:rPr>
            </w:pPr>
            <w:r>
              <w:rPr>
                <w:rFonts w:hint="eastAsia" w:ascii="宋体" w:hAnsi="宋体" w:cs="宋体"/>
                <w:color w:val="auto"/>
                <w:sz w:val="24"/>
                <w:szCs w:val="20"/>
                <w:highlight w:val="none"/>
                <w:lang w:bidi="ar"/>
              </w:rPr>
              <w:t>2.项目整体进度计划基本可行，项目各阶段工作安排基本合理，基本满足项目整体要求得10分；</w:t>
            </w:r>
          </w:p>
          <w:p>
            <w:pPr>
              <w:keepNext w:val="0"/>
              <w:keepLines w:val="0"/>
              <w:suppressLineNumbers w:val="0"/>
              <w:spacing w:before="0" w:beforeAutospacing="0" w:after="0" w:afterAutospacing="0"/>
              <w:ind w:left="0" w:right="0"/>
              <w:rPr>
                <w:rFonts w:hint="default" w:ascii="宋体" w:hAnsi="宋体" w:cs="宋体"/>
                <w:color w:val="auto"/>
                <w:sz w:val="24"/>
                <w:szCs w:val="20"/>
                <w:highlight w:val="none"/>
              </w:rPr>
            </w:pPr>
            <w:r>
              <w:rPr>
                <w:rFonts w:hint="eastAsia" w:ascii="宋体" w:hAnsi="宋体" w:cs="宋体"/>
                <w:color w:val="auto"/>
                <w:sz w:val="24"/>
                <w:szCs w:val="20"/>
                <w:highlight w:val="none"/>
                <w:lang w:bidi="ar"/>
              </w:rPr>
              <w:t>3.项目整体进度计划不可行，项目各阶段工作安排不合理，不能满足项目要求得5分；</w:t>
            </w:r>
          </w:p>
          <w:p>
            <w:pPr>
              <w:pStyle w:val="39"/>
              <w:keepNext w:val="0"/>
              <w:keepLines w:val="0"/>
              <w:suppressLineNumbers w:val="0"/>
              <w:spacing w:before="0" w:beforeAutospacing="0" w:after="0" w:afterAutospacing="0"/>
              <w:ind w:left="0" w:right="0"/>
              <w:rPr>
                <w:rFonts w:hint="default"/>
                <w:color w:val="auto"/>
                <w:szCs w:val="20"/>
                <w:highlight w:val="none"/>
              </w:rPr>
            </w:pPr>
            <w:r>
              <w:rPr>
                <w:rFonts w:hint="eastAsia"/>
                <w:color w:val="auto"/>
                <w:kern w:val="2"/>
                <w:szCs w:val="20"/>
                <w:highlight w:val="none"/>
                <w:lang w:bidi="ar"/>
              </w:rPr>
              <w:t>4.未提供不得分。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vMerge w:val="restart"/>
            <w:tcBorders>
              <w:top w:val="single" w:color="auto" w:sz="6" w:space="0"/>
              <w:left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质量控制措施及服务承诺(1</w:t>
            </w:r>
            <w:r>
              <w:rPr>
                <w:rFonts w:hint="default" w:ascii="宋体" w:hAnsi="宋体" w:cs="宋体"/>
                <w:color w:val="auto"/>
                <w:sz w:val="24"/>
                <w:highlight w:val="none"/>
                <w:lang w:bidi="ar"/>
              </w:rPr>
              <w:t>0</w:t>
            </w:r>
            <w:r>
              <w:rPr>
                <w:rFonts w:hint="eastAsia" w:ascii="宋体" w:hAnsi="宋体" w:cs="宋体"/>
                <w:color w:val="auto"/>
                <w:sz w:val="24"/>
                <w:highlight w:val="none"/>
                <w:lang w:bidi="ar"/>
              </w:rPr>
              <w:t>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1.质量控制措施科学合理，详细可行，可操作性强，满足项目实际需求，得</w:t>
            </w:r>
            <w:r>
              <w:rPr>
                <w:rFonts w:hint="default" w:ascii="宋体" w:hAnsi="宋体" w:cs="宋体"/>
                <w:color w:val="auto"/>
                <w:sz w:val="24"/>
                <w:highlight w:val="none"/>
                <w:lang w:bidi="ar"/>
              </w:rPr>
              <w:t>5</w:t>
            </w:r>
            <w:r>
              <w:rPr>
                <w:rFonts w:hint="eastAsia" w:ascii="宋体" w:hAnsi="宋体" w:cs="宋体"/>
                <w:color w:val="auto"/>
                <w:sz w:val="24"/>
                <w:highlight w:val="none"/>
                <w:lang w:bidi="ar"/>
              </w:rPr>
              <w:t>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2.质量控制措施基本合理，具有一定的可行性，基本满足项目实际需求，得</w:t>
            </w:r>
            <w:r>
              <w:rPr>
                <w:rFonts w:hint="default" w:ascii="宋体" w:hAnsi="宋体" w:cs="宋体"/>
                <w:color w:val="auto"/>
                <w:sz w:val="24"/>
                <w:highlight w:val="none"/>
                <w:lang w:bidi="ar"/>
              </w:rPr>
              <w:t>3</w:t>
            </w:r>
            <w:r>
              <w:rPr>
                <w:rFonts w:hint="eastAsia" w:ascii="宋体" w:hAnsi="宋体" w:cs="宋体"/>
                <w:color w:val="auto"/>
                <w:sz w:val="24"/>
                <w:highlight w:val="none"/>
                <w:lang w:bidi="ar"/>
              </w:rPr>
              <w:t>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3.质量控制措施未做详细描述或不满足项目实际需求，得</w:t>
            </w:r>
            <w:r>
              <w:rPr>
                <w:rFonts w:hint="default" w:ascii="宋体" w:hAnsi="宋体" w:cs="宋体"/>
                <w:color w:val="auto"/>
                <w:sz w:val="24"/>
                <w:highlight w:val="none"/>
                <w:lang w:bidi="ar"/>
              </w:rPr>
              <w:t>1</w:t>
            </w:r>
            <w:r>
              <w:rPr>
                <w:rFonts w:hint="eastAsia" w:ascii="宋体" w:hAnsi="宋体" w:cs="宋体"/>
                <w:color w:val="auto"/>
                <w:sz w:val="24"/>
                <w:highlight w:val="none"/>
                <w:lang w:bidi="ar"/>
              </w:rPr>
              <w:t>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vMerge w:val="continue"/>
            <w:tcBorders>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default" w:ascii="宋体" w:hAnsi="宋体" w:cs="宋体"/>
                <w:color w:val="auto"/>
                <w:sz w:val="24"/>
                <w:highlight w:val="none"/>
                <w:lang w:bidi="ar"/>
              </w:rPr>
            </w:pP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服务承诺是指（内容包含但不限于时间要求、服务需求）</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1.针对本项目服务内容和要求提出服务目标和各项服务承诺指标，指标齐全、质量要求完全满足服务需要，得</w:t>
            </w:r>
            <w:r>
              <w:rPr>
                <w:rFonts w:hint="default" w:ascii="宋体" w:hAnsi="宋体" w:cs="宋体"/>
                <w:color w:val="auto"/>
                <w:sz w:val="24"/>
                <w:szCs w:val="22"/>
                <w:highlight w:val="none"/>
                <w:lang w:bidi="ar"/>
              </w:rPr>
              <w:t>5</w:t>
            </w:r>
            <w:r>
              <w:rPr>
                <w:rFonts w:hint="eastAsia" w:ascii="宋体" w:hAnsi="宋体" w:cs="宋体"/>
                <w:color w:val="auto"/>
                <w:sz w:val="24"/>
                <w:szCs w:val="22"/>
                <w:highlight w:val="none"/>
                <w:lang w:bidi="ar"/>
              </w:rPr>
              <w:t>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2.针对本项目服务内容和要求提出服务目标和各项服务承诺指标，质量要求基本满足服务需要，得</w:t>
            </w:r>
            <w:r>
              <w:rPr>
                <w:rFonts w:hint="default" w:ascii="宋体" w:hAnsi="宋体" w:cs="宋体"/>
                <w:color w:val="auto"/>
                <w:sz w:val="24"/>
                <w:szCs w:val="22"/>
                <w:highlight w:val="none"/>
                <w:lang w:bidi="ar"/>
              </w:rPr>
              <w:t>3</w:t>
            </w:r>
            <w:r>
              <w:rPr>
                <w:rFonts w:hint="eastAsia" w:ascii="宋体" w:hAnsi="宋体" w:cs="宋体"/>
                <w:color w:val="auto"/>
                <w:sz w:val="24"/>
                <w:szCs w:val="22"/>
                <w:highlight w:val="none"/>
                <w:lang w:bidi="ar"/>
              </w:rPr>
              <w:t>分；</w:t>
            </w:r>
          </w:p>
          <w:p>
            <w:pPr>
              <w:keepNext w:val="0"/>
              <w:keepLines w:val="0"/>
              <w:suppressLineNumbers w:val="0"/>
              <w:adjustRightInd w:val="0"/>
              <w:snapToGrid w:val="0"/>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3.针对本项目服务内容和要求提出服务目标和各项服务承诺指标，指标不齐全、质量要求不满足服务需要，得</w:t>
            </w:r>
            <w:r>
              <w:rPr>
                <w:rFonts w:hint="default" w:ascii="宋体" w:hAnsi="宋体" w:cs="宋体"/>
                <w:color w:val="auto"/>
                <w:sz w:val="24"/>
                <w:szCs w:val="22"/>
                <w:highlight w:val="none"/>
                <w:lang w:bidi="ar"/>
              </w:rPr>
              <w:t>1</w:t>
            </w:r>
            <w:r>
              <w:rPr>
                <w:rFonts w:hint="eastAsia" w:ascii="宋体" w:hAnsi="宋体" w:cs="宋体"/>
                <w:color w:val="auto"/>
                <w:sz w:val="24"/>
                <w:szCs w:val="22"/>
                <w:highlight w:val="none"/>
                <w:lang w:bidi="ar"/>
              </w:rPr>
              <w:t>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lang w:bidi="ar"/>
              </w:rPr>
            </w:pPr>
            <w:r>
              <w:rPr>
                <w:rFonts w:hint="eastAsia" w:ascii="宋体" w:hAnsi="宋体" w:cs="宋体"/>
                <w:color w:val="auto"/>
                <w:sz w:val="24"/>
                <w:szCs w:val="22"/>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cs="宋体"/>
                <w:color w:val="auto"/>
                <w:sz w:val="24"/>
                <w:highlight w:val="none"/>
                <w:lang w:bidi="ar"/>
              </w:rPr>
            </w:pPr>
            <w:r>
              <w:rPr>
                <w:rFonts w:hint="eastAsia" w:ascii="宋体" w:hAnsi="宋体" w:cs="宋体"/>
                <w:color w:val="auto"/>
                <w:sz w:val="24"/>
                <w:highlight w:val="none"/>
                <w:lang w:bidi="ar"/>
              </w:rPr>
              <w:t>应急服务方案</w:t>
            </w:r>
          </w:p>
          <w:p>
            <w:pPr>
              <w:keepNext w:val="0"/>
              <w:keepLines w:val="0"/>
              <w:widowControl/>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(1</w:t>
            </w:r>
            <w:r>
              <w:rPr>
                <w:rFonts w:hint="default" w:ascii="宋体" w:hAnsi="宋体" w:cs="宋体"/>
                <w:color w:val="auto"/>
                <w:sz w:val="24"/>
                <w:highlight w:val="none"/>
                <w:lang w:bidi="ar"/>
              </w:rPr>
              <w:t>0</w:t>
            </w:r>
            <w:r>
              <w:rPr>
                <w:rFonts w:hint="eastAsia" w:ascii="宋体" w:hAnsi="宋体" w:cs="宋体"/>
                <w:color w:val="auto"/>
                <w:sz w:val="24"/>
                <w:highlight w:val="none"/>
                <w:lang w:bidi="ar"/>
              </w:rPr>
              <w:t>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uppressAutoHyphens/>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1.如发生特殊情况影响项目正常进行，所递交的应急服务方案合理可行，及时有效，考虑周全，完全能够满足本项目服务需要，得1</w:t>
            </w:r>
            <w:r>
              <w:rPr>
                <w:rFonts w:hint="default" w:ascii="宋体" w:hAnsi="宋体" w:cs="宋体"/>
                <w:color w:val="auto"/>
                <w:sz w:val="24"/>
                <w:szCs w:val="22"/>
                <w:highlight w:val="none"/>
                <w:lang w:bidi="ar"/>
              </w:rPr>
              <w:t>0</w:t>
            </w:r>
            <w:r>
              <w:rPr>
                <w:rFonts w:hint="eastAsia" w:ascii="宋体" w:hAnsi="宋体" w:cs="宋体"/>
                <w:color w:val="auto"/>
                <w:sz w:val="24"/>
                <w:szCs w:val="22"/>
                <w:highlight w:val="none"/>
                <w:lang w:bidi="ar"/>
              </w:rPr>
              <w:t>分；</w:t>
            </w:r>
          </w:p>
          <w:p>
            <w:pPr>
              <w:keepNext w:val="0"/>
              <w:keepLines w:val="0"/>
              <w:suppressLineNumbers w:val="0"/>
              <w:suppressAutoHyphens/>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2.如发生特殊情况影响项目正常进行，所递交的应急服务方案合理性一般，针对性较强，基本满足本项目服务需要，得</w:t>
            </w:r>
            <w:r>
              <w:rPr>
                <w:rFonts w:hint="default" w:ascii="宋体" w:hAnsi="宋体" w:cs="宋体"/>
                <w:color w:val="auto"/>
                <w:sz w:val="24"/>
                <w:szCs w:val="22"/>
                <w:highlight w:val="none"/>
                <w:lang w:bidi="ar"/>
              </w:rPr>
              <w:t>7</w:t>
            </w:r>
            <w:r>
              <w:rPr>
                <w:rFonts w:hint="eastAsia" w:ascii="宋体" w:hAnsi="宋体" w:cs="宋体"/>
                <w:color w:val="auto"/>
                <w:sz w:val="24"/>
                <w:szCs w:val="22"/>
                <w:highlight w:val="none"/>
                <w:lang w:bidi="ar"/>
              </w:rPr>
              <w:t>分；</w:t>
            </w:r>
          </w:p>
          <w:p>
            <w:pPr>
              <w:keepNext w:val="0"/>
              <w:keepLines w:val="0"/>
              <w:suppressLineNumbers w:val="0"/>
              <w:suppressAutoHyphens/>
              <w:spacing w:before="0" w:beforeAutospacing="0" w:after="0" w:afterAutospacing="0"/>
              <w:ind w:left="0" w:right="0"/>
              <w:jc w:val="left"/>
              <w:rPr>
                <w:rFonts w:hint="default" w:ascii="宋体" w:hAnsi="宋体" w:cs="宋体"/>
                <w:color w:val="auto"/>
                <w:sz w:val="24"/>
                <w:szCs w:val="22"/>
                <w:highlight w:val="none"/>
              </w:rPr>
            </w:pPr>
            <w:r>
              <w:rPr>
                <w:rFonts w:hint="eastAsia" w:ascii="宋体" w:hAnsi="宋体" w:cs="宋体"/>
                <w:color w:val="auto"/>
                <w:sz w:val="24"/>
                <w:szCs w:val="22"/>
                <w:highlight w:val="none"/>
                <w:lang w:bidi="ar"/>
              </w:rPr>
              <w:t>3.如发生特殊情况影响项目正常进行，所递交的应急服务方案不合理，不切实际，不能满足本项目服务需要，得</w:t>
            </w:r>
            <w:r>
              <w:rPr>
                <w:rFonts w:hint="default" w:ascii="宋体" w:hAnsi="宋体" w:cs="宋体"/>
                <w:color w:val="auto"/>
                <w:sz w:val="24"/>
                <w:szCs w:val="22"/>
                <w:highlight w:val="none"/>
                <w:lang w:bidi="ar"/>
              </w:rPr>
              <w:t>4</w:t>
            </w:r>
            <w:r>
              <w:rPr>
                <w:rFonts w:hint="eastAsia" w:ascii="宋体" w:hAnsi="宋体" w:cs="宋体"/>
                <w:color w:val="auto"/>
                <w:sz w:val="24"/>
                <w:szCs w:val="22"/>
                <w:highlight w:val="none"/>
                <w:lang w:bidi="ar"/>
              </w:rPr>
              <w:t>分。</w:t>
            </w:r>
          </w:p>
          <w:p>
            <w:pPr>
              <w:keepNext w:val="0"/>
              <w:keepLines w:val="0"/>
              <w:suppressLineNumbers w:val="0"/>
              <w:suppressAutoHyphens/>
              <w:spacing w:before="0" w:beforeAutospacing="0" w:after="0" w:afterAutospacing="0"/>
              <w:ind w:left="0" w:right="0"/>
              <w:jc w:val="left"/>
              <w:rPr>
                <w:rFonts w:hint="default" w:ascii="宋体" w:hAnsi="宋体" w:cs="宋体"/>
                <w:color w:val="auto"/>
                <w:sz w:val="24"/>
                <w:highlight w:val="none"/>
                <w:lang w:bidi="ar"/>
              </w:rPr>
            </w:pPr>
            <w:r>
              <w:rPr>
                <w:rFonts w:hint="eastAsia" w:ascii="宋体" w:hAnsi="宋体" w:cs="宋体"/>
                <w:color w:val="auto"/>
                <w:sz w:val="24"/>
                <w:szCs w:val="22"/>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vMerge w:val="restart"/>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lang w:bidi="ar"/>
              </w:rPr>
            </w:pPr>
            <w:r>
              <w:rPr>
                <w:rFonts w:hint="eastAsia" w:ascii="宋体" w:hAnsi="宋体" w:cs="宋体"/>
                <w:color w:val="auto"/>
                <w:sz w:val="24"/>
                <w:highlight w:val="none"/>
                <w:lang w:bidi="ar"/>
              </w:rPr>
              <w:t>拟派团队人员</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rPr>
            </w:pPr>
            <w:r>
              <w:rPr>
                <w:rFonts w:hint="eastAsia" w:ascii="宋体" w:hAnsi="宋体" w:cs="宋体"/>
                <w:color w:val="auto"/>
                <w:sz w:val="24"/>
                <w:highlight w:val="none"/>
                <w:lang w:bidi="ar"/>
              </w:rPr>
              <w:t>（10分）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1.项目负责人专业性强，具备丰富的相关工作经验，完全能够保证本项目的服务需要，得5分；</w:t>
            </w:r>
          </w:p>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2.项目负责人专业性一般，相关工作经验欠缺，基本可以保证本项目的服务需要，得3分；</w:t>
            </w:r>
          </w:p>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3.项目负责人专业性或相关工作经验均未做详细描述，不能保证本项目服务需要，得1分；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26"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1193" w:type="dxa"/>
            <w:vMerge w:val="continue"/>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rPr>
                <w:rFonts w:hint="default" w:ascii="Calibri" w:hAnsi="Calibri" w:cs="Calibri"/>
                <w:color w:val="auto"/>
                <w:sz w:val="20"/>
                <w:szCs w:val="20"/>
                <w:highlight w:val="none"/>
              </w:rPr>
            </w:pP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1.团队人员配置结构合理，完全能够保证本项目服务需求，得5分；</w:t>
            </w:r>
          </w:p>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2.团队人员配置简单，基本能够保证本项目服务需求，得3分；</w:t>
            </w:r>
          </w:p>
          <w:p>
            <w:pPr>
              <w:keepNext w:val="0"/>
              <w:keepLines w:val="0"/>
              <w:widowControl/>
              <w:suppressLineNumbers w:val="0"/>
              <w:spacing w:before="0" w:beforeAutospacing="0" w:after="0" w:afterAutospacing="0"/>
              <w:ind w:left="0" w:right="0"/>
              <w:rPr>
                <w:rFonts w:hint="default" w:ascii="宋体" w:hAnsi="宋体" w:cs="宋体"/>
                <w:color w:val="auto"/>
                <w:kern w:val="0"/>
                <w:sz w:val="24"/>
                <w:highlight w:val="none"/>
              </w:rPr>
            </w:pPr>
            <w:r>
              <w:rPr>
                <w:rFonts w:hint="eastAsia" w:ascii="宋体" w:hAnsi="宋体" w:cs="宋体"/>
                <w:color w:val="auto"/>
                <w:kern w:val="0"/>
                <w:sz w:val="24"/>
                <w:highlight w:val="none"/>
                <w:lang w:bidi="ar"/>
              </w:rPr>
              <w:t>3.团队人员配置不合理，不能保证本项目服务需求，得1分；</w:t>
            </w:r>
          </w:p>
          <w:p>
            <w:pPr>
              <w:keepNext w:val="0"/>
              <w:keepLines w:val="0"/>
              <w:widowControl/>
              <w:suppressLineNumbers w:val="0"/>
              <w:spacing w:before="0" w:beforeAutospacing="0" w:after="0" w:afterAutospacing="0"/>
              <w:ind w:left="0" w:right="0"/>
              <w:jc w:val="left"/>
              <w:rPr>
                <w:rFonts w:hint="default" w:ascii="宋体" w:hAnsi="宋体" w:cs="宋体"/>
                <w:color w:val="auto"/>
                <w:sz w:val="24"/>
                <w:highlight w:val="none"/>
              </w:rPr>
            </w:pPr>
            <w:r>
              <w:rPr>
                <w:rFonts w:hint="eastAsia" w:ascii="宋体" w:hAnsi="宋体" w:cs="宋体"/>
                <w:color w:val="auto"/>
                <w:sz w:val="24"/>
                <w:highlight w:val="none"/>
                <w:lang w:bidi="ar"/>
              </w:rPr>
              <w:t>4.未提供得0分。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5" w:hRule="atLeast"/>
          <w:jc w:val="center"/>
        </w:trPr>
        <w:tc>
          <w:tcPr>
            <w:tcW w:w="709"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default" w:ascii="宋体" w:hAnsi="宋体" w:cs="宋体"/>
                <w:color w:val="auto"/>
                <w:sz w:val="24"/>
                <w:highlight w:val="none"/>
                <w:lang w:bidi="ar"/>
              </w:rPr>
            </w:pPr>
            <w:r>
              <w:rPr>
                <w:rFonts w:hint="eastAsia" w:ascii="宋体" w:hAnsi="宋体" w:cs="宋体"/>
                <w:b/>
                <w:bCs/>
                <w:color w:val="auto"/>
                <w:sz w:val="24"/>
                <w:highlight w:val="none"/>
                <w:lang w:bidi="ar"/>
              </w:rPr>
              <w:t>3</w:t>
            </w:r>
          </w:p>
        </w:tc>
        <w:tc>
          <w:tcPr>
            <w:tcW w:w="1126"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4"/>
                <w:highlight w:val="none"/>
                <w:lang w:bidi="ar"/>
              </w:rPr>
            </w:pPr>
            <w:r>
              <w:rPr>
                <w:rFonts w:hint="eastAsia" w:ascii="宋体" w:hAnsi="宋体" w:cs="宋体"/>
                <w:color w:val="auto"/>
                <w:sz w:val="24"/>
                <w:highlight w:val="none"/>
                <w:lang w:bidi="ar"/>
              </w:rPr>
              <w:t>商务</w:t>
            </w:r>
          </w:p>
          <w:p>
            <w:pPr>
              <w:keepNext w:val="0"/>
              <w:keepLines w:val="0"/>
              <w:suppressLineNumbers w:val="0"/>
              <w:spacing w:before="0" w:beforeAutospacing="0" w:after="0" w:afterAutospacing="0"/>
              <w:ind w:left="0" w:right="0"/>
              <w:jc w:val="center"/>
              <w:rPr>
                <w:rFonts w:hint="eastAsia" w:ascii="宋体" w:hAnsi="宋体" w:cs="宋体"/>
                <w:color w:val="auto"/>
                <w:sz w:val="24"/>
                <w:highlight w:val="none"/>
                <w:lang w:bidi="ar"/>
              </w:rPr>
            </w:pPr>
            <w:r>
              <w:rPr>
                <w:rFonts w:hint="eastAsia" w:ascii="宋体" w:hAnsi="宋体" w:cs="宋体"/>
                <w:color w:val="auto"/>
                <w:sz w:val="24"/>
                <w:highlight w:val="none"/>
                <w:lang w:bidi="ar"/>
              </w:rPr>
              <w:t>部分</w:t>
            </w:r>
          </w:p>
          <w:p>
            <w:pPr>
              <w:pStyle w:val="26"/>
              <w:keepNext w:val="0"/>
              <w:keepLines w:val="0"/>
              <w:suppressLineNumbers w:val="0"/>
              <w:spacing w:before="0" w:beforeAutospacing="0" w:after="0" w:afterAutospacing="0"/>
              <w:ind w:left="0" w:right="0" w:firstLine="0" w:firstLineChars="0"/>
              <w:rPr>
                <w:rFonts w:hint="default" w:ascii="宋体" w:hAnsi="宋体" w:eastAsia="宋体" w:cs="宋体"/>
                <w:color w:val="auto"/>
                <w:highlight w:val="none"/>
                <w:lang w:bidi="ar"/>
              </w:rPr>
            </w:pPr>
            <w:r>
              <w:rPr>
                <w:rFonts w:hint="eastAsia" w:ascii="宋体" w:hAnsi="宋体" w:eastAsia="宋体" w:cs="宋体"/>
                <w:color w:val="auto"/>
                <w:highlight w:val="none"/>
                <w:lang w:bidi="ar"/>
              </w:rPr>
              <w:t>（15分）</w:t>
            </w:r>
          </w:p>
        </w:tc>
        <w:tc>
          <w:tcPr>
            <w:tcW w:w="1193"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suppressLineNumbers w:val="0"/>
              <w:spacing w:before="0" w:beforeAutospacing="0" w:after="0" w:afterAutospacing="0"/>
              <w:ind w:left="0" w:right="0"/>
              <w:jc w:val="center"/>
              <w:rPr>
                <w:rFonts w:hint="eastAsia" w:ascii="宋体" w:hAnsi="宋体" w:cs="宋体"/>
                <w:color w:val="auto"/>
                <w:sz w:val="24"/>
                <w:highlight w:val="none"/>
                <w:lang w:bidi="ar"/>
              </w:rPr>
            </w:pPr>
            <w:r>
              <w:rPr>
                <w:rFonts w:hint="eastAsia" w:ascii="宋体" w:hAnsi="宋体" w:cs="宋体"/>
                <w:color w:val="auto"/>
                <w:sz w:val="24"/>
                <w:highlight w:val="none"/>
                <w:lang w:bidi="ar"/>
              </w:rPr>
              <w:t>业绩</w:t>
            </w:r>
          </w:p>
          <w:p>
            <w:pPr>
              <w:keepNext w:val="0"/>
              <w:keepLines w:val="0"/>
              <w:suppressLineNumbers w:val="0"/>
              <w:spacing w:before="0" w:beforeAutospacing="0" w:after="0" w:afterAutospacing="0"/>
              <w:ind w:left="0" w:right="0"/>
              <w:jc w:val="center"/>
              <w:rPr>
                <w:rFonts w:hint="default" w:ascii="宋体" w:hAnsi="宋体" w:cs="宋体"/>
                <w:color w:val="auto"/>
                <w:sz w:val="24"/>
                <w:highlight w:val="none"/>
                <w:lang w:bidi="ar"/>
              </w:rPr>
            </w:pPr>
            <w:r>
              <w:rPr>
                <w:rFonts w:hint="eastAsia" w:ascii="宋体" w:hAnsi="宋体" w:cs="宋体"/>
                <w:color w:val="auto"/>
                <w:sz w:val="24"/>
                <w:highlight w:val="none"/>
                <w:lang w:bidi="ar"/>
              </w:rPr>
              <w:t>（15分）</w:t>
            </w:r>
          </w:p>
        </w:tc>
        <w:tc>
          <w:tcPr>
            <w:tcW w:w="6947" w:type="dxa"/>
            <w:tcBorders>
              <w:top w:val="single" w:color="auto" w:sz="6" w:space="0"/>
              <w:left w:val="single" w:color="auto" w:sz="6" w:space="0"/>
              <w:bottom w:val="single" w:color="auto" w:sz="6" w:space="0"/>
              <w:right w:val="single" w:color="auto" w:sz="6" w:space="0"/>
            </w:tcBorders>
            <w:shd w:val="clear" w:color="auto" w:fill="auto"/>
            <w:vAlign w:val="center"/>
          </w:tcPr>
          <w:p>
            <w:pPr>
              <w:keepNext w:val="0"/>
              <w:keepLines w:val="0"/>
              <w:widowControl/>
              <w:suppressLineNumbers w:val="0"/>
              <w:spacing w:before="0" w:beforeAutospacing="0" w:after="0" w:afterAutospacing="0"/>
              <w:ind w:left="0" w:right="0"/>
              <w:rPr>
                <w:rFonts w:hint="eastAsia" w:ascii="宋体" w:hAnsi="宋体" w:cs="宋体"/>
                <w:color w:val="auto"/>
                <w:sz w:val="24"/>
                <w:highlight w:val="none"/>
                <w:lang w:bidi="ar"/>
              </w:rPr>
            </w:pPr>
            <w:r>
              <w:rPr>
                <w:rFonts w:hint="eastAsia" w:ascii="宋体" w:hAnsi="宋体" w:cs="宋体"/>
                <w:color w:val="auto"/>
                <w:sz w:val="24"/>
                <w:highlight w:val="none"/>
                <w:lang w:bidi="ar"/>
              </w:rPr>
              <w:t>投标人近三年（2021年1月至投标截止日期）已完成的类似项目业绩为评审依据(提供合同复印件并加盖公章)，每提供一个有效业绩得3分，最多得15分，未提供不得分。</w:t>
            </w:r>
          </w:p>
        </w:tc>
      </w:tr>
    </w:tbl>
    <w:p>
      <w:pPr>
        <w:pStyle w:val="26"/>
        <w:rPr>
          <w:color w:val="auto"/>
          <w:highlight w:val="none"/>
        </w:rPr>
      </w:pPr>
    </w:p>
    <w:p>
      <w:pPr>
        <w:widowControl/>
        <w:spacing w:line="360" w:lineRule="auto"/>
        <w:ind w:firstLine="480" w:firstLineChars="200"/>
        <w:jc w:val="left"/>
        <w:rPr>
          <w:rFonts w:ascii="宋体" w:hAnsi="宋体" w:cs="宋体"/>
          <w:color w:val="auto"/>
          <w:sz w:val="24"/>
          <w:highlight w:val="none"/>
        </w:rPr>
      </w:pPr>
    </w:p>
    <w:p>
      <w:pPr>
        <w:widowControl/>
        <w:spacing w:beforeAutospacing="1" w:afterAutospacing="1" w:line="360" w:lineRule="auto"/>
        <w:jc w:val="left"/>
        <w:rPr>
          <w:rFonts w:ascii="宋体" w:hAnsi="宋体"/>
          <w:b/>
          <w:color w:val="auto"/>
          <w:sz w:val="36"/>
          <w:szCs w:val="36"/>
          <w:highlight w:val="none"/>
        </w:rPr>
        <w:sectPr>
          <w:pgSz w:w="11907" w:h="16840"/>
          <w:pgMar w:top="1418" w:right="1134" w:bottom="1418" w:left="1701" w:header="851" w:footer="851" w:gutter="0"/>
          <w:pgNumType w:fmt="decimal"/>
          <w:cols w:space="720" w:num="1"/>
        </w:sectPr>
      </w:pPr>
    </w:p>
    <w:p>
      <w:pPr>
        <w:numPr>
          <w:ilvl w:val="0"/>
          <w:numId w:val="14"/>
        </w:numPr>
        <w:spacing w:line="360" w:lineRule="auto"/>
        <w:jc w:val="center"/>
        <w:outlineLvl w:val="0"/>
        <w:rPr>
          <w:rFonts w:hint="eastAsia" w:ascii="宋体" w:hAnsi="宋体"/>
          <w:b/>
          <w:color w:val="auto"/>
          <w:sz w:val="36"/>
          <w:szCs w:val="36"/>
          <w:highlight w:val="none"/>
        </w:rPr>
      </w:pPr>
      <w:bookmarkStart w:id="786" w:name="_Toc111134030"/>
      <w:bookmarkStart w:id="787" w:name="_Toc16317"/>
      <w:r>
        <w:rPr>
          <w:rFonts w:hint="eastAsia" w:ascii="宋体" w:hAnsi="宋体"/>
          <w:b/>
          <w:color w:val="auto"/>
          <w:sz w:val="36"/>
          <w:szCs w:val="36"/>
          <w:highlight w:val="none"/>
        </w:rPr>
        <w:t xml:space="preserve">  采购需求</w:t>
      </w:r>
      <w:bookmarkEnd w:id="786"/>
      <w:bookmarkEnd w:id="787"/>
    </w:p>
    <w:p>
      <w:pPr>
        <w:rPr>
          <w:rFonts w:hint="eastAsia"/>
          <w:color w:val="auto"/>
          <w:highlight w:val="none"/>
          <w:lang w:val="en-US" w:eastAsia="zh-CN"/>
        </w:rPr>
      </w:pPr>
    </w:p>
    <w:p>
      <w:pPr>
        <w:pStyle w:val="26"/>
        <w:numPr>
          <w:ilvl w:val="0"/>
          <w:numId w:val="0"/>
        </w:numPr>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
        </w:rPr>
        <w:t>（第3包：公益活动服务）</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auto"/>
          <w:sz w:val="24"/>
          <w:szCs w:val="24"/>
          <w:highlight w:val="none"/>
          <w:lang w:val="en-US"/>
        </w:rPr>
      </w:pPr>
      <w:r>
        <w:rPr>
          <w:rFonts w:hint="eastAsia" w:ascii="宋体" w:hAnsi="宋体" w:eastAsia="宋体" w:cs="宋体"/>
          <w:b/>
          <w:bCs/>
          <w:color w:val="auto"/>
          <w:kern w:val="2"/>
          <w:sz w:val="24"/>
          <w:szCs w:val="24"/>
          <w:highlight w:val="none"/>
          <w:lang w:val="en-US" w:eastAsia="zh-CN" w:bidi="ar"/>
        </w:rPr>
        <w:t>一、服务地点：</w:t>
      </w:r>
      <w:r>
        <w:rPr>
          <w:rFonts w:hint="eastAsia" w:ascii="宋体" w:hAnsi="宋体" w:eastAsia="宋体" w:cs="宋体"/>
          <w:color w:val="auto"/>
          <w:kern w:val="2"/>
          <w:sz w:val="24"/>
          <w:szCs w:val="24"/>
          <w:highlight w:val="none"/>
          <w:lang w:val="en-US" w:eastAsia="zh-CN" w:bidi="ar"/>
        </w:rPr>
        <w:t>本项目服务地址位于北京经济技术开发区天宝中路与荣京北小街交叉路口往西南约50米。</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auto"/>
          <w:sz w:val="24"/>
          <w:szCs w:val="24"/>
          <w:highlight w:val="none"/>
          <w:lang w:val="en-US"/>
        </w:rPr>
      </w:pPr>
      <w:r>
        <w:rPr>
          <w:rFonts w:hint="eastAsia" w:ascii="宋体" w:hAnsi="宋体" w:eastAsia="宋体" w:cs="宋体"/>
          <w:b/>
          <w:bCs/>
          <w:color w:val="auto"/>
          <w:kern w:val="2"/>
          <w:sz w:val="24"/>
          <w:szCs w:val="24"/>
          <w:highlight w:val="none"/>
          <w:lang w:val="en-US" w:eastAsia="zh-CN" w:bidi="ar"/>
        </w:rPr>
        <w:t>二、服务期限：</w:t>
      </w:r>
      <w:r>
        <w:rPr>
          <w:rFonts w:hint="eastAsia" w:ascii="宋体" w:hAnsi="宋体" w:eastAsia="宋体" w:cs="宋体"/>
          <w:color w:val="auto"/>
          <w:kern w:val="2"/>
          <w:sz w:val="24"/>
          <w:szCs w:val="24"/>
          <w:highlight w:val="none"/>
          <w:lang w:val="en-US" w:eastAsia="zh-CN" w:bidi="ar"/>
        </w:rPr>
        <w:t>自合同签订之日起至2024年12月31日。</w:t>
      </w:r>
    </w:p>
    <w:p>
      <w:pPr>
        <w:keepNext w:val="0"/>
        <w:keepLines w:val="0"/>
        <w:widowControl w:val="0"/>
        <w:suppressLineNumbers w:val="0"/>
        <w:adjustRightInd w:val="0"/>
        <w:snapToGrid w:val="0"/>
        <w:spacing w:before="0" w:beforeAutospacing="0" w:after="0" w:afterAutospacing="0" w:line="480" w:lineRule="auto"/>
        <w:ind w:left="0" w:right="0"/>
        <w:jc w:val="both"/>
        <w:rPr>
          <w:rFonts w:hint="eastAsia" w:ascii="宋体" w:hAnsi="宋体" w:eastAsia="宋体" w:cs="宋体"/>
          <w:color w:val="auto"/>
          <w:sz w:val="24"/>
          <w:szCs w:val="24"/>
          <w:highlight w:val="none"/>
          <w:lang w:val="en-US"/>
        </w:rPr>
      </w:pPr>
      <w:r>
        <w:rPr>
          <w:rFonts w:hint="eastAsia" w:ascii="宋体" w:hAnsi="宋体" w:eastAsia="宋体" w:cs="宋体"/>
          <w:b/>
          <w:bCs/>
          <w:color w:val="auto"/>
          <w:kern w:val="2"/>
          <w:sz w:val="24"/>
          <w:szCs w:val="24"/>
          <w:highlight w:val="none"/>
          <w:lang w:val="en-US" w:eastAsia="zh-CN" w:bidi="ar"/>
        </w:rPr>
        <w:t>三、项目采购内容：</w:t>
      </w:r>
      <w:r>
        <w:rPr>
          <w:rFonts w:hint="eastAsia" w:ascii="宋体" w:hAnsi="宋体" w:eastAsia="宋体" w:cs="宋体"/>
          <w:color w:val="auto"/>
          <w:kern w:val="2"/>
          <w:sz w:val="24"/>
          <w:szCs w:val="24"/>
          <w:highlight w:val="none"/>
          <w:lang w:val="en-US" w:eastAsia="zh-CN" w:bidi="ar"/>
        </w:rPr>
        <w:t>负责在上海沙龙亦城家园中心开展活动组织管理服务等工作，具体如下：</w:t>
      </w:r>
    </w:p>
    <w:p>
      <w:pPr>
        <w:keepNext w:val="0"/>
        <w:keepLines w:val="0"/>
        <w:widowControl w:val="0"/>
        <w:suppressLineNumbers w:val="0"/>
        <w:adjustRightInd w:val="0"/>
        <w:snapToGrid w:val="0"/>
        <w:spacing w:before="0" w:beforeAutospacing="0" w:after="0" w:afterAutospacing="0" w:line="480" w:lineRule="auto"/>
        <w:ind w:left="0" w:righ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lang w:val="en-US" w:eastAsia="zh-CN" w:bidi="ar"/>
        </w:rPr>
        <w:t>坚持政府主导、坚持公益活动的公益性、普惠性、多样性原则，做好场地管理服务、做好日常运营和服务工作；依托上海沙龙亦城家园中心服务设施、场地为社区居民和园区职工提供包括但不限于党建引领类、文体艺术类、康养类等多类型公益活动，全年开展主题公益活动不低于90场，活动场次和活动内容符合要求，成果展示符合项目目标要求。</w:t>
      </w:r>
    </w:p>
    <w:p>
      <w:pPr>
        <w:keepNext w:val="0"/>
        <w:keepLines w:val="0"/>
        <w:widowControl/>
        <w:suppressLineNumbers w:val="0"/>
        <w:spacing w:line="480" w:lineRule="auto"/>
        <w:jc w:val="left"/>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四、项目验收标准：</w:t>
      </w:r>
      <w:r>
        <w:rPr>
          <w:rFonts w:hint="eastAsia" w:ascii="宋体" w:hAnsi="宋体" w:eastAsia="宋体" w:cs="宋体"/>
          <w:color w:val="auto"/>
          <w:kern w:val="2"/>
          <w:sz w:val="24"/>
          <w:szCs w:val="24"/>
          <w:highlight w:val="none"/>
          <w:lang w:val="en-US" w:eastAsia="zh-CN" w:bidi="ar"/>
        </w:rPr>
        <w:t>按照采购人的要求，提交项目成果及报告，并通过采购人项目验收。</w:t>
      </w:r>
    </w:p>
    <w:p>
      <w:pPr>
        <w:keepNext w:val="0"/>
        <w:keepLines w:val="0"/>
        <w:widowControl/>
        <w:suppressLineNumbers w:val="0"/>
        <w:spacing w:line="480" w:lineRule="auto"/>
        <w:jc w:val="left"/>
        <w:rPr>
          <w:rFonts w:hint="eastAsia" w:ascii="宋体" w:hAnsi="宋体" w:eastAsia="宋体" w:cs="宋体"/>
          <w:color w:val="auto"/>
          <w:sz w:val="24"/>
          <w:szCs w:val="24"/>
          <w:highlight w:val="none"/>
        </w:rPr>
      </w:pPr>
    </w:p>
    <w:p>
      <w:pPr>
        <w:keepNext w:val="0"/>
        <w:keepLines w:val="0"/>
        <w:widowControl/>
        <w:suppressLineNumbers w:val="0"/>
        <w:spacing w:line="480" w:lineRule="auto"/>
        <w:jc w:val="left"/>
        <w:rPr>
          <w:rFonts w:hint="eastAsia" w:ascii="宋体" w:hAnsi="宋体" w:eastAsia="宋体" w:cs="宋体"/>
          <w:color w:val="auto"/>
          <w:sz w:val="24"/>
          <w:szCs w:val="24"/>
          <w:highlight w:val="none"/>
        </w:rPr>
      </w:pPr>
    </w:p>
    <w:p>
      <w:pPr>
        <w:pStyle w:val="26"/>
        <w:spacing w:line="360" w:lineRule="auto"/>
        <w:rPr>
          <w:rFonts w:ascii="宋体" w:hAnsi="宋体" w:eastAsia="宋体" w:cs="宋体"/>
          <w:color w:val="auto"/>
          <w:highlight w:val="none"/>
        </w:rPr>
      </w:pPr>
    </w:p>
    <w:p>
      <w:pPr>
        <w:rPr>
          <w:rFonts w:asciiTheme="minorEastAsia" w:hAnsiTheme="minorEastAsia"/>
          <w:color w:val="auto"/>
          <w:sz w:val="24"/>
          <w:highlight w:val="none"/>
        </w:rPr>
      </w:pPr>
    </w:p>
    <w:p>
      <w:pPr>
        <w:rPr>
          <w:color w:val="auto"/>
          <w:highlight w:val="none"/>
        </w:rPr>
      </w:pPr>
    </w:p>
    <w:p>
      <w:pPr>
        <w:widowControl/>
        <w:jc w:val="left"/>
        <w:rPr>
          <w:rFonts w:asciiTheme="majorHAnsi" w:hAnsiTheme="majorHAnsi" w:eastAsiaTheme="majorEastAsia" w:cstheme="majorBidi"/>
          <w:b/>
          <w:bCs/>
          <w:color w:val="auto"/>
          <w:sz w:val="32"/>
          <w:szCs w:val="32"/>
          <w:highlight w:val="none"/>
        </w:rPr>
      </w:pPr>
      <w:r>
        <w:rPr>
          <w:color w:val="auto"/>
          <w:highlight w:val="none"/>
        </w:rPr>
        <w:br w:type="page"/>
      </w:r>
    </w:p>
    <w:p>
      <w:pPr>
        <w:pStyle w:val="26"/>
        <w:ind w:firstLine="420"/>
        <w:rPr>
          <w:rFonts w:ascii="Times New Roman" w:eastAsia="宋体"/>
          <w:color w:val="auto"/>
          <w:sz w:val="21"/>
          <w:highlight w:val="none"/>
        </w:rPr>
      </w:pPr>
    </w:p>
    <w:p>
      <w:pPr>
        <w:numPr>
          <w:ilvl w:val="0"/>
          <w:numId w:val="14"/>
        </w:numPr>
        <w:spacing w:line="360" w:lineRule="auto"/>
        <w:ind w:left="0" w:leftChars="0" w:firstLine="0" w:firstLineChars="0"/>
        <w:jc w:val="center"/>
        <w:outlineLvl w:val="0"/>
        <w:rPr>
          <w:rFonts w:hint="eastAsia" w:ascii="宋体" w:hAnsi="宋体"/>
          <w:b/>
          <w:color w:val="auto"/>
          <w:sz w:val="36"/>
          <w:szCs w:val="36"/>
          <w:highlight w:val="none"/>
        </w:rPr>
      </w:pPr>
      <w:bookmarkStart w:id="788" w:name="_Toc111134031"/>
      <w:bookmarkStart w:id="789" w:name="_Toc1347"/>
      <w:r>
        <w:rPr>
          <w:rFonts w:hint="eastAsia" w:ascii="宋体" w:hAnsi="宋体"/>
          <w:b/>
          <w:color w:val="auto"/>
          <w:sz w:val="36"/>
          <w:szCs w:val="36"/>
          <w:highlight w:val="none"/>
        </w:rPr>
        <w:t xml:space="preserve">  拟签订的合同文本</w:t>
      </w:r>
      <w:bookmarkEnd w:id="788"/>
      <w:bookmarkEnd w:id="789"/>
    </w:p>
    <w:p>
      <w:pPr>
        <w:pStyle w:val="26"/>
        <w:rPr>
          <w:rFonts w:hint="eastAsia"/>
          <w:color w:val="auto"/>
          <w:highlight w:val="none"/>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auto"/>
          <w:kern w:val="2"/>
          <w:sz w:val="48"/>
          <w:szCs w:val="48"/>
          <w:highlight w:val="none"/>
          <w:lang w:val="en-US" w:eastAsia="zh-CN" w:bidi="ar"/>
        </w:rPr>
      </w:pPr>
      <w:r>
        <w:rPr>
          <w:rFonts w:hint="eastAsia" w:ascii="宋体" w:hAnsi="宋体" w:eastAsia="宋体" w:cs="宋体"/>
          <w:b/>
          <w:bCs/>
          <w:color w:val="auto"/>
          <w:kern w:val="2"/>
          <w:sz w:val="48"/>
          <w:szCs w:val="48"/>
          <w:highlight w:val="none"/>
          <w:lang w:val="en-US" w:eastAsia="zh-CN" w:bidi="ar"/>
        </w:rPr>
        <w:t>北京经济技术开发区社会保险保障中心上海沙龙亦城家园中心运营管理服务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auto"/>
          <w:sz w:val="48"/>
          <w:szCs w:val="48"/>
          <w:highlight w:val="none"/>
          <w:lang w:val="en-US"/>
        </w:rPr>
      </w:pPr>
      <w:r>
        <w:rPr>
          <w:rFonts w:hint="eastAsia" w:ascii="宋体" w:hAnsi="宋体" w:eastAsia="宋体" w:cs="宋体"/>
          <w:b/>
          <w:bCs/>
          <w:color w:val="auto"/>
          <w:kern w:val="2"/>
          <w:sz w:val="48"/>
          <w:szCs w:val="48"/>
          <w:highlight w:val="none"/>
          <w:lang w:val="en-US" w:eastAsia="zh-CN" w:bidi="ar"/>
        </w:rPr>
        <w:t>（第3包：公益活动服务）</w:t>
      </w: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auto"/>
          <w:sz w:val="48"/>
          <w:szCs w:val="48"/>
          <w:highlight w:val="none"/>
          <w:lang w:val="en-US"/>
        </w:rPr>
      </w:pPr>
      <w:r>
        <w:rPr>
          <w:rFonts w:hint="eastAsia" w:ascii="宋体" w:hAnsi="宋体" w:eastAsia="宋体" w:cs="宋体"/>
          <w:b/>
          <w:bCs/>
          <w:color w:val="auto"/>
          <w:kern w:val="2"/>
          <w:sz w:val="48"/>
          <w:szCs w:val="48"/>
          <w:highlight w:val="none"/>
          <w:lang w:val="en-US" w:eastAsia="zh-CN" w:bidi="ar"/>
        </w:rPr>
        <w:t>项目采购合同</w:t>
      </w: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right="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80" w:firstLineChars="200"/>
        <w:jc w:val="both"/>
        <w:rPr>
          <w:rFonts w:hint="eastAsia" w:ascii="黑体" w:hAnsi="宋体" w:eastAsia="黑体" w:cs="黑体"/>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firstLine="800" w:firstLineChars="200"/>
        <w:jc w:val="both"/>
        <w:rPr>
          <w:rFonts w:hint="eastAsia" w:ascii="黑体" w:hAnsi="宋体" w:eastAsia="黑体" w:cs="黑体"/>
          <w:color w:val="auto"/>
          <w:sz w:val="40"/>
          <w:szCs w:val="40"/>
          <w:highlight w:val="none"/>
          <w:lang w:val="en-US"/>
        </w:rPr>
      </w:pPr>
    </w:p>
    <w:p>
      <w:pPr>
        <w:keepNext w:val="0"/>
        <w:keepLines w:val="0"/>
        <w:widowControl w:val="0"/>
        <w:suppressLineNumbers w:val="0"/>
        <w:spacing w:before="0" w:beforeAutospacing="0" w:after="0" w:afterAutospacing="0" w:line="576" w:lineRule="exact"/>
        <w:ind w:left="3354" w:leftChars="304" w:right="0" w:hanging="2716" w:hangingChars="849"/>
        <w:jc w:val="both"/>
        <w:rPr>
          <w:rFonts w:hint="eastAsia" w:ascii="宋体" w:hAnsi="宋体" w:eastAsia="宋体" w:cs="宋体"/>
          <w:color w:val="auto"/>
          <w:sz w:val="32"/>
          <w:szCs w:val="32"/>
          <w:highlight w:val="none"/>
          <w:lang w:val="en-US"/>
        </w:rPr>
      </w:pPr>
      <w:r>
        <w:rPr>
          <w:rFonts w:hint="eastAsia" w:ascii="宋体" w:hAnsi="宋体" w:eastAsia="宋体" w:cs="宋体"/>
          <w:color w:val="auto"/>
          <w:kern w:val="2"/>
          <w:sz w:val="32"/>
          <w:szCs w:val="32"/>
          <w:highlight w:val="none"/>
          <w:lang w:val="en-US" w:eastAsia="zh-CN" w:bidi="ar"/>
        </w:rPr>
        <w:t>采购单位（甲方）：</w:t>
      </w:r>
      <w:r>
        <w:rPr>
          <w:rFonts w:hint="eastAsia" w:ascii="宋体" w:hAnsi="宋体" w:eastAsia="宋体" w:cs="宋体"/>
          <w:color w:val="auto"/>
          <w:kern w:val="2"/>
          <w:sz w:val="32"/>
          <w:szCs w:val="32"/>
          <w:highlight w:val="none"/>
          <w:u w:val="single"/>
          <w:lang w:val="en-US" w:eastAsia="zh-CN" w:bidi="ar"/>
        </w:rPr>
        <w:t>北京经济技术开发区社会保险保障中心</w:t>
      </w:r>
    </w:p>
    <w:p>
      <w:pPr>
        <w:keepNext w:val="0"/>
        <w:keepLines w:val="0"/>
        <w:widowControl w:val="0"/>
        <w:suppressLineNumbers w:val="0"/>
        <w:spacing w:before="0" w:beforeAutospacing="0" w:after="0" w:afterAutospacing="0" w:line="576" w:lineRule="exact"/>
        <w:ind w:left="0" w:right="0" w:firstLine="640" w:firstLineChars="200"/>
        <w:jc w:val="both"/>
        <w:rPr>
          <w:rFonts w:hint="eastAsia" w:ascii="宋体" w:hAnsi="宋体" w:eastAsia="宋体" w:cs="宋体"/>
          <w:color w:val="auto"/>
          <w:sz w:val="32"/>
          <w:szCs w:val="32"/>
          <w:highlight w:val="none"/>
          <w:u w:val="single"/>
          <w:lang w:val="en-US"/>
        </w:rPr>
      </w:pPr>
      <w:r>
        <w:rPr>
          <w:rFonts w:hint="eastAsia" w:ascii="宋体" w:hAnsi="宋体" w:eastAsia="宋体" w:cs="宋体"/>
          <w:color w:val="auto"/>
          <w:kern w:val="2"/>
          <w:sz w:val="32"/>
          <w:szCs w:val="32"/>
          <w:highlight w:val="none"/>
          <w:lang w:val="en-US" w:eastAsia="zh-CN" w:bidi="ar"/>
        </w:rPr>
        <w:t>中标单位（乙方）：</w:t>
      </w:r>
      <w:r>
        <w:rPr>
          <w:rFonts w:hint="eastAsia" w:ascii="宋体" w:hAnsi="宋体" w:eastAsia="宋体" w:cs="宋体"/>
          <w:color w:val="auto"/>
          <w:kern w:val="2"/>
          <w:sz w:val="32"/>
          <w:szCs w:val="32"/>
          <w:highlight w:val="none"/>
          <w:u w:val="single"/>
          <w:lang w:val="en-US" w:eastAsia="zh-CN" w:bidi="ar"/>
        </w:rPr>
        <w:t xml:space="preserve">                                  </w:t>
      </w:r>
    </w:p>
    <w:p>
      <w:pPr>
        <w:keepNext w:val="0"/>
        <w:keepLines w:val="0"/>
        <w:widowControl w:val="0"/>
        <w:suppressLineNumbers w:val="0"/>
        <w:spacing w:before="0" w:beforeAutospacing="0" w:after="0" w:afterAutospacing="0" w:line="576" w:lineRule="exact"/>
        <w:ind w:left="0" w:right="0" w:firstLine="720" w:firstLineChars="200"/>
        <w:jc w:val="center"/>
        <w:rPr>
          <w:rFonts w:hint="eastAsia" w:ascii="宋体" w:hAnsi="宋体" w:eastAsia="宋体" w:cs="宋体"/>
          <w:color w:val="auto"/>
          <w:sz w:val="36"/>
          <w:szCs w:val="36"/>
          <w:highlight w:val="none"/>
          <w:lang w:val="en-US"/>
        </w:rPr>
      </w:pPr>
    </w:p>
    <w:p>
      <w:pPr>
        <w:keepNext w:val="0"/>
        <w:keepLines w:val="0"/>
        <w:widowControl w:val="0"/>
        <w:suppressLineNumbers w:val="0"/>
        <w:spacing w:before="0" w:beforeAutospacing="0" w:after="0" w:afterAutospacing="0" w:line="576" w:lineRule="exact"/>
        <w:ind w:left="0" w:right="0" w:firstLine="883" w:firstLineChars="200"/>
        <w:jc w:val="center"/>
        <w:rPr>
          <w:rFonts w:hint="eastAsia" w:ascii="宋体" w:hAnsi="宋体" w:eastAsia="宋体" w:cs="宋体"/>
          <w:b/>
          <w:bCs/>
          <w:color w:val="auto"/>
          <w:sz w:val="44"/>
          <w:szCs w:val="44"/>
          <w:highlight w:val="none"/>
          <w:lang w:val="en-US"/>
        </w:rPr>
      </w:pPr>
    </w:p>
    <w:p>
      <w:pPr>
        <w:pStyle w:val="26"/>
        <w:rPr>
          <w:rFonts w:hint="eastAsia" w:ascii="宋体" w:hAnsi="宋体" w:eastAsia="宋体" w:cs="宋体"/>
          <w:b/>
          <w:bCs/>
          <w:color w:val="auto"/>
          <w:sz w:val="44"/>
          <w:szCs w:val="44"/>
          <w:highlight w:val="none"/>
          <w:lang w:val="en-US"/>
        </w:rPr>
      </w:pPr>
    </w:p>
    <w:p>
      <w:pPr>
        <w:pStyle w:val="26"/>
        <w:rPr>
          <w:rFonts w:hint="eastAsia" w:ascii="宋体" w:hAnsi="宋体" w:eastAsia="宋体" w:cs="宋体"/>
          <w:b/>
          <w:bCs/>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jc w:val="both"/>
        <w:rPr>
          <w:rFonts w:hint="eastAsia" w:ascii="宋体" w:hAnsi="宋体" w:eastAsia="宋体" w:cs="宋体"/>
          <w:b/>
          <w:bCs/>
          <w:color w:val="auto"/>
          <w:sz w:val="44"/>
          <w:szCs w:val="44"/>
          <w:highlight w:val="none"/>
          <w:lang w:val="en-US"/>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auto"/>
          <w:kern w:val="2"/>
          <w:sz w:val="44"/>
          <w:szCs w:val="44"/>
          <w:highlight w:val="none"/>
          <w:lang w:val="en-US" w:eastAsia="zh-CN" w:bidi="ar"/>
        </w:rPr>
      </w:pPr>
    </w:p>
    <w:p>
      <w:pPr>
        <w:keepNext w:val="0"/>
        <w:keepLines w:val="0"/>
        <w:widowControl w:val="0"/>
        <w:suppressLineNumbers w:val="0"/>
        <w:spacing w:before="0" w:beforeAutospacing="0" w:after="0" w:afterAutospacing="0" w:line="576" w:lineRule="exact"/>
        <w:ind w:left="0" w:right="0"/>
        <w:jc w:val="center"/>
        <w:rPr>
          <w:rFonts w:hint="eastAsia" w:ascii="宋体" w:hAnsi="宋体" w:eastAsia="宋体" w:cs="宋体"/>
          <w:b/>
          <w:bCs/>
          <w:color w:val="auto"/>
          <w:sz w:val="44"/>
          <w:szCs w:val="44"/>
          <w:highlight w:val="none"/>
          <w:lang w:val="en-US"/>
        </w:rPr>
      </w:pPr>
      <w:r>
        <w:rPr>
          <w:rFonts w:hint="eastAsia" w:ascii="宋体" w:hAnsi="宋体" w:eastAsia="宋体" w:cs="宋体"/>
          <w:b/>
          <w:bCs/>
          <w:color w:val="auto"/>
          <w:kern w:val="2"/>
          <w:sz w:val="44"/>
          <w:szCs w:val="44"/>
          <w:highlight w:val="none"/>
          <w:lang w:val="en-US" w:eastAsia="zh-CN" w:bidi="ar"/>
        </w:rPr>
        <w:t>北京经济技术开发区社会保险保障中心</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auto"/>
          <w:kern w:val="2"/>
          <w:sz w:val="44"/>
          <w:szCs w:val="44"/>
          <w:highlight w:val="none"/>
          <w:lang w:val="en-US" w:eastAsia="zh-CN" w:bidi="ar"/>
        </w:rPr>
      </w:pPr>
      <w:r>
        <w:rPr>
          <w:rFonts w:hint="eastAsia" w:ascii="宋体" w:hAnsi="宋体" w:eastAsia="宋体" w:cs="宋体"/>
          <w:b/>
          <w:bCs/>
          <w:color w:val="auto"/>
          <w:kern w:val="2"/>
          <w:sz w:val="44"/>
          <w:szCs w:val="44"/>
          <w:highlight w:val="none"/>
          <w:lang w:val="en-US" w:eastAsia="zh-CN" w:bidi="ar"/>
        </w:rPr>
        <w:t>上海沙龙亦城家园中心运营管理服务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auto"/>
          <w:sz w:val="44"/>
          <w:szCs w:val="44"/>
          <w:highlight w:val="none"/>
          <w:lang w:val="en-US"/>
        </w:rPr>
      </w:pPr>
      <w:r>
        <w:rPr>
          <w:rFonts w:hint="eastAsia" w:ascii="宋体" w:hAnsi="宋体" w:eastAsia="宋体" w:cs="宋体"/>
          <w:b/>
          <w:bCs/>
          <w:color w:val="auto"/>
          <w:kern w:val="2"/>
          <w:sz w:val="44"/>
          <w:szCs w:val="44"/>
          <w:highlight w:val="none"/>
          <w:lang w:val="en-US" w:eastAsia="zh-CN" w:bidi="ar"/>
        </w:rPr>
        <w:t>（第3包：公益活动服务）</w:t>
      </w:r>
    </w:p>
    <w:p>
      <w:pPr>
        <w:keepNext w:val="0"/>
        <w:keepLines w:val="0"/>
        <w:widowControl w:val="0"/>
        <w:suppressLineNumbers w:val="0"/>
        <w:spacing w:before="0" w:beforeAutospacing="0" w:after="0" w:afterAutospacing="0" w:line="576" w:lineRule="exact"/>
        <w:ind w:right="0"/>
        <w:jc w:val="center"/>
        <w:rPr>
          <w:rFonts w:hint="eastAsia" w:ascii="宋体" w:hAnsi="宋体" w:eastAsia="宋体" w:cs="宋体"/>
          <w:b/>
          <w:bCs/>
          <w:color w:val="auto"/>
          <w:sz w:val="44"/>
          <w:szCs w:val="44"/>
          <w:highlight w:val="none"/>
          <w:lang w:val="en-US"/>
        </w:rPr>
      </w:pPr>
      <w:r>
        <w:rPr>
          <w:rFonts w:hint="eastAsia" w:ascii="宋体" w:hAnsi="宋体" w:eastAsia="宋体" w:cs="宋体"/>
          <w:b/>
          <w:bCs/>
          <w:color w:val="auto"/>
          <w:kern w:val="2"/>
          <w:sz w:val="44"/>
          <w:szCs w:val="44"/>
          <w:highlight w:val="none"/>
          <w:lang w:val="en-US" w:eastAsia="zh-CN" w:bidi="ar"/>
        </w:rPr>
        <w:t>项目采购合同</w:t>
      </w:r>
    </w:p>
    <w:p>
      <w:pPr>
        <w:keepNext w:val="0"/>
        <w:keepLines w:val="0"/>
        <w:widowControl w:val="0"/>
        <w:suppressLineNumbers w:val="0"/>
        <w:spacing w:before="0" w:beforeAutospacing="0" w:after="0" w:afterAutospacing="0" w:line="576" w:lineRule="exact"/>
        <w:ind w:left="0" w:right="0" w:firstLine="800" w:firstLineChars="200"/>
        <w:jc w:val="both"/>
        <w:rPr>
          <w:rFonts w:hint="default" w:ascii="Times New Roman" w:hAnsi="Times New Roman" w:cs="Times New Roman"/>
          <w:color w:val="auto"/>
          <w:sz w:val="40"/>
          <w:szCs w:val="44"/>
          <w:highlight w:val="none"/>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color w:val="auto"/>
          <w:highlight w:val="none"/>
          <w:lang w:val="en-US"/>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采购单位（甲方）：北京经济技术开发区社会保险保障中心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负</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责</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人：</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地</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联</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系</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人：</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电</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话：</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中标单位（乙方）：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负</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责</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人：</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地</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址：</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电</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话：</w:t>
      </w:r>
      <w:r>
        <w:rPr>
          <w:rFonts w:hint="default" w:ascii="Times New Roman" w:hAnsi="Times New Roman" w:eastAsia="宋体" w:cs="Times New Roman"/>
          <w:color w:val="auto"/>
          <w:kern w:val="2"/>
          <w:sz w:val="24"/>
          <w:szCs w:val="24"/>
          <w:highlight w:val="non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宋体" w:eastAsia="宋体" w:cs="宋体"/>
          <w:color w:val="auto"/>
          <w:sz w:val="24"/>
          <w:szCs w:val="24"/>
          <w:highlight w:val="none"/>
          <w:lang w:val="en-US"/>
        </w:rPr>
      </w:pPr>
      <w:r>
        <w:rPr>
          <w:rFonts w:hint="eastAsia" w:ascii="宋体" w:hAnsi="宋体" w:eastAsia="宋体" w:cs="宋体"/>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北京经济技术开发区社会保险保障中心</w:t>
      </w:r>
      <w:r>
        <w:rPr>
          <w:rFonts w:hint="eastAsia" w:ascii="宋体" w:hAnsi="宋体" w:eastAsia="宋体" w:cs="宋体"/>
          <w:color w:val="auto"/>
          <w:kern w:val="2"/>
          <w:sz w:val="24"/>
          <w:szCs w:val="24"/>
          <w:highlight w:val="none"/>
          <w:u w:val="single"/>
          <w:lang w:val="en-US" w:eastAsia="zh-CN" w:bidi="ar"/>
        </w:rPr>
        <w:t xml:space="preserve"> </w:t>
      </w:r>
      <w:r>
        <w:rPr>
          <w:rFonts w:hint="eastAsia" w:ascii="宋体" w:hAnsi="宋体" w:eastAsia="宋体" w:cs="宋体"/>
          <w:color w:val="auto"/>
          <w:kern w:val="2"/>
          <w:sz w:val="24"/>
          <w:szCs w:val="24"/>
          <w:highlight w:val="none"/>
          <w:lang w:val="en-US" w:eastAsia="zh-CN" w:bidi="ar"/>
        </w:rPr>
        <w:t>委托的</w:t>
      </w:r>
      <w:r>
        <w:rPr>
          <w:rFonts w:hint="eastAsia" w:ascii="宋体" w:hAnsi="宋体" w:eastAsia="宋体" w:cs="宋体"/>
          <w:color w:val="auto"/>
          <w:kern w:val="2"/>
          <w:sz w:val="24"/>
          <w:szCs w:val="24"/>
          <w:highlight w:val="none"/>
          <w:u w:val="single"/>
          <w:lang w:val="en-US" w:eastAsia="zh-CN" w:bidi="ar"/>
        </w:rPr>
        <w:t xml:space="preserve">  上海沙龙亦城家园中心运营管理服务（第3包：公益活动服务） </w:t>
      </w:r>
      <w:r>
        <w:rPr>
          <w:rFonts w:hint="eastAsia" w:ascii="宋体" w:hAnsi="宋体" w:eastAsia="宋体" w:cs="宋体"/>
          <w:color w:val="auto"/>
          <w:kern w:val="2"/>
          <w:sz w:val="24"/>
          <w:szCs w:val="24"/>
          <w:highlight w:val="none"/>
          <w:lang w:val="en-US" w:eastAsia="zh-CN" w:bidi="ar"/>
        </w:rPr>
        <w:t>经</w:t>
      </w:r>
      <w:r>
        <w:rPr>
          <w:rFonts w:hint="eastAsia" w:ascii="宋体" w:hAnsi="宋体" w:eastAsia="宋体" w:cs="宋体"/>
          <w:color w:val="auto"/>
          <w:kern w:val="2"/>
          <w:sz w:val="24"/>
          <w:szCs w:val="24"/>
          <w:highlight w:val="none"/>
          <w:u w:val="single"/>
          <w:lang w:val="en-US" w:eastAsia="zh-CN" w:bidi="ar"/>
        </w:rPr>
        <w:t xml:space="preserve"> 中承国汇咨询（北京）有限公司   </w:t>
      </w:r>
      <w:r>
        <w:rPr>
          <w:rFonts w:hint="eastAsia" w:ascii="宋体" w:hAnsi="宋体" w:eastAsia="宋体" w:cs="宋体"/>
          <w:color w:val="auto"/>
          <w:kern w:val="2"/>
          <w:sz w:val="24"/>
          <w:szCs w:val="24"/>
          <w:highlight w:val="none"/>
          <w:lang w:val="en-US" w:eastAsia="zh-CN" w:bidi="ar"/>
        </w:rPr>
        <w:t>以</w:t>
      </w:r>
      <w:r>
        <w:rPr>
          <w:rFonts w:hint="eastAsia" w:ascii="宋体" w:hAnsi="宋体" w:eastAsia="宋体" w:cs="宋体"/>
          <w:color w:val="auto"/>
          <w:kern w:val="2"/>
          <w:sz w:val="24"/>
          <w:szCs w:val="24"/>
          <w:highlight w:val="none"/>
          <w:u w:val="single"/>
          <w:lang w:val="en-US" w:eastAsia="zh-CN" w:bidi="ar"/>
        </w:rPr>
        <w:t xml:space="preserve">      </w:t>
      </w:r>
      <w:r>
        <w:rPr>
          <w:rFonts w:hint="eastAsia" w:ascii="宋体" w:hAnsi="宋体" w:eastAsia="宋体" w:cs="宋体"/>
          <w:color w:val="auto"/>
          <w:kern w:val="2"/>
          <w:sz w:val="24"/>
          <w:szCs w:val="24"/>
          <w:highlight w:val="none"/>
          <w:lang w:val="en-US" w:eastAsia="zh-CN" w:bidi="ar"/>
        </w:rPr>
        <w:t>号（招标项目编号）招标文件在国内进行公开招标。经评标委员会评定</w:t>
      </w:r>
      <w:r>
        <w:rPr>
          <w:rFonts w:hint="eastAsia" w:ascii="宋体" w:hAnsi="宋体" w:eastAsia="宋体" w:cs="宋体"/>
          <w:color w:val="auto"/>
          <w:kern w:val="2"/>
          <w:sz w:val="24"/>
          <w:szCs w:val="24"/>
          <w:highlight w:val="none"/>
          <w:u w:val="single"/>
          <w:lang w:val="en-US" w:eastAsia="zh-CN" w:bidi="ar"/>
        </w:rPr>
        <w:t xml:space="preserve">                      (乙方)   </w:t>
      </w:r>
      <w:r>
        <w:rPr>
          <w:rFonts w:hint="eastAsia" w:ascii="宋体" w:hAnsi="宋体" w:eastAsia="宋体" w:cs="宋体"/>
          <w:color w:val="auto"/>
          <w:kern w:val="2"/>
          <w:sz w:val="24"/>
          <w:szCs w:val="24"/>
          <w:highlight w:val="none"/>
          <w:lang w:val="en-US" w:eastAsia="zh-CN" w:bidi="ar"/>
        </w:rPr>
        <w:t>为中标人。甲、乙双方依据《中华人民共和国政府采购法》《中华人民共和国民法典》《中华人民共和国政府采购法实施条例》，在平等自愿的基础上，同意按照下面的条款和条件，签署本合同。</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auto"/>
          <w:highlight w:val="none"/>
          <w:lang w:val="en-US"/>
        </w:rPr>
      </w:pP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第一章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服务内容及合同期限</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第一条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乙方应按本合同约定及甲方要求提供如下服务：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u w:val="singl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u w:val="single"/>
          <w:lang w:val="en-US" w:eastAsia="zh-CN" w:bidi="ar"/>
        </w:rPr>
        <w:t xml:space="preserve">                                                       </w:t>
      </w:r>
    </w:p>
    <w:p>
      <w:pPr>
        <w:pStyle w:val="39"/>
        <w:keepNext w:val="0"/>
        <w:keepLines w:val="0"/>
        <w:widowControl w:val="0"/>
        <w:suppressLineNumbers w:val="0"/>
        <w:spacing w:before="0" w:beforeAutospacing="0" w:after="0" w:afterAutospacing="0" w:line="576" w:lineRule="exact"/>
        <w:ind w:left="0" w:right="0" w:firstLine="480" w:firstLineChars="200"/>
        <w:jc w:val="both"/>
        <w:rPr>
          <w:color w:val="auto"/>
          <w:highlight w:val="none"/>
          <w:lang w:val="en-US"/>
        </w:rPr>
      </w:pPr>
      <w:r>
        <w:rPr>
          <w:rFonts w:hint="default" w:ascii="Times New Roman" w:hAnsi="Times New Roman" w:eastAsia="宋体" w:cs="Times New Roman"/>
          <w:color w:val="auto"/>
          <w:kern w:val="2"/>
          <w:sz w:val="24"/>
          <w:szCs w:val="24"/>
          <w:highlight w:val="none"/>
          <w:u w:val="single"/>
          <w:lang w:val="en-US" w:eastAsia="zh-CN" w:bidi="ar"/>
        </w:rPr>
        <w:t xml:space="preserve">                                                       </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服务期限为</w:t>
      </w:r>
      <w:r>
        <w:rPr>
          <w:rFonts w:hint="eastAsia" w:ascii="Times New Roman" w:hAnsi="Times New Roman" w:eastAsia="宋体" w:cs="宋体"/>
          <w:color w:val="auto"/>
          <w:kern w:val="2"/>
          <w:sz w:val="24"/>
          <w:szCs w:val="24"/>
          <w:highlight w:val="none"/>
          <w:u w:val="single"/>
          <w:lang w:val="en-US" w:eastAsia="zh-CN" w:bidi="ar"/>
        </w:rPr>
        <w:t>自合同签订之日起</w:t>
      </w:r>
      <w:r>
        <w:rPr>
          <w:rFonts w:hint="eastAsia" w:ascii="Times New Roman" w:hAnsi="Times New Roman" w:eastAsia="宋体" w:cs="宋体"/>
          <w:color w:val="auto"/>
          <w:kern w:val="2"/>
          <w:sz w:val="24"/>
          <w:szCs w:val="24"/>
          <w:highlight w:val="none"/>
          <w:lang w:val="en-US" w:eastAsia="zh-CN" w:bidi="ar"/>
        </w:rPr>
        <w:t>至</w:t>
      </w:r>
      <w:r>
        <w:rPr>
          <w:rFonts w:hint="default" w:ascii="Times New Roman" w:hAnsi="Times New Roman" w:eastAsia="宋体" w:cs="Times New Roman"/>
          <w:color w:val="auto"/>
          <w:kern w:val="2"/>
          <w:sz w:val="24"/>
          <w:szCs w:val="24"/>
          <w:highlight w:val="none"/>
          <w:u w:val="single"/>
          <w:lang w:val="en-US" w:eastAsia="zh-CN" w:bidi="ar"/>
        </w:rPr>
        <w:t xml:space="preserve"> 2024  </w:t>
      </w:r>
      <w:r>
        <w:rPr>
          <w:rFonts w:hint="eastAsia" w:ascii="Times New Roman" w:hAnsi="Times New Roman" w:eastAsia="宋体" w:cs="宋体"/>
          <w:color w:val="auto"/>
          <w:kern w:val="2"/>
          <w:sz w:val="24"/>
          <w:szCs w:val="24"/>
          <w:highlight w:val="none"/>
          <w:lang w:val="en-US" w:eastAsia="zh-CN" w:bidi="ar"/>
        </w:rPr>
        <w:t>年</w:t>
      </w:r>
      <w:r>
        <w:rPr>
          <w:rFonts w:hint="default" w:ascii="Times New Roman" w:hAnsi="Times New Roman" w:eastAsia="宋体" w:cs="Times New Roman"/>
          <w:color w:val="auto"/>
          <w:kern w:val="2"/>
          <w:sz w:val="24"/>
          <w:szCs w:val="24"/>
          <w:highlight w:val="none"/>
          <w:u w:val="single"/>
          <w:lang w:val="en-US" w:eastAsia="zh-CN" w:bidi="ar"/>
        </w:rPr>
        <w:t xml:space="preserve"> 12 </w:t>
      </w:r>
      <w:r>
        <w:rPr>
          <w:rFonts w:hint="eastAsia" w:ascii="Times New Roman" w:hAnsi="Times New Roman" w:eastAsia="宋体" w:cs="宋体"/>
          <w:color w:val="auto"/>
          <w:kern w:val="2"/>
          <w:sz w:val="24"/>
          <w:szCs w:val="24"/>
          <w:highlight w:val="none"/>
          <w:lang w:val="en-US" w:eastAsia="zh-CN" w:bidi="ar"/>
        </w:rPr>
        <w:t>月</w:t>
      </w:r>
      <w:r>
        <w:rPr>
          <w:rFonts w:hint="default" w:ascii="Times New Roman" w:hAnsi="Times New Roman" w:eastAsia="宋体" w:cs="Times New Roman"/>
          <w:color w:val="auto"/>
          <w:kern w:val="2"/>
          <w:sz w:val="24"/>
          <w:szCs w:val="24"/>
          <w:highlight w:val="none"/>
          <w:u w:val="single"/>
          <w:lang w:val="en-US" w:eastAsia="zh-CN" w:bidi="ar"/>
        </w:rPr>
        <w:t xml:space="preserve"> 31 </w:t>
      </w:r>
      <w:r>
        <w:rPr>
          <w:rFonts w:hint="eastAsia" w:ascii="Times New Roman" w:hAnsi="Times New Roman" w:eastAsia="宋体" w:cs="宋体"/>
          <w:color w:val="auto"/>
          <w:kern w:val="2"/>
          <w:sz w:val="24"/>
          <w:szCs w:val="24"/>
          <w:highlight w:val="none"/>
          <w:lang w:val="en-US" w:eastAsia="zh-CN" w:bidi="ar"/>
        </w:rPr>
        <w:t>日。</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此服务期限为计划时间，乙方应在满足服务要求情况下根据甲方的要求调整服务期限。</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第二章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服务要求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第三条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乙方按照北京经济技术开发区社会保险保障中心【上海沙龙亦城家园中心运营管理服务（第</w:t>
      </w:r>
      <w:r>
        <w:rPr>
          <w:rFonts w:hint="default" w:ascii="Times New Roman" w:hAnsi="Times New Roman" w:eastAsia="宋体" w:cs="Times New Roman"/>
          <w:color w:val="auto"/>
          <w:kern w:val="2"/>
          <w:sz w:val="24"/>
          <w:szCs w:val="24"/>
          <w:highlight w:val="none"/>
          <w:lang w:val="en-US" w:eastAsia="zh-CN" w:bidi="ar"/>
        </w:rPr>
        <w:t>3</w:t>
      </w:r>
      <w:r>
        <w:rPr>
          <w:rFonts w:hint="eastAsia" w:ascii="Times New Roman" w:hAnsi="Times New Roman" w:eastAsia="宋体" w:cs="宋体"/>
          <w:color w:val="auto"/>
          <w:kern w:val="2"/>
          <w:sz w:val="24"/>
          <w:szCs w:val="24"/>
          <w:highlight w:val="none"/>
          <w:lang w:val="en-US" w:eastAsia="zh-CN" w:bidi="ar"/>
        </w:rPr>
        <w:t>包：公益活动服务）】项目的要求和甲方的实际需求提供以下服务：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lang w:val="en-US" w:eastAsia="zh-CN" w:bidi="ar"/>
        </w:rPr>
        <w:t>1.</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2.</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3.</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lang w:val="en-US" w:eastAsia="zh-CN" w:bidi="ar"/>
        </w:rPr>
        <w:t>4.</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第四条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对乙方服务规范的要求</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lang w:val="en-US" w:eastAsia="zh-CN" w:bidi="ar"/>
        </w:rPr>
        <w:t>1.</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2.</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3.</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u w:val="single"/>
          <w:lang w:val="en-US"/>
        </w:rPr>
      </w:pPr>
      <w:r>
        <w:rPr>
          <w:rFonts w:hint="default" w:ascii="Times New Roman" w:hAnsi="Times New Roman" w:eastAsia="宋体" w:cs="Times New Roman"/>
          <w:color w:val="auto"/>
          <w:kern w:val="2"/>
          <w:sz w:val="24"/>
          <w:szCs w:val="24"/>
          <w:highlight w:val="none"/>
          <w:lang w:val="en-US" w:eastAsia="zh-CN" w:bidi="ar"/>
        </w:rPr>
        <w:t>4.</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u w:val="singl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第三章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双方权利义务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第五条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甲方的权利与义务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1.</w:t>
      </w:r>
      <w:r>
        <w:rPr>
          <w:rFonts w:hint="eastAsia" w:ascii="Times New Roman" w:hAnsi="Times New Roman" w:eastAsia="宋体" w:cs="宋体"/>
          <w:color w:val="auto"/>
          <w:kern w:val="2"/>
          <w:sz w:val="24"/>
          <w:szCs w:val="24"/>
          <w:highlight w:val="none"/>
          <w:lang w:val="en-US" w:eastAsia="zh-CN" w:bidi="ar"/>
        </w:rPr>
        <w:t>甲方有权对乙方就服务项目所做工作进行监督检查，并要求乙方调整修改。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2.</w:t>
      </w:r>
      <w:r>
        <w:rPr>
          <w:rFonts w:hint="eastAsia" w:ascii="Times New Roman" w:hAnsi="Times New Roman" w:eastAsia="宋体" w:cs="宋体"/>
          <w:color w:val="auto"/>
          <w:kern w:val="2"/>
          <w:sz w:val="24"/>
          <w:szCs w:val="24"/>
          <w:highlight w:val="none"/>
          <w:lang w:val="en-US" w:eastAsia="zh-CN" w:bidi="ar"/>
        </w:rPr>
        <w:t>甲方应严格按照本合同约定的期限和方式支付服务费用。</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3.</w:t>
      </w:r>
      <w:r>
        <w:rPr>
          <w:rFonts w:hint="eastAsia" w:ascii="Times New Roman" w:hAnsi="Times New Roman" w:eastAsia="宋体" w:cs="宋体"/>
          <w:color w:val="auto"/>
          <w:kern w:val="2"/>
          <w:sz w:val="24"/>
          <w:szCs w:val="24"/>
          <w:highlight w:val="none"/>
          <w:lang w:val="en-US" w:eastAsia="zh-CN" w:bidi="ar"/>
        </w:rPr>
        <w:t>合同生效后，甲方应配置相关人员配合乙方开展工作，涉及与入驻单位沟通的，甲方应给予充分的配合与协调。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4.</w:t>
      </w:r>
      <w:r>
        <w:rPr>
          <w:rFonts w:hint="eastAsia" w:ascii="Times New Roman" w:hAnsi="Times New Roman" w:eastAsia="宋体" w:cs="宋体"/>
          <w:color w:val="auto"/>
          <w:kern w:val="2"/>
          <w:sz w:val="24"/>
          <w:szCs w:val="24"/>
          <w:highlight w:val="none"/>
          <w:lang w:val="en-US" w:eastAsia="zh-CN" w:bidi="ar"/>
        </w:rPr>
        <w:t>对乙方提交的工作成果及时进行验收，提出整改意见。</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第六条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乙方的权利与义务</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1.</w:t>
      </w:r>
      <w:r>
        <w:rPr>
          <w:rFonts w:hint="eastAsia" w:ascii="Times New Roman" w:hAnsi="Times New Roman" w:eastAsia="宋体" w:cs="宋体"/>
          <w:color w:val="auto"/>
          <w:kern w:val="2"/>
          <w:sz w:val="24"/>
          <w:szCs w:val="24"/>
          <w:highlight w:val="none"/>
          <w:lang w:val="en-US" w:eastAsia="zh-CN" w:bidi="ar"/>
        </w:rPr>
        <w:t>乙方应按照本合同约定服务进度、标准向甲方提供服务，并对服务成果的质量负责，保证其合法性、真实性、准确性。</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2.</w:t>
      </w:r>
      <w:r>
        <w:rPr>
          <w:rFonts w:hint="eastAsia" w:ascii="Times New Roman" w:hAnsi="Times New Roman" w:eastAsia="宋体" w:cs="宋体"/>
          <w:color w:val="auto"/>
          <w:kern w:val="2"/>
          <w:sz w:val="24"/>
          <w:szCs w:val="24"/>
          <w:highlight w:val="none"/>
          <w:lang w:val="en-US" w:eastAsia="zh-CN" w:bidi="ar"/>
        </w:rPr>
        <w:t>乙方应严格按照合同约定服务事项完成相应服务。甲方有权不定期地对乙方工作进行检查，乙方应接受甲方的监督检查。如果发现乙方在项目执行过程中未按合同要求标准执行的，甲方有权提出整改要求，乙方应无条件调整修改，保证服务成果最终通过甲方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highlight w:val="none"/>
          <w:lang w:val="en-US" w:eastAsia="zh-CN" w:bidi="ar"/>
        </w:rPr>
      </w:pPr>
      <w:r>
        <w:rPr>
          <w:rFonts w:hint="default" w:ascii="Times New Roman" w:hAnsi="Times New Roman" w:eastAsia="宋体" w:cs="Times New Roman"/>
          <w:color w:val="auto"/>
          <w:kern w:val="2"/>
          <w:sz w:val="24"/>
          <w:szCs w:val="24"/>
          <w:highlight w:val="none"/>
          <w:lang w:val="en-US" w:eastAsia="zh-CN" w:bidi="ar"/>
        </w:rPr>
        <w:t>3.</w:t>
      </w:r>
      <w:r>
        <w:rPr>
          <w:rFonts w:hint="eastAsia" w:ascii="Times New Roman" w:hAnsi="Times New Roman" w:eastAsia="宋体" w:cs="宋体"/>
          <w:color w:val="auto"/>
          <w:kern w:val="2"/>
          <w:sz w:val="24"/>
          <w:szCs w:val="24"/>
          <w:highlight w:val="none"/>
          <w:lang w:val="en-US" w:eastAsia="zh-CN" w:bidi="ar"/>
        </w:rPr>
        <w:t>本合同履行过程中，如乙方遇到不可抗力无法按期提供服务时，应及时以书面形式告知甲方。甲方在收到乙方书面告知后，应对相关情况进行评估。经甲方确定可延期的情况下，应通过签订补充协议的方式由甲、乙双方认可，否则乙方仍应按本合同约定内容执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color w:val="auto"/>
          <w:highlight w:val="none"/>
          <w:lang w:val="en-US"/>
        </w:rPr>
      </w:pPr>
      <w:r>
        <w:rPr>
          <w:rFonts w:hint="eastAsia" w:cs="Times New Roman"/>
          <w:color w:val="auto"/>
          <w:kern w:val="2"/>
          <w:sz w:val="24"/>
          <w:szCs w:val="24"/>
          <w:highlight w:val="none"/>
          <w:lang w:val="en-US" w:eastAsia="zh-CN" w:bidi="ar"/>
        </w:rPr>
        <w:t>4</w:t>
      </w:r>
      <w:r>
        <w:rPr>
          <w:rFonts w:hint="default" w:ascii="Times New Roman" w:hAnsi="Times New Roman" w:eastAsia="宋体" w:cs="Times New Roman"/>
          <w:color w:val="auto"/>
          <w:kern w:val="2"/>
          <w:sz w:val="24"/>
          <w:szCs w:val="24"/>
          <w:highlight w:val="none"/>
          <w:lang w:val="en-US" w:eastAsia="zh-CN" w:bidi="ar"/>
        </w:rPr>
        <w:t>.乙方须选派专业人员负责项目实施；根据甲方以及项目的需要配备项目组成员，对项目工作人员进行必要的考核培训和管理；甲方对其选派的工作人员不承担劳动法上的权利义务，包括但不限于工伤等责任。因乙方选派的工作人员造成他人人身、财产损害的，由工作人员本人及乙方承担责任，甲方承担责任后有权向乙方追偿。如甲方认为乙方选派工作人员不符合要求的，甲方有权要求乙方更换，乙方应及时无条件更换。</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cs="Times New Roman"/>
          <w:color w:val="auto"/>
          <w:kern w:val="2"/>
          <w:sz w:val="24"/>
          <w:szCs w:val="24"/>
          <w:highlight w:val="none"/>
          <w:lang w:val="en-US" w:eastAsia="zh-CN" w:bidi="ar"/>
        </w:rPr>
        <w:t>5</w:t>
      </w:r>
      <w:r>
        <w:rPr>
          <w:rFonts w:hint="default" w:ascii="Times New Roman" w:hAnsi="Times New Roman" w:eastAsia="宋体" w:cs="Times New Roman"/>
          <w:color w:val="auto"/>
          <w:kern w:val="2"/>
          <w:sz w:val="24"/>
          <w:szCs w:val="24"/>
          <w:highlight w:val="none"/>
          <w:lang w:val="en-US" w:eastAsia="zh-CN" w:bidi="ar"/>
        </w:rPr>
        <w:t>.</w:t>
      </w:r>
      <w:r>
        <w:rPr>
          <w:rFonts w:hint="eastAsia" w:ascii="Times New Roman" w:hAnsi="Times New Roman" w:eastAsia="宋体" w:cs="宋体"/>
          <w:color w:val="auto"/>
          <w:kern w:val="2"/>
          <w:sz w:val="24"/>
          <w:szCs w:val="24"/>
          <w:highlight w:val="none"/>
          <w:lang w:val="en-US" w:eastAsia="zh-CN" w:bidi="ar"/>
        </w:rPr>
        <w:t>乙方提供服务过程中，因乙方原因给甲方或任何第三人造成人身或财产损失的，乙方应承担全部赔偿责任。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cs="Times New Roman"/>
          <w:color w:val="auto"/>
          <w:kern w:val="2"/>
          <w:sz w:val="24"/>
          <w:szCs w:val="24"/>
          <w:highlight w:val="none"/>
          <w:lang w:val="en-US" w:eastAsia="zh-CN" w:bidi="ar"/>
        </w:rPr>
        <w:t>6</w:t>
      </w:r>
      <w:r>
        <w:rPr>
          <w:rFonts w:hint="default" w:ascii="Times New Roman" w:hAnsi="Times New Roman" w:eastAsia="宋体" w:cs="Times New Roman"/>
          <w:color w:val="auto"/>
          <w:kern w:val="2"/>
          <w:sz w:val="24"/>
          <w:szCs w:val="24"/>
          <w:highlight w:val="none"/>
          <w:lang w:val="en-US" w:eastAsia="zh-CN" w:bidi="ar"/>
        </w:rPr>
        <w:t>.</w:t>
      </w:r>
      <w:r>
        <w:rPr>
          <w:rFonts w:hint="eastAsia" w:ascii="Times New Roman" w:hAnsi="Times New Roman" w:eastAsia="宋体" w:cs="宋体"/>
          <w:color w:val="auto"/>
          <w:kern w:val="2"/>
          <w:sz w:val="24"/>
          <w:szCs w:val="24"/>
          <w:highlight w:val="none"/>
          <w:lang w:val="en-US" w:eastAsia="zh-CN" w:bidi="ar"/>
        </w:rPr>
        <w:t>乙方应根据项目的进展，定期与甲方的相关负责人汇报项目的具体实施状况，并按照甲方要求开展后续工作。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cs="Times New Roman"/>
          <w:color w:val="auto"/>
          <w:kern w:val="2"/>
          <w:sz w:val="24"/>
          <w:szCs w:val="24"/>
          <w:highlight w:val="none"/>
          <w:lang w:val="en-US" w:eastAsia="zh-CN" w:bidi="ar"/>
        </w:rPr>
        <w:t>7</w:t>
      </w:r>
      <w:r>
        <w:rPr>
          <w:rFonts w:hint="default" w:ascii="Times New Roman" w:hAnsi="Times New Roman" w:eastAsia="宋体" w:cs="Times New Roman"/>
          <w:color w:val="auto"/>
          <w:kern w:val="2"/>
          <w:sz w:val="24"/>
          <w:szCs w:val="24"/>
          <w:highlight w:val="none"/>
          <w:lang w:val="en-US" w:eastAsia="zh-CN" w:bidi="ar"/>
        </w:rPr>
        <w:t>.</w:t>
      </w:r>
      <w:r>
        <w:rPr>
          <w:rFonts w:hint="eastAsia" w:ascii="Times New Roman" w:hAnsi="Times New Roman" w:eastAsia="宋体" w:cs="宋体"/>
          <w:color w:val="auto"/>
          <w:kern w:val="2"/>
          <w:sz w:val="24"/>
          <w:szCs w:val="24"/>
          <w:highlight w:val="none"/>
          <w:lang w:val="en-US" w:eastAsia="zh-CN" w:bidi="ar"/>
        </w:rPr>
        <w:t>乙方应配合甲方接受审计审查等相关工作。</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宋体" w:hAnsi="Calibri" w:eastAsia="宋体" w:cs="宋体"/>
          <w:color w:val="auto"/>
          <w:kern w:val="0"/>
          <w:sz w:val="24"/>
          <w:szCs w:val="24"/>
          <w:highlight w:val="none"/>
          <w:lang w:val="en-US"/>
        </w:rPr>
      </w:pPr>
      <w:r>
        <w:rPr>
          <w:rFonts w:hint="eastAsia" w:cs="Times New Roman"/>
          <w:color w:val="auto"/>
          <w:kern w:val="2"/>
          <w:sz w:val="24"/>
          <w:szCs w:val="24"/>
          <w:highlight w:val="none"/>
          <w:lang w:val="en-US" w:eastAsia="zh-CN" w:bidi="ar"/>
        </w:rPr>
        <w:t>8</w:t>
      </w:r>
      <w:r>
        <w:rPr>
          <w:rFonts w:hint="default" w:ascii="Times New Roman" w:hAnsi="Times New Roman" w:eastAsia="宋体" w:cs="Times New Roman"/>
          <w:color w:val="auto"/>
          <w:kern w:val="2"/>
          <w:sz w:val="24"/>
          <w:szCs w:val="24"/>
          <w:highlight w:val="none"/>
          <w:lang w:val="en-US" w:eastAsia="zh-CN" w:bidi="ar"/>
        </w:rPr>
        <w:t>.</w:t>
      </w:r>
      <w:r>
        <w:rPr>
          <w:rFonts w:hint="eastAsia" w:ascii="宋体" w:hAnsi="Calibri" w:eastAsia="宋体" w:cs="宋体"/>
          <w:color w:val="auto"/>
          <w:kern w:val="0"/>
          <w:sz w:val="24"/>
          <w:szCs w:val="24"/>
          <w:highlight w:val="none"/>
          <w:lang w:val="en-US" w:eastAsia="zh-CN" w:bidi="ar"/>
        </w:rPr>
        <w:t>乙方提供的服务成果不侵犯任何第三方合法权益。</w:t>
      </w:r>
    </w:p>
    <w:p>
      <w:pPr>
        <w:pStyle w:val="39"/>
        <w:keepNext w:val="0"/>
        <w:keepLines w:val="0"/>
        <w:widowControl w:val="0"/>
        <w:suppressLineNumbers w:val="0"/>
        <w:snapToGrid w:val="0"/>
        <w:spacing w:before="0" w:beforeAutospacing="0" w:after="0" w:afterAutospacing="0" w:line="576" w:lineRule="exact"/>
        <w:ind w:left="0" w:right="0" w:firstLine="480" w:firstLineChars="200"/>
        <w:jc w:val="both"/>
        <w:rPr>
          <w:rFonts w:hint="eastAsia" w:ascii="Calibri" w:hAnsi="Calibri" w:eastAsia="宋体" w:cs="宋体"/>
          <w:color w:val="auto"/>
          <w:kern w:val="2"/>
          <w:sz w:val="24"/>
          <w:szCs w:val="24"/>
          <w:highlight w:val="none"/>
          <w:lang w:val="en-US" w:eastAsia="zh-CN" w:bidi="ar"/>
        </w:rPr>
      </w:pPr>
      <w:r>
        <w:rPr>
          <w:rFonts w:hint="eastAsia" w:ascii="Calibri" w:hAnsi="Calibri" w:cs="Times New Roman"/>
          <w:color w:val="auto"/>
          <w:kern w:val="2"/>
          <w:sz w:val="24"/>
          <w:szCs w:val="24"/>
          <w:highlight w:val="none"/>
          <w:lang w:val="en-US" w:eastAsia="zh-CN" w:bidi="ar"/>
        </w:rPr>
        <w:t>9</w:t>
      </w:r>
      <w:r>
        <w:rPr>
          <w:rFonts w:hint="default" w:ascii="Calibri" w:hAnsi="Calibri" w:eastAsia="宋体" w:cs="Times New Roman"/>
          <w:color w:val="auto"/>
          <w:kern w:val="2"/>
          <w:sz w:val="24"/>
          <w:szCs w:val="24"/>
          <w:highlight w:val="none"/>
          <w:lang w:val="en-US" w:eastAsia="zh-CN" w:bidi="ar"/>
        </w:rPr>
        <w:t>.</w:t>
      </w:r>
      <w:r>
        <w:rPr>
          <w:rFonts w:hint="eastAsia" w:ascii="Calibri" w:hAnsi="Calibri" w:eastAsia="宋体" w:cs="宋体"/>
          <w:color w:val="auto"/>
          <w:kern w:val="2"/>
          <w:sz w:val="24"/>
          <w:szCs w:val="24"/>
          <w:highlight w:val="none"/>
          <w:lang w:val="en-US" w:eastAsia="zh-CN" w:bidi="ar"/>
        </w:rPr>
        <w:t>合同终止后，乙方应立即返还甲方交付的全部资料，并不得留存任何复制品。</w:t>
      </w:r>
    </w:p>
    <w:p>
      <w:pPr>
        <w:pStyle w:val="39"/>
        <w:keepNext w:val="0"/>
        <w:keepLines w:val="0"/>
        <w:widowControl w:val="0"/>
        <w:suppressLineNumbers w:val="0"/>
        <w:snapToGrid w:val="0"/>
        <w:spacing w:before="0" w:beforeAutospacing="0" w:after="0" w:afterAutospacing="0" w:line="576" w:lineRule="exact"/>
        <w:ind w:left="0" w:right="0" w:firstLine="480" w:firstLineChars="200"/>
        <w:jc w:val="both"/>
        <w:rPr>
          <w:rFonts w:hint="default" w:ascii="Calibri" w:hAnsi="Calibri" w:eastAsia="宋体" w:cs="宋体"/>
          <w:color w:val="auto"/>
          <w:kern w:val="2"/>
          <w:sz w:val="24"/>
          <w:szCs w:val="24"/>
          <w:highlight w:val="none"/>
          <w:lang w:val="en-US" w:eastAsia="zh-CN" w:bidi="ar"/>
        </w:rPr>
      </w:pPr>
      <w:r>
        <w:rPr>
          <w:rFonts w:hint="eastAsia" w:ascii="Calibri" w:hAnsi="Calibri" w:cs="宋体"/>
          <w:color w:val="auto"/>
          <w:kern w:val="2"/>
          <w:sz w:val="24"/>
          <w:szCs w:val="24"/>
          <w:highlight w:val="none"/>
          <w:lang w:val="en-US" w:eastAsia="zh-CN" w:bidi="ar"/>
        </w:rPr>
        <w:t>10.</w:t>
      </w:r>
      <w:r>
        <w:rPr>
          <w:rFonts w:hint="eastAsia" w:ascii="Calibri" w:hAnsi="Calibri" w:eastAsia="宋体" w:cs="宋体"/>
          <w:color w:val="auto"/>
          <w:kern w:val="2"/>
          <w:sz w:val="24"/>
          <w:szCs w:val="24"/>
          <w:highlight w:val="none"/>
          <w:lang w:val="en-US" w:eastAsia="zh-CN" w:bidi="ar"/>
        </w:rPr>
        <w:t>乙方在履行合同过程中，未经甲方书面许可，严禁擅自将项目整体或部分转包或委托给第三方实施</w:t>
      </w:r>
      <w:r>
        <w:rPr>
          <w:rFonts w:hint="eastAsia" w:ascii="Calibri" w:hAnsi="Calibri" w:cs="宋体"/>
          <w:color w:val="auto"/>
          <w:kern w:val="2"/>
          <w:sz w:val="24"/>
          <w:szCs w:val="24"/>
          <w:highlight w:val="non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第四章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知识产权及保密条款</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Times New Roman"/>
          <w:color w:val="auto"/>
          <w:kern w:val="2"/>
          <w:sz w:val="24"/>
          <w:szCs w:val="24"/>
          <w:highlight w:val="none"/>
          <w:lang w:val="en-US" w:eastAsia="zh-CN" w:bidi="ar"/>
        </w:rPr>
      </w:pPr>
      <w:r>
        <w:rPr>
          <w:rFonts w:hint="eastAsia" w:ascii="Times New Roman" w:hAnsi="Times New Roman" w:eastAsia="宋体" w:cs="宋体"/>
          <w:color w:val="auto"/>
          <w:kern w:val="2"/>
          <w:sz w:val="24"/>
          <w:szCs w:val="24"/>
          <w:highlight w:val="none"/>
          <w:lang w:val="en-US" w:eastAsia="zh-CN" w:bidi="ar"/>
        </w:rPr>
        <w:t>第七条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cs="Times New Roman"/>
          <w:color w:val="auto"/>
          <w:kern w:val="2"/>
          <w:sz w:val="24"/>
          <w:szCs w:val="24"/>
          <w:highlight w:val="none"/>
          <w:lang w:val="en-US" w:eastAsia="zh-CN" w:bidi="ar"/>
        </w:rPr>
        <w:t>知识产权</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highlight w:val="none"/>
          <w:lang w:val="en-US" w:eastAsia="zh-CN" w:bidi="ar"/>
        </w:rPr>
      </w:pPr>
      <w:r>
        <w:rPr>
          <w:rFonts w:hint="eastAsia" w:cs="宋体"/>
          <w:color w:val="auto"/>
          <w:kern w:val="2"/>
          <w:sz w:val="24"/>
          <w:szCs w:val="24"/>
          <w:highlight w:val="none"/>
          <w:lang w:val="en-US" w:eastAsia="zh-CN" w:bidi="ar"/>
        </w:rPr>
        <w:t>1.</w:t>
      </w:r>
      <w:r>
        <w:rPr>
          <w:rFonts w:hint="eastAsia" w:ascii="Times New Roman" w:hAnsi="Times New Roman" w:eastAsia="宋体" w:cs="宋体"/>
          <w:color w:val="auto"/>
          <w:kern w:val="2"/>
          <w:sz w:val="24"/>
          <w:szCs w:val="24"/>
          <w:highlight w:val="none"/>
          <w:lang w:val="en-US" w:eastAsia="zh-CN" w:bidi="ar"/>
        </w:rPr>
        <w:t>本项目的服务成果指乙方因履行本合同约定的服务内容而形成的所有阶段性工作成果及相关文件资料，上述服务成果的知识产权（包括但不限于版权、发表权等）归甲方所有。</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highlight w:val="none"/>
          <w:lang w:val="en-US" w:eastAsia="zh-CN" w:bidi="ar"/>
        </w:rPr>
      </w:pPr>
      <w:r>
        <w:rPr>
          <w:rFonts w:hint="eastAsia" w:cs="宋体"/>
          <w:color w:val="auto"/>
          <w:kern w:val="2"/>
          <w:sz w:val="24"/>
          <w:szCs w:val="24"/>
          <w:highlight w:val="none"/>
          <w:lang w:val="en-US" w:eastAsia="zh-CN" w:bidi="ar"/>
        </w:rPr>
        <w:t>2.</w:t>
      </w:r>
      <w:r>
        <w:rPr>
          <w:rFonts w:hint="eastAsia" w:ascii="Times New Roman" w:hAnsi="Times New Roman" w:eastAsia="宋体" w:cs="宋体"/>
          <w:color w:val="auto"/>
          <w:kern w:val="2"/>
          <w:sz w:val="24"/>
          <w:szCs w:val="24"/>
          <w:highlight w:val="none"/>
          <w:lang w:val="en-US" w:eastAsia="zh-CN" w:bidi="ar"/>
        </w:rPr>
        <w:t>乙方应保证其在履行本合同义务的过程中以及提交的工作成果不侵犯任何第三方的权益，如涉及第三人著作权的应依法取得授权许可，保证不存在违反法律规定的情形，否则导致甲方或任何第三方合法权益受到侵犯的，乙方承担全部法律责任并赔偿全部损失。</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第五章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费用及支付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第九条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lang w:val="en-US" w:eastAsia="zh-CN" w:bidi="ar"/>
        </w:rPr>
        <w:t>合同价款：（大写）：</w:t>
      </w:r>
      <w:r>
        <w:rPr>
          <w:rFonts w:hint="eastAsia" w:ascii="宋体" w:hAnsi="宋体" w:eastAsia="宋体" w:cs="宋体"/>
          <w:color w:val="auto"/>
          <w:kern w:val="2"/>
          <w:sz w:val="24"/>
          <w:szCs w:val="24"/>
          <w:highlight w:val="none"/>
          <w:u w:val="single"/>
          <w:lang w:val="en-US" w:eastAsia="zh-CN" w:bidi="ar"/>
        </w:rPr>
        <w:t xml:space="preserve">                </w:t>
      </w:r>
      <w:r>
        <w:rPr>
          <w:rFonts w:hint="eastAsia" w:ascii="宋体" w:hAnsi="宋体" w:eastAsia="宋体" w:cs="宋体"/>
          <w:color w:val="auto"/>
          <w:kern w:val="2"/>
          <w:sz w:val="24"/>
          <w:szCs w:val="24"/>
          <w:highlight w:val="none"/>
          <w:lang w:val="en-US" w:eastAsia="zh-CN" w:bidi="ar"/>
        </w:rPr>
        <w:t xml:space="preserve">   ¥：</w:t>
      </w:r>
      <w:r>
        <w:rPr>
          <w:rFonts w:hint="eastAsia" w:ascii="宋体" w:hAnsi="宋体" w:eastAsia="宋体" w:cs="宋体"/>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。前述费用包括但不限于乙方为履行本合同所发生的</w:t>
      </w:r>
      <w:r>
        <w:rPr>
          <w:rFonts w:hint="eastAsia" w:cs="宋体"/>
          <w:color w:val="auto"/>
          <w:kern w:val="2"/>
          <w:sz w:val="24"/>
          <w:szCs w:val="24"/>
          <w:highlight w:val="none"/>
          <w:lang w:val="en-US" w:eastAsia="zh-CN" w:bidi="ar"/>
        </w:rPr>
        <w:t>设备、</w:t>
      </w:r>
      <w:r>
        <w:rPr>
          <w:rFonts w:hint="eastAsia" w:ascii="Times New Roman" w:hAnsi="Times New Roman" w:eastAsia="宋体" w:cs="宋体"/>
          <w:color w:val="auto"/>
          <w:kern w:val="2"/>
          <w:sz w:val="24"/>
          <w:szCs w:val="24"/>
          <w:highlight w:val="none"/>
          <w:lang w:val="en-US" w:eastAsia="zh-CN" w:bidi="ar"/>
        </w:rPr>
        <w:t>料、人员、利润及应缴税费等一切费用。甲方无需就本合同履行再向乙方或第三方支付其他任何费用。除本合同约定内容外，甲方交由乙方办理其他有偿服务项目产生额外费用的，甲乙双方须另行签订补充协议，进行费用支付。</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支付方式和支付时间</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default" w:ascii="Times New Roman" w:hAnsi="Times New Roman" w:eastAsia="宋体" w:cs="Times New Roman"/>
          <w:color w:val="auto"/>
          <w:kern w:val="2"/>
          <w:sz w:val="24"/>
          <w:szCs w:val="24"/>
          <w:highlight w:val="none"/>
          <w:lang w:val="en-US" w:eastAsia="zh-CN" w:bidi="ar"/>
        </w:rPr>
        <w:t>1.</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年</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月</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日前支付合同价款的</w:t>
      </w:r>
      <w:r>
        <w:rPr>
          <w:rFonts w:hint="default" w:ascii="Times New Roman" w:hAnsi="Times New Roman" w:eastAsia="宋体" w:cs="Times New Roman"/>
          <w:color w:val="auto"/>
          <w:kern w:val="2"/>
          <w:sz w:val="24"/>
          <w:szCs w:val="24"/>
          <w:highlight w:val="none"/>
          <w:u w:val="single"/>
          <w:lang w:val="en-US" w:eastAsia="zh-CN" w:bidi="ar"/>
        </w:rPr>
        <w:t xml:space="preserve"> 70 </w:t>
      </w:r>
      <w:r>
        <w:rPr>
          <w:rFonts w:hint="default" w:ascii="Times New Roman" w:hAnsi="Times New Roman" w:eastAsia="宋体" w:cs="Times New Roman"/>
          <w:color w:val="auto"/>
          <w:kern w:val="2"/>
          <w:sz w:val="24"/>
          <w:szCs w:val="24"/>
          <w:highlight w:val="none"/>
          <w:lang w:val="en-US" w:eastAsia="zh-CN" w:bidi="ar"/>
        </w:rPr>
        <w:t>%</w:t>
      </w:r>
      <w:r>
        <w:rPr>
          <w:rFonts w:hint="eastAsia" w:ascii="Times New Roman" w:hAnsi="Times New Roman" w:eastAsia="宋体" w:cs="宋体"/>
          <w:color w:val="auto"/>
          <w:kern w:val="2"/>
          <w:sz w:val="24"/>
          <w:szCs w:val="24"/>
          <w:highlight w:val="none"/>
          <w:lang w:val="en-US" w:eastAsia="zh-CN" w:bidi="ar"/>
        </w:rPr>
        <w:t>，（</w:t>
      </w:r>
      <w:r>
        <w:rPr>
          <w:rFonts w:hint="default" w:ascii="Times New Roman" w:hAnsi="Times New Roman" w:eastAsia="宋体" w:cs="Times New Roman"/>
          <w:color w:val="auto"/>
          <w:kern w:val="2"/>
          <w:sz w:val="24"/>
          <w:szCs w:val="24"/>
          <w:highlight w:val="none"/>
          <w:lang w:val="en-US" w:eastAsia="zh-CN" w:bidi="ar"/>
        </w:rPr>
        <w:t>¥</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）；乙方完成全部合同义务经甲方验收合格后【</w:t>
      </w:r>
      <w:r>
        <w:rPr>
          <w:rFonts w:hint="default" w:ascii="Times New Roman" w:hAnsi="Times New Roman" w:eastAsia="宋体" w:cs="Times New Roman"/>
          <w:color w:val="auto"/>
          <w:kern w:val="2"/>
          <w:sz w:val="24"/>
          <w:szCs w:val="24"/>
          <w:highlight w:val="none"/>
          <w:lang w:val="en-US" w:eastAsia="zh-CN" w:bidi="ar"/>
        </w:rPr>
        <w:t>30</w:t>
      </w:r>
      <w:r>
        <w:rPr>
          <w:rFonts w:hint="eastAsia" w:ascii="Times New Roman" w:hAnsi="Times New Roman" w:eastAsia="宋体" w:cs="宋体"/>
          <w:color w:val="auto"/>
          <w:kern w:val="2"/>
          <w:sz w:val="24"/>
          <w:szCs w:val="24"/>
          <w:highlight w:val="none"/>
          <w:lang w:val="en-US" w:eastAsia="zh-CN" w:bidi="ar"/>
        </w:rPr>
        <w:t>】日内支付合同价款余下的</w:t>
      </w:r>
      <w:r>
        <w:rPr>
          <w:rFonts w:hint="default" w:ascii="Times New Roman" w:hAnsi="Times New Roman" w:eastAsia="宋体" w:cs="Times New Roman"/>
          <w:color w:val="auto"/>
          <w:kern w:val="2"/>
          <w:sz w:val="24"/>
          <w:szCs w:val="24"/>
          <w:highlight w:val="none"/>
          <w:u w:val="single"/>
          <w:lang w:val="en-US" w:eastAsia="zh-CN" w:bidi="ar"/>
        </w:rPr>
        <w:t xml:space="preserve"> 30 </w:t>
      </w:r>
      <w:r>
        <w:rPr>
          <w:rFonts w:hint="default" w:ascii="Times New Roman" w:hAnsi="Times New Roman" w:eastAsia="宋体" w:cs="Times New Roman"/>
          <w:color w:val="auto"/>
          <w:kern w:val="2"/>
          <w:sz w:val="24"/>
          <w:szCs w:val="24"/>
          <w:highlight w:val="none"/>
          <w:lang w:val="en-US" w:eastAsia="zh-CN" w:bidi="ar"/>
        </w:rPr>
        <w:t>%</w:t>
      </w:r>
      <w:r>
        <w:rPr>
          <w:rFonts w:hint="eastAsia" w:ascii="Times New Roman" w:hAnsi="Times New Roman" w:eastAsia="宋体" w:cs="宋体"/>
          <w:color w:val="auto"/>
          <w:kern w:val="2"/>
          <w:sz w:val="24"/>
          <w:szCs w:val="24"/>
          <w:highlight w:val="none"/>
          <w:lang w:val="en-US" w:eastAsia="zh-CN" w:bidi="ar"/>
        </w:rPr>
        <w:t>（</w:t>
      </w:r>
      <w:r>
        <w:rPr>
          <w:rFonts w:hint="default" w:ascii="Times New Roman" w:hAnsi="Times New Roman" w:eastAsia="宋体" w:cs="Times New Roman"/>
          <w:color w:val="auto"/>
          <w:kern w:val="2"/>
          <w:sz w:val="24"/>
          <w:szCs w:val="24"/>
          <w:highlight w:val="none"/>
          <w:lang w:val="en-US" w:eastAsia="zh-CN" w:bidi="ar"/>
        </w:rPr>
        <w:t>¥</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highlight w:val="none"/>
          <w:lang w:val="en-US" w:eastAsia="zh-CN" w:bidi="ar"/>
        </w:rPr>
      </w:pPr>
      <w:r>
        <w:rPr>
          <w:rFonts w:hint="default" w:ascii="Times New Roman" w:hAnsi="Times New Roman" w:eastAsia="宋体" w:cs="Times New Roman"/>
          <w:color w:val="auto"/>
          <w:kern w:val="2"/>
          <w:sz w:val="24"/>
          <w:szCs w:val="24"/>
          <w:highlight w:val="none"/>
          <w:lang w:val="en-US" w:eastAsia="zh-CN" w:bidi="ar"/>
        </w:rPr>
        <w:t>2.</w:t>
      </w:r>
      <w:r>
        <w:rPr>
          <w:rFonts w:hint="eastAsia" w:ascii="Times New Roman" w:hAnsi="Times New Roman" w:eastAsia="宋体" w:cs="宋体"/>
          <w:color w:val="auto"/>
          <w:kern w:val="2"/>
          <w:sz w:val="24"/>
          <w:szCs w:val="24"/>
          <w:highlight w:val="none"/>
          <w:lang w:val="en-US" w:eastAsia="zh-CN" w:bidi="ar"/>
        </w:rPr>
        <w:t>甲方付款前，乙方应向甲方开具并提供相应金额的增值税发票，否则，甲方有权延迟付款时间且不承担任何违约责任，但乙方不得拒绝或延期履行义务，否则应按本合同约定承担违约责任。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highlight w:val="none"/>
          <w:lang w:val="en-US" w:eastAsia="zh-CN" w:bidi="ar"/>
        </w:rPr>
      </w:pPr>
      <w:r>
        <w:rPr>
          <w:rFonts w:hint="eastAsia" w:ascii="Times New Roman" w:hAnsi="Times New Roman" w:eastAsia="宋体" w:cs="宋体"/>
          <w:color w:val="auto"/>
          <w:kern w:val="2"/>
          <w:sz w:val="24"/>
          <w:szCs w:val="24"/>
          <w:highlight w:val="none"/>
          <w:lang w:val="en-US" w:eastAsia="zh-CN" w:bidi="ar"/>
        </w:rPr>
        <w:t>3.甲方对发票的接收并不表示甲方对该发票的真伪承担责任，乙方应保证所提供发票的真实合法性，如果因为乙方提供的发票存在问题导致甲方无法付款或税务的稽查，乙方承担全部的法律和赔偿责任。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4.由于甲方合同款需依靠政府主管部门专项财政拨款到款后方能支付，实际价款支付时间，以相关财政拨款到位时间为准。如因财政或有关部门就本项目资金未能及时拨付到位，待本项目资金到位后向乙方付款，而不视为甲方付款违约，甲方亦不承担任何违约责任。但乙方不得拒绝或延期履行义务，否则应按本合同约定承担违约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第六章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项目验收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第十一条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验收标准：按照招标文件和投标文件标准完成验收。</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第十二条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验收时间：</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年</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月</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日前完成【上海沙龙亦城家园中心运营管理服务（第</w:t>
      </w:r>
      <w:r>
        <w:rPr>
          <w:rFonts w:hint="default" w:ascii="Times New Roman" w:hAnsi="Times New Roman" w:eastAsia="宋体" w:cs="Times New Roman"/>
          <w:color w:val="auto"/>
          <w:kern w:val="2"/>
          <w:sz w:val="24"/>
          <w:szCs w:val="24"/>
          <w:highlight w:val="none"/>
          <w:lang w:val="en-US" w:eastAsia="zh-CN" w:bidi="ar"/>
        </w:rPr>
        <w:t>3</w:t>
      </w:r>
      <w:r>
        <w:rPr>
          <w:rFonts w:hint="eastAsia" w:ascii="Times New Roman" w:hAnsi="Times New Roman" w:eastAsia="宋体" w:cs="宋体"/>
          <w:color w:val="auto"/>
          <w:kern w:val="2"/>
          <w:sz w:val="24"/>
          <w:szCs w:val="24"/>
          <w:highlight w:val="none"/>
          <w:lang w:val="en-US" w:eastAsia="zh-CN" w:bidi="ar"/>
        </w:rPr>
        <w:t>包：公益活动服务）】项目验收工作，出具验收报告。验收时间不影响乙方的服务期限，乙方应继续按本合同约定提交服务直至本合同约定的服务期限期满之日，该期间产生的费用已包含在本合同约定的总价款中。</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第十三条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乙方提供的服务成果应最终通过甲方验收，如无法通过的，甲方有权根据实际情况选择终止合同或扣减相应合同价款。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第七章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第十四条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乙方未按照约定时间完成服务内容的，逾期一天，应按日向甲方支付合同价款</w:t>
      </w:r>
      <w:r>
        <w:rPr>
          <w:rFonts w:hint="default" w:ascii="Times New Roman" w:hAnsi="Times New Roman" w:eastAsia="宋体" w:cs="Times New Roman"/>
          <w:color w:val="auto"/>
          <w:kern w:val="2"/>
          <w:sz w:val="24"/>
          <w:szCs w:val="24"/>
          <w:highlight w:val="none"/>
          <w:lang w:val="en-US" w:eastAsia="zh-CN" w:bidi="ar"/>
        </w:rPr>
        <w:t>1</w:t>
      </w:r>
      <w:r>
        <w:rPr>
          <w:rFonts w:hint="eastAsia" w:ascii="Times New Roman" w:hAnsi="Times New Roman" w:eastAsia="宋体" w:cs="宋体"/>
          <w:color w:val="auto"/>
          <w:kern w:val="2"/>
          <w:sz w:val="24"/>
          <w:szCs w:val="24"/>
          <w:highlight w:val="none"/>
          <w:lang w:val="en-US" w:eastAsia="zh-CN" w:bidi="ar"/>
        </w:rPr>
        <w:t>‰的违约金，逾期超过</w:t>
      </w:r>
      <w:r>
        <w:rPr>
          <w:rFonts w:hint="default" w:ascii="Times New Roman" w:hAnsi="Times New Roman" w:eastAsia="宋体" w:cs="Times New Roman"/>
          <w:color w:val="auto"/>
          <w:kern w:val="2"/>
          <w:sz w:val="24"/>
          <w:szCs w:val="24"/>
          <w:highlight w:val="none"/>
          <w:lang w:val="en-US" w:eastAsia="zh-CN" w:bidi="ar"/>
        </w:rPr>
        <w:t>30</w:t>
      </w:r>
      <w:r>
        <w:rPr>
          <w:rFonts w:hint="eastAsia" w:ascii="Times New Roman" w:hAnsi="Times New Roman" w:eastAsia="宋体" w:cs="宋体"/>
          <w:color w:val="auto"/>
          <w:kern w:val="2"/>
          <w:sz w:val="24"/>
          <w:szCs w:val="24"/>
          <w:highlight w:val="none"/>
          <w:lang w:val="en-US" w:eastAsia="zh-CN" w:bidi="ar"/>
        </w:rPr>
        <w:t>日的，甲方有权按下一条约定追究乙方违约责任。</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第十五条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乙方未按照合同约定履行义务，经甲方要求整改仍未达到合同约定标准的，或给甲方造成损失的，甲方有权单方解除本合同，要求乙方支付合同价款</w:t>
      </w:r>
      <w:r>
        <w:rPr>
          <w:rFonts w:hint="default" w:ascii="Times New Roman" w:hAnsi="Times New Roman" w:eastAsia="宋体" w:cs="Times New Roman"/>
          <w:color w:val="auto"/>
          <w:kern w:val="2"/>
          <w:sz w:val="24"/>
          <w:szCs w:val="24"/>
          <w:highlight w:val="none"/>
          <w:lang w:val="en-US" w:eastAsia="zh-CN" w:bidi="ar"/>
        </w:rPr>
        <w:t>20%</w:t>
      </w:r>
      <w:r>
        <w:rPr>
          <w:rFonts w:hint="eastAsia" w:ascii="Times New Roman" w:hAnsi="Times New Roman" w:eastAsia="宋体" w:cs="宋体"/>
          <w:color w:val="auto"/>
          <w:kern w:val="2"/>
          <w:sz w:val="24"/>
          <w:szCs w:val="24"/>
          <w:highlight w:val="none"/>
          <w:lang w:val="en-US" w:eastAsia="zh-CN" w:bidi="ar"/>
        </w:rPr>
        <w:t>的违约金，并赔偿由此给甲方造成的全部损失。</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第十六条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因乙方原因导致合同解除的，乙方应向甲方返还甲方已支付的，但乙方未履行义务部分的合同价款。</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第八章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不可抗力</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第十七条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本条款所述的“不可抗力”系指不能预见、不能避免并不能克服的客观情况。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第十八条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在不可抗力事件发生时，受不可抗力影响的一方应尽快以书面形式将不可抗力的情况和原因通知另一方。并于事件发生后</w:t>
      </w:r>
      <w:r>
        <w:rPr>
          <w:rFonts w:hint="default" w:ascii="Times New Roman" w:hAnsi="Times New Roman" w:eastAsia="宋体" w:cs="Times New Roman"/>
          <w:color w:val="auto"/>
          <w:kern w:val="2"/>
          <w:sz w:val="24"/>
          <w:szCs w:val="24"/>
          <w:highlight w:val="none"/>
          <w:lang w:val="en-US" w:eastAsia="zh-CN" w:bidi="ar"/>
        </w:rPr>
        <w:t>14</w:t>
      </w:r>
      <w:r>
        <w:rPr>
          <w:rFonts w:hint="eastAsia" w:ascii="Times New Roman" w:hAnsi="Times New Roman" w:eastAsia="宋体" w:cs="宋体"/>
          <w:color w:val="auto"/>
          <w:kern w:val="2"/>
          <w:sz w:val="24"/>
          <w:szCs w:val="24"/>
          <w:highlight w:val="none"/>
          <w:lang w:val="en-US" w:eastAsia="zh-CN" w:bidi="ar"/>
        </w:rPr>
        <w:t>天内将有关单位出具的证明文件用特快专递寄给另一方确认。</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第十九条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甲、乙双方应尽可能继续履行合同义务，以及寻求采取合理的方案履行不受不可抗力影响的其它事项。如果不可抗力事件影响延续超过</w:t>
      </w:r>
      <w:r>
        <w:rPr>
          <w:rFonts w:hint="default" w:ascii="Times New Roman" w:hAnsi="Times New Roman" w:eastAsia="宋体" w:cs="Times New Roman"/>
          <w:color w:val="auto"/>
          <w:kern w:val="2"/>
          <w:sz w:val="24"/>
          <w:szCs w:val="24"/>
          <w:highlight w:val="none"/>
          <w:lang w:val="en-US" w:eastAsia="zh-CN" w:bidi="ar"/>
        </w:rPr>
        <w:t>60</w:t>
      </w:r>
      <w:r>
        <w:rPr>
          <w:rFonts w:hint="eastAsia" w:ascii="Times New Roman" w:hAnsi="Times New Roman" w:eastAsia="宋体" w:cs="宋体"/>
          <w:color w:val="auto"/>
          <w:kern w:val="2"/>
          <w:sz w:val="24"/>
          <w:szCs w:val="24"/>
          <w:highlight w:val="none"/>
          <w:lang w:val="en-US" w:eastAsia="zh-CN" w:bidi="ar"/>
        </w:rPr>
        <w:t>天，甲、乙双方应通过协商在合理的时间内就进一步实施合同达成协议。</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第九章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争议解决</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本合同应适用中华人民共和国的法律。</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第二十一条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双方当事人应尽全力协商解决因本合同而产生的或与本合同有关的一切争议。</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第二十二条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双方如不能协商解决因本合同而产生的或与本合同有关的争议，任何一方均可向甲方所在地有管辖权的人民法院提起诉讼。在协商或诉讼期限，对于本协议无争议条款，双方仍应继续履行。</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第十章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通知</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第二十三条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甲、乙双方因履行本合同而相互发出或提供的所有通知、文件、资料等，均应按照本合同所列明的通讯地址、电话号码、传真号码、电子邮件等通知方式进行传达；一方如果迁址或者变更相关号码，应当自变更之日起</w:t>
      </w:r>
      <w:r>
        <w:rPr>
          <w:rFonts w:hint="default" w:ascii="Times New Roman" w:hAnsi="Times New Roman" w:eastAsia="宋体" w:cs="Times New Roman"/>
          <w:color w:val="auto"/>
          <w:kern w:val="2"/>
          <w:sz w:val="24"/>
          <w:szCs w:val="24"/>
          <w:highlight w:val="none"/>
          <w:lang w:val="en-US" w:eastAsia="zh-CN" w:bidi="ar"/>
        </w:rPr>
        <w:t>5</w:t>
      </w:r>
      <w:r>
        <w:rPr>
          <w:rFonts w:hint="eastAsia" w:ascii="Times New Roman" w:hAnsi="Times New Roman" w:eastAsia="宋体" w:cs="宋体"/>
          <w:color w:val="auto"/>
          <w:kern w:val="2"/>
          <w:sz w:val="24"/>
          <w:szCs w:val="24"/>
          <w:highlight w:val="none"/>
          <w:lang w:val="en-US" w:eastAsia="zh-CN" w:bidi="ar"/>
        </w:rPr>
        <w:t>日内，及时书面通知对方。否则，导致无法直接送达的，自交邮后第</w:t>
      </w:r>
      <w:r>
        <w:rPr>
          <w:rFonts w:hint="default" w:ascii="Times New Roman" w:hAnsi="Times New Roman" w:eastAsia="宋体" w:cs="Times New Roman"/>
          <w:color w:val="auto"/>
          <w:kern w:val="2"/>
          <w:sz w:val="24"/>
          <w:szCs w:val="24"/>
          <w:highlight w:val="none"/>
          <w:lang w:val="en-US" w:eastAsia="zh-CN" w:bidi="ar"/>
        </w:rPr>
        <w:t>7</w:t>
      </w:r>
      <w:r>
        <w:rPr>
          <w:rFonts w:hint="eastAsia" w:ascii="Times New Roman" w:hAnsi="Times New Roman" w:eastAsia="宋体" w:cs="宋体"/>
          <w:color w:val="auto"/>
          <w:kern w:val="2"/>
          <w:sz w:val="24"/>
          <w:szCs w:val="24"/>
          <w:highlight w:val="none"/>
          <w:lang w:val="en-US" w:eastAsia="zh-CN" w:bidi="ar"/>
        </w:rPr>
        <w:t>日视为送达，并由未通知方承担由此而引起的相关责任。</w:t>
      </w:r>
    </w:p>
    <w:p>
      <w:pPr>
        <w:keepNext w:val="0"/>
        <w:keepLines w:val="0"/>
        <w:widowControl w:val="0"/>
        <w:suppressLineNumbers w:val="0"/>
        <w:adjustRightInd w:val="0"/>
        <w:snapToGrid w:val="0"/>
        <w:spacing w:before="0" w:beforeAutospacing="0" w:after="0" w:afterAutospacing="0" w:line="576" w:lineRule="exact"/>
        <w:ind w:left="0" w:right="0" w:firstLine="482" w:firstLineChars="200"/>
        <w:jc w:val="both"/>
        <w:rPr>
          <w:rFonts w:hint="default" w:ascii="Times New Roman" w:hAnsi="Times New Roman" w:cs="Times New Roman"/>
          <w:b/>
          <w:bCs/>
          <w:color w:val="auto"/>
          <w:sz w:val="24"/>
          <w:szCs w:val="24"/>
          <w:highlight w:val="none"/>
          <w:lang w:val="en-US"/>
        </w:rPr>
      </w:pPr>
      <w:r>
        <w:rPr>
          <w:rFonts w:hint="eastAsia" w:ascii="Times New Roman" w:hAnsi="Times New Roman" w:eastAsia="宋体" w:cs="宋体"/>
          <w:b/>
          <w:bCs/>
          <w:color w:val="auto"/>
          <w:kern w:val="2"/>
          <w:sz w:val="24"/>
          <w:szCs w:val="24"/>
          <w:highlight w:val="none"/>
          <w:lang w:val="en-US" w:eastAsia="zh-CN" w:bidi="ar"/>
        </w:rPr>
        <w:t>第十一章</w:t>
      </w:r>
      <w:r>
        <w:rPr>
          <w:rFonts w:hint="default" w:ascii="Times New Roman" w:hAnsi="Times New Roman" w:eastAsia="宋体" w:cs="Times New Roman"/>
          <w:b/>
          <w:bCs/>
          <w:color w:val="auto"/>
          <w:kern w:val="2"/>
          <w:sz w:val="24"/>
          <w:szCs w:val="24"/>
          <w:highlight w:val="none"/>
          <w:lang w:val="en-US" w:eastAsia="zh-CN" w:bidi="ar"/>
        </w:rPr>
        <w:t xml:space="preserve"> </w:t>
      </w:r>
      <w:r>
        <w:rPr>
          <w:rFonts w:hint="eastAsia" w:ascii="Times New Roman" w:hAnsi="Times New Roman" w:eastAsia="宋体" w:cs="宋体"/>
          <w:b/>
          <w:bCs/>
          <w:color w:val="auto"/>
          <w:kern w:val="2"/>
          <w:sz w:val="24"/>
          <w:szCs w:val="24"/>
          <w:highlight w:val="none"/>
          <w:lang w:val="en-US" w:eastAsia="zh-CN" w:bidi="ar"/>
        </w:rPr>
        <w:t>生效及其他事项</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第二十四条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本合同一式</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份，甲方执</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份，乙方执</w:t>
      </w:r>
      <w:r>
        <w:rPr>
          <w:rFonts w:hint="default" w:ascii="Times New Roman" w:hAnsi="Times New Roman" w:eastAsia="宋体" w:cs="Times New Roman"/>
          <w:color w:val="auto"/>
          <w:kern w:val="2"/>
          <w:sz w:val="24"/>
          <w:szCs w:val="24"/>
          <w:highlight w:val="none"/>
          <w:u w:val="singl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份，北京经济技术开发区财务结算中心备案</w:t>
      </w:r>
      <w:r>
        <w:rPr>
          <w:rFonts w:hint="default" w:ascii="Times New Roman" w:hAnsi="Times New Roman" w:eastAsia="宋体" w:cs="Times New Roman"/>
          <w:color w:val="auto"/>
          <w:kern w:val="2"/>
          <w:sz w:val="24"/>
          <w:szCs w:val="24"/>
          <w:highlight w:val="none"/>
          <w:u w:val="single"/>
          <w:lang w:val="en-US" w:eastAsia="zh-CN" w:bidi="ar"/>
        </w:rPr>
        <w:t xml:space="preserve"> 1 </w:t>
      </w:r>
      <w:r>
        <w:rPr>
          <w:rFonts w:hint="eastAsia" w:ascii="Times New Roman" w:hAnsi="Times New Roman" w:eastAsia="宋体" w:cs="宋体"/>
          <w:color w:val="auto"/>
          <w:kern w:val="2"/>
          <w:sz w:val="24"/>
          <w:szCs w:val="24"/>
          <w:highlight w:val="none"/>
          <w:lang w:val="en-US" w:eastAsia="zh-CN" w:bidi="ar"/>
        </w:rPr>
        <w:t>份。</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第二十五条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本项目招标文件以及乙方在投标过程中提交的投标文件、中标通知书均属于本合同的组成部分。</w:t>
      </w:r>
    </w:p>
    <w:p>
      <w:pPr>
        <w:keepNext w:val="0"/>
        <w:keepLines w:val="0"/>
        <w:widowControl w:val="0"/>
        <w:suppressLineNumbers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highlight w:val="none"/>
          <w:lang w:val="en-US"/>
        </w:rPr>
      </w:pPr>
      <w:r>
        <w:rPr>
          <w:rFonts w:hint="eastAsia" w:ascii="Times New Roman" w:hAnsi="Times New Roman" w:eastAsia="宋体" w:cs="宋体"/>
          <w:color w:val="auto"/>
          <w:kern w:val="2"/>
          <w:sz w:val="24"/>
          <w:szCs w:val="24"/>
          <w:highlight w:val="none"/>
          <w:lang w:val="en-US" w:eastAsia="zh-CN" w:bidi="ar"/>
        </w:rPr>
        <w:t>第二十六条</w:t>
      </w:r>
      <w:r>
        <w:rPr>
          <w:rFonts w:hint="default" w:ascii="Times New Roman" w:hAnsi="Times New Roman" w:eastAsia="宋体" w:cs="Times New Roman"/>
          <w:color w:val="auto"/>
          <w:kern w:val="2"/>
          <w:sz w:val="24"/>
          <w:szCs w:val="24"/>
          <w:highlight w:val="none"/>
          <w:lang w:val="en-US" w:eastAsia="zh-CN" w:bidi="ar"/>
        </w:rPr>
        <w:t xml:space="preserve"> </w:t>
      </w:r>
      <w:r>
        <w:rPr>
          <w:rFonts w:hint="eastAsia" w:ascii="Times New Roman" w:hAnsi="Times New Roman" w:eastAsia="宋体" w:cs="宋体"/>
          <w:color w:val="auto"/>
          <w:kern w:val="2"/>
          <w:sz w:val="24"/>
          <w:szCs w:val="24"/>
          <w:highlight w:val="none"/>
          <w:lang w:val="en-US" w:eastAsia="zh-CN" w:bidi="ar"/>
        </w:rPr>
        <w:t>本合同自甲乙双方法定代表人签字并加盖公章或合同专用章之日起生效。本合同签订后如需修改变更，须经甲、乙双方协商达成一致后，以签订补充协议进行修改。补充协议与本合同具有同等法律效力；补充协议与本合同约定不一致的，以补充协议所载内容为准。</w:t>
      </w:r>
    </w:p>
    <w:p>
      <w:pPr>
        <w:keepNext w:val="0"/>
        <w:keepLines w:val="0"/>
        <w:widowControl w:val="0"/>
        <w:suppressLineNumbers w:val="0"/>
        <w:spacing w:before="0" w:beforeAutospacing="0" w:after="0" w:afterAutospacing="0" w:line="576" w:lineRule="exact"/>
        <w:ind w:left="0" w:right="0" w:firstLine="480" w:firstLineChars="200"/>
        <w:jc w:val="both"/>
        <w:rPr>
          <w:rFonts w:hint="eastAsia" w:ascii="宋体" w:hAnsi="宋体" w:eastAsia="宋体" w:cs="宋体"/>
          <w:color w:val="auto"/>
          <w:sz w:val="24"/>
          <w:szCs w:val="24"/>
          <w:highlight w:val="none"/>
          <w:shd w:val="clear" w:fill="FFFFFF"/>
          <w:lang w:val="en-US"/>
        </w:rPr>
      </w:pPr>
      <w:r>
        <w:rPr>
          <w:rFonts w:hint="eastAsia" w:ascii="宋体" w:hAnsi="宋体" w:eastAsia="宋体" w:cs="宋体"/>
          <w:color w:val="auto"/>
          <w:kern w:val="2"/>
          <w:sz w:val="24"/>
          <w:szCs w:val="24"/>
          <w:highlight w:val="none"/>
          <w:shd w:val="clear" w:fill="FFFFFF"/>
          <w:lang w:val="en-US" w:eastAsia="zh-CN" w:bidi="ar"/>
        </w:rPr>
        <w:t>（以下无正文）</w:t>
      </w: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right="0"/>
        <w:jc w:val="both"/>
        <w:rPr>
          <w:rFonts w:hAnsi="宋体" w:eastAsia="宋体" w:cs="宋体"/>
          <w:color w:val="FF0000"/>
          <w:shd w:val="clear" w:fill="FFFFFF"/>
          <w:lang w:val="en-US"/>
        </w:rPr>
      </w:pPr>
    </w:p>
    <w:p>
      <w:pPr>
        <w:pStyle w:val="39"/>
        <w:keepNext w:val="0"/>
        <w:keepLines w:val="0"/>
        <w:widowControl w:val="0"/>
        <w:suppressLineNumbers w:val="0"/>
        <w:spacing w:before="0" w:beforeAutospacing="0" w:after="0" w:afterAutospacing="0" w:line="576" w:lineRule="exact"/>
        <w:ind w:left="0" w:right="0" w:firstLine="480" w:firstLineChars="200"/>
        <w:jc w:val="both"/>
        <w:rPr>
          <w:rFonts w:hAnsi="宋体" w:eastAsia="宋体" w:cs="宋体"/>
          <w:color w:val="auto"/>
          <w:shd w:val="clear" w:fill="FFFFFF"/>
          <w:lang w:val="en-US"/>
        </w:rPr>
      </w:pPr>
      <w:r>
        <w:rPr>
          <w:rFonts w:hint="eastAsia" w:ascii="Calibri" w:hAnsi="宋体" w:eastAsia="宋体" w:cs="宋体"/>
          <w:color w:val="auto"/>
          <w:kern w:val="2"/>
          <w:sz w:val="24"/>
          <w:szCs w:val="24"/>
          <w:shd w:val="clear" w:fill="FFFFFF"/>
          <w:lang w:val="en-US" w:eastAsia="zh-CN" w:bidi="ar"/>
        </w:rPr>
        <w:t>（本页无正文，为《北京经济技术开发区社会保险保障中心【上海沙龙亦城家园中心运营管理服务（第</w:t>
      </w:r>
      <w:r>
        <w:rPr>
          <w:rFonts w:hint="default" w:ascii="Calibri" w:hAnsi="宋体" w:eastAsia="宋体" w:cs="宋体"/>
          <w:color w:val="auto"/>
          <w:kern w:val="2"/>
          <w:sz w:val="24"/>
          <w:szCs w:val="24"/>
          <w:shd w:val="clear" w:fill="FFFFFF"/>
          <w:lang w:val="en-US" w:eastAsia="zh-CN" w:bidi="ar"/>
        </w:rPr>
        <w:t>3</w:t>
      </w:r>
      <w:r>
        <w:rPr>
          <w:rFonts w:hint="eastAsia" w:ascii="Calibri" w:hAnsi="宋体" w:eastAsia="宋体" w:cs="宋体"/>
          <w:color w:val="auto"/>
          <w:kern w:val="2"/>
          <w:sz w:val="24"/>
          <w:szCs w:val="24"/>
          <w:shd w:val="clear" w:fill="FFFFFF"/>
          <w:lang w:val="en-US" w:eastAsia="zh-CN" w:bidi="ar"/>
        </w:rPr>
        <w:t>包：公益活动服务）】项目采购合同》签署页）</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bookmarkStart w:id="882" w:name="_GoBack"/>
      <w:bookmarkEnd w:id="882"/>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r>
        <w:rPr>
          <w:rFonts w:hint="eastAsia" w:ascii="Times New Roman" w:hAnsi="Times New Roman" w:eastAsia="宋体" w:cs="宋体"/>
          <w:color w:val="auto"/>
          <w:kern w:val="2"/>
          <w:sz w:val="24"/>
          <w:szCs w:val="24"/>
          <w:lang w:val="en-US" w:eastAsia="zh-CN" w:bidi="ar"/>
        </w:rPr>
        <w:t>甲方（盖章）</w:t>
      </w:r>
      <w:r>
        <w:rPr>
          <w:rFonts w:hint="default" w:ascii="Times New Roman" w:hAnsi="Times New Roman" w:eastAsia="宋体" w:cs="Times New Roman"/>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乙方（盖章）</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r>
        <w:rPr>
          <w:rFonts w:hint="eastAsia" w:ascii="Times New Roman" w:hAnsi="Times New Roman" w:eastAsia="宋体" w:cs="宋体"/>
          <w:color w:val="auto"/>
          <w:kern w:val="2"/>
          <w:sz w:val="24"/>
          <w:szCs w:val="24"/>
          <w:lang w:val="en-US" w:eastAsia="zh-CN" w:bidi="ar"/>
        </w:rPr>
        <w:t>法定代表人：</w:t>
      </w:r>
      <w:r>
        <w:rPr>
          <w:rFonts w:hint="default" w:ascii="Times New Roman" w:hAnsi="Times New Roman" w:eastAsia="宋体" w:cs="Times New Roman"/>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法定代表人：</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r>
        <w:rPr>
          <w:rFonts w:hint="eastAsia" w:ascii="Times New Roman" w:hAnsi="Times New Roman" w:eastAsia="宋体" w:cs="宋体"/>
          <w:color w:val="auto"/>
          <w:kern w:val="2"/>
          <w:sz w:val="24"/>
          <w:szCs w:val="24"/>
          <w:lang w:val="en-US" w:eastAsia="zh-CN" w:bidi="ar"/>
        </w:rPr>
        <w:t>开户行：</w:t>
      </w:r>
      <w:r>
        <w:rPr>
          <w:rFonts w:hint="default" w:ascii="Times New Roman" w:hAnsi="Times New Roman" w:eastAsia="宋体" w:cs="Times New Roman"/>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开户行：</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cs="Times New Roman"/>
          <w:color w:val="auto"/>
          <w:sz w:val="24"/>
          <w:szCs w:val="24"/>
          <w:lang w:val="en-US"/>
        </w:rPr>
      </w:pPr>
      <w:r>
        <w:rPr>
          <w:rFonts w:hint="eastAsia" w:ascii="Times New Roman" w:hAnsi="Times New Roman" w:eastAsia="宋体" w:cs="宋体"/>
          <w:color w:val="auto"/>
          <w:kern w:val="2"/>
          <w:sz w:val="24"/>
          <w:szCs w:val="24"/>
          <w:lang w:val="en-US" w:eastAsia="zh-CN" w:bidi="ar"/>
        </w:rPr>
        <w:t>账号：</w:t>
      </w:r>
      <w:r>
        <w:rPr>
          <w:rFonts w:hint="default" w:ascii="Times New Roman" w:hAnsi="Times New Roman" w:eastAsia="宋体" w:cs="Times New Roman"/>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账号：</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auto"/>
          <w:kern w:val="2"/>
          <w:sz w:val="24"/>
          <w:szCs w:val="24"/>
          <w:lang w:val="en-US" w:eastAsia="zh-CN" w:bidi="ar"/>
        </w:rPr>
      </w:pPr>
      <w:r>
        <w:rPr>
          <w:rFonts w:hint="eastAsia" w:ascii="Times New Roman" w:hAnsi="Times New Roman" w:eastAsia="宋体" w:cs="宋体"/>
          <w:color w:val="auto"/>
          <w:kern w:val="2"/>
          <w:sz w:val="24"/>
          <w:szCs w:val="24"/>
          <w:lang w:val="en-US" w:eastAsia="zh-CN" w:bidi="ar"/>
        </w:rPr>
        <w:t>地址：</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地址：</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default" w:ascii="Times New Roman" w:hAnsi="Times New Roman" w:eastAsia="宋体" w:cs="宋体"/>
          <w:color w:val="auto"/>
          <w:kern w:val="2"/>
          <w:sz w:val="24"/>
          <w:szCs w:val="24"/>
          <w:lang w:val="en-US" w:eastAsia="zh-CN" w:bidi="ar"/>
        </w:rPr>
      </w:pPr>
      <w:r>
        <w:rPr>
          <w:rFonts w:hint="eastAsia" w:ascii="Times New Roman" w:hAnsi="Times New Roman" w:eastAsia="宋体" w:cs="宋体"/>
          <w:color w:val="auto"/>
          <w:kern w:val="2"/>
          <w:sz w:val="24"/>
          <w:szCs w:val="24"/>
          <w:lang w:val="en-US" w:eastAsia="zh-CN" w:bidi="ar"/>
        </w:rPr>
        <w:t>电话：</w:t>
      </w:r>
      <w:r>
        <w:rPr>
          <w:rFonts w:hint="default" w:ascii="Times New Roman" w:hAnsi="Times New Roman" w:eastAsia="宋体" w:cs="宋体"/>
          <w:color w:val="auto"/>
          <w:kern w:val="2"/>
          <w:sz w:val="24"/>
          <w:szCs w:val="24"/>
          <w:lang w:val="en-US" w:eastAsia="zh-CN" w:bidi="ar"/>
        </w:rPr>
        <w:t>010</w:t>
      </w:r>
      <w:r>
        <w:rPr>
          <w:rFonts w:hint="eastAsia" w:ascii="Times New Roman" w:hAnsi="Times New Roman" w:eastAsia="宋体" w:cs="宋体"/>
          <w:color w:val="auto"/>
          <w:kern w:val="2"/>
          <w:sz w:val="24"/>
          <w:szCs w:val="24"/>
          <w:lang w:val="en-US" w:eastAsia="zh-CN" w:bidi="ar"/>
        </w:rPr>
        <w:t>—</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电话：</w:t>
      </w:r>
      <w:r>
        <w:rPr>
          <w:rFonts w:hint="default" w:ascii="Times New Roman" w:hAnsi="Times New Roman" w:eastAsia="宋体" w:cs="宋体"/>
          <w:color w:val="auto"/>
          <w:kern w:val="2"/>
          <w:sz w:val="24"/>
          <w:szCs w:val="24"/>
          <w:lang w:val="en-US" w:eastAsia="zh-CN" w:bidi="ar"/>
        </w:rPr>
        <w:t>010</w:t>
      </w:r>
      <w:r>
        <w:rPr>
          <w:rFonts w:hint="eastAsia" w:ascii="Times New Roman" w:hAnsi="Times New Roman" w:eastAsia="宋体" w:cs="宋体"/>
          <w:color w:val="auto"/>
          <w:kern w:val="2"/>
          <w:sz w:val="24"/>
          <w:szCs w:val="24"/>
          <w:lang w:val="en-US" w:eastAsia="zh-CN" w:bidi="ar"/>
        </w:rPr>
        <w:t>—</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auto"/>
          <w:kern w:val="2"/>
          <w:sz w:val="24"/>
          <w:szCs w:val="24"/>
          <w:lang w:val="en-US" w:eastAsia="zh-CN" w:bidi="ar"/>
        </w:rPr>
      </w:pPr>
      <w:r>
        <w:rPr>
          <w:rFonts w:hint="eastAsia" w:ascii="Times New Roman" w:hAnsi="Times New Roman" w:eastAsia="宋体" w:cs="宋体"/>
          <w:color w:val="auto"/>
          <w:kern w:val="2"/>
          <w:sz w:val="24"/>
          <w:szCs w:val="24"/>
          <w:lang w:val="en-US" w:eastAsia="zh-CN" w:bidi="ar"/>
        </w:rPr>
        <w:t>签订日期：</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年</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月</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日</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签订日期：</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年</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月</w:t>
      </w:r>
      <w:r>
        <w:rPr>
          <w:rFonts w:hint="default" w:ascii="Times New Roman" w:hAnsi="Times New Roman" w:eastAsia="宋体" w:cs="宋体"/>
          <w:color w:val="auto"/>
          <w:kern w:val="2"/>
          <w:sz w:val="24"/>
          <w:szCs w:val="24"/>
          <w:lang w:val="en-US" w:eastAsia="zh-CN" w:bidi="ar"/>
        </w:rPr>
        <w:t xml:space="preserve">   </w:t>
      </w:r>
      <w:r>
        <w:rPr>
          <w:rFonts w:hint="eastAsia" w:ascii="Times New Roman" w:hAnsi="Times New Roman" w:eastAsia="宋体" w:cs="宋体"/>
          <w:color w:val="auto"/>
          <w:kern w:val="2"/>
          <w:sz w:val="24"/>
          <w:szCs w:val="24"/>
          <w:lang w:val="en-US" w:eastAsia="zh-CN" w:bidi="ar"/>
        </w:rPr>
        <w:t>日</w:t>
      </w: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FF0000"/>
          <w:kern w:val="2"/>
          <w:sz w:val="24"/>
          <w:szCs w:val="24"/>
          <w:lang w:val="en-US" w:eastAsia="zh-CN" w:bidi="ar"/>
        </w:rPr>
      </w:pPr>
    </w:p>
    <w:p>
      <w:pPr>
        <w:keepNext w:val="0"/>
        <w:keepLines w:val="0"/>
        <w:widowControl w:val="0"/>
        <w:suppressLineNumbers w:val="0"/>
        <w:adjustRightInd w:val="0"/>
        <w:snapToGrid w:val="0"/>
        <w:spacing w:before="0" w:beforeAutospacing="0" w:after="0" w:afterAutospacing="0" w:line="576" w:lineRule="exact"/>
        <w:ind w:left="0" w:right="0" w:firstLine="480" w:firstLineChars="200"/>
        <w:jc w:val="both"/>
        <w:rPr>
          <w:rFonts w:hint="eastAsia" w:ascii="Times New Roman" w:hAnsi="Times New Roman" w:eastAsia="宋体" w:cs="宋体"/>
          <w:color w:val="FF0000"/>
          <w:kern w:val="2"/>
          <w:sz w:val="24"/>
          <w:szCs w:val="24"/>
          <w:lang w:val="en-US" w:eastAsia="zh-CN" w:bidi="ar"/>
        </w:rPr>
      </w:pPr>
    </w:p>
    <w:p>
      <w:pPr>
        <w:pStyle w:val="26"/>
        <w:numPr>
          <w:ilvl w:val="0"/>
          <w:numId w:val="0"/>
        </w:numPr>
        <w:ind w:leftChars="0"/>
      </w:pPr>
    </w:p>
    <w:p>
      <w:pPr>
        <w:pStyle w:val="26"/>
        <w:numPr>
          <w:ilvl w:val="0"/>
          <w:numId w:val="0"/>
        </w:numPr>
        <w:ind w:leftChars="0"/>
      </w:pPr>
    </w:p>
    <w:p>
      <w:pPr>
        <w:pStyle w:val="26"/>
        <w:numPr>
          <w:ilvl w:val="0"/>
          <w:numId w:val="0"/>
        </w:numPr>
        <w:ind w:leftChars="0"/>
      </w:pPr>
    </w:p>
    <w:p>
      <w:pPr>
        <w:pStyle w:val="26"/>
        <w:numPr>
          <w:ilvl w:val="0"/>
          <w:numId w:val="0"/>
        </w:numPr>
        <w:ind w:leftChars="0"/>
      </w:pPr>
    </w:p>
    <w:p>
      <w:pPr>
        <w:spacing w:line="576" w:lineRule="exact"/>
        <w:ind w:firstLine="880" w:firstLineChars="200"/>
        <w:rPr>
          <w:sz w:val="44"/>
          <w:szCs w:val="44"/>
        </w:rPr>
      </w:pPr>
    </w:p>
    <w:p>
      <w:pPr>
        <w:spacing w:line="576" w:lineRule="exact"/>
        <w:rPr>
          <w:sz w:val="44"/>
          <w:szCs w:val="44"/>
        </w:rPr>
      </w:pPr>
    </w:p>
    <w:p>
      <w:pPr>
        <w:pStyle w:val="26"/>
        <w:ind w:left="0" w:leftChars="0" w:firstLine="0" w:firstLineChars="0"/>
        <w:rPr>
          <w:sz w:val="24"/>
        </w:rPr>
      </w:pPr>
    </w:p>
    <w:p>
      <w:pPr>
        <w:pStyle w:val="26"/>
        <w:ind w:left="0" w:leftChars="0" w:firstLine="0" w:firstLineChars="0"/>
        <w:rPr>
          <w:sz w:val="24"/>
        </w:rPr>
      </w:pPr>
    </w:p>
    <w:p>
      <w:pPr>
        <w:pStyle w:val="26"/>
        <w:ind w:left="0" w:leftChars="0" w:firstLine="0" w:firstLineChars="0"/>
        <w:rPr>
          <w:sz w:val="24"/>
        </w:rPr>
      </w:pPr>
    </w:p>
    <w:p>
      <w:pPr>
        <w:pStyle w:val="26"/>
        <w:ind w:left="0" w:leftChars="0" w:firstLine="0" w:firstLineChars="0"/>
        <w:rPr>
          <w:sz w:val="24"/>
        </w:rPr>
      </w:pPr>
    </w:p>
    <w:p>
      <w:pPr>
        <w:pStyle w:val="26"/>
        <w:rPr>
          <w:sz w:val="24"/>
        </w:rPr>
      </w:pPr>
    </w:p>
    <w:p>
      <w:pPr>
        <w:spacing w:line="576" w:lineRule="exact"/>
        <w:ind w:firstLine="880" w:firstLineChars="200"/>
        <w:rPr>
          <w:sz w:val="44"/>
          <w:szCs w:val="44"/>
        </w:rPr>
      </w:pPr>
    </w:p>
    <w:p>
      <w:pPr>
        <w:spacing w:line="360" w:lineRule="auto"/>
        <w:rPr>
          <w:rStyle w:val="49"/>
          <w:rFonts w:ascii="宋体" w:hAnsi="宋体" w:cs="宋体"/>
          <w:b w:val="0"/>
          <w:sz w:val="24"/>
        </w:rPr>
      </w:pPr>
    </w:p>
    <w:p>
      <w:pPr>
        <w:pStyle w:val="26"/>
      </w:pPr>
    </w:p>
    <w:p>
      <w:pPr>
        <w:pStyle w:val="26"/>
        <w:ind w:left="0" w:leftChars="0" w:firstLine="0" w:firstLineChars="0"/>
        <w:rPr>
          <w:rStyle w:val="49"/>
          <w:rFonts w:ascii="宋体" w:hAnsi="宋体" w:cs="宋体"/>
          <w:b w:val="0"/>
        </w:rPr>
      </w:pPr>
    </w:p>
    <w:p>
      <w:pPr>
        <w:spacing w:line="360" w:lineRule="auto"/>
        <w:jc w:val="center"/>
        <w:outlineLvl w:val="0"/>
        <w:rPr>
          <w:b/>
          <w:sz w:val="36"/>
          <w:szCs w:val="36"/>
        </w:rPr>
      </w:pPr>
      <w:bookmarkStart w:id="790" w:name="_Toc4564"/>
      <w:bookmarkStart w:id="791" w:name="_Toc111134033"/>
      <w:r>
        <w:rPr>
          <w:rFonts w:hint="eastAsia" w:ascii="宋体" w:hAnsi="宋体"/>
          <w:b/>
          <w:sz w:val="36"/>
          <w:szCs w:val="36"/>
        </w:rPr>
        <w:t>第七章   投标文件格式</w:t>
      </w:r>
      <w:bookmarkEnd w:id="790"/>
      <w:bookmarkEnd w:id="791"/>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b/>
          <w:sz w:val="24"/>
        </w:rPr>
      </w:pPr>
    </w:p>
    <w:p>
      <w:pPr>
        <w:tabs>
          <w:tab w:val="left" w:pos="900"/>
          <w:tab w:val="left" w:pos="1980"/>
        </w:tabs>
        <w:snapToGrid w:val="0"/>
        <w:spacing w:line="360" w:lineRule="auto"/>
        <w:ind w:left="142"/>
        <w:rPr>
          <w:rFonts w:ascii="宋体" w:hAnsi="宋体"/>
          <w:sz w:val="24"/>
        </w:rPr>
      </w:pPr>
      <w:r>
        <w:rPr>
          <w:rFonts w:hint="eastAsia" w:ascii="宋体" w:hAnsi="宋体"/>
          <w:b/>
          <w:sz w:val="24"/>
        </w:rPr>
        <w:t>投标人编制文件须知</w:t>
      </w:r>
    </w:p>
    <w:p>
      <w:pPr>
        <w:tabs>
          <w:tab w:val="left" w:pos="900"/>
          <w:tab w:val="left" w:pos="1980"/>
        </w:tabs>
        <w:snapToGrid w:val="0"/>
        <w:spacing w:line="360" w:lineRule="auto"/>
        <w:ind w:left="142"/>
        <w:rPr>
          <w:rFonts w:ascii="宋体" w:hAnsi="宋体"/>
          <w:b/>
          <w:bCs/>
          <w:sz w:val="24"/>
        </w:rPr>
      </w:pPr>
      <w:r>
        <w:rPr>
          <w:rFonts w:hint="eastAsia" w:ascii="宋体" w:hAnsi="宋体"/>
          <w:b/>
          <w:bCs/>
          <w:sz w:val="24"/>
        </w:rPr>
        <w:t>1、投标人按照本部分的顺序编制投标文件（资格证明文件）、投标文件（商务技术文件），编制中涉及格式资料的，应按照本部分提供的内容和格式（所有表格的格式可扩展）填写提交。</w:t>
      </w:r>
    </w:p>
    <w:p>
      <w:pPr>
        <w:tabs>
          <w:tab w:val="left" w:pos="900"/>
          <w:tab w:val="left" w:pos="1980"/>
        </w:tabs>
        <w:snapToGrid w:val="0"/>
        <w:spacing w:line="360" w:lineRule="auto"/>
        <w:ind w:left="142"/>
        <w:rPr>
          <w:rFonts w:ascii="宋体" w:hAnsi="宋体"/>
          <w:b/>
          <w:bCs/>
          <w:kern w:val="0"/>
          <w:sz w:val="24"/>
        </w:rPr>
      </w:pPr>
      <w:r>
        <w:rPr>
          <w:rFonts w:hint="eastAsia" w:ascii="宋体" w:hAnsi="宋体"/>
          <w:b/>
          <w:bCs/>
          <w:sz w:val="24"/>
        </w:rPr>
        <w:t>2、</w:t>
      </w:r>
      <w:r>
        <w:rPr>
          <w:rFonts w:hint="eastAsia" w:ascii="宋体" w:hAnsi="宋体"/>
          <w:b/>
          <w:bCs/>
          <w:kern w:val="0"/>
          <w:sz w:val="24"/>
        </w:rPr>
        <w:t>对于招标文件中标记了“实质性格式”文件的，</w:t>
      </w:r>
      <w:r>
        <w:rPr>
          <w:rFonts w:hint="eastAsia" w:ascii="宋体" w:hAnsi="宋体"/>
          <w:b/>
          <w:bCs/>
          <w:sz w:val="24"/>
        </w:rPr>
        <w:t>投标人不得改变格式中给定的文字所表达的含义，不得删减格式中的实质性内容，不得自行添加与格式中给定的文字内容相矛盾的内容，不得对应当填写的空格不填写或不实质性响应，</w:t>
      </w:r>
      <w:r>
        <w:rPr>
          <w:rFonts w:hint="eastAsia" w:ascii="宋体" w:hAnsi="宋体"/>
          <w:b/>
          <w:bCs/>
          <w:kern w:val="0"/>
          <w:sz w:val="24"/>
        </w:rPr>
        <w:t>否则投标无效。未标记“实质性格式”的文件和招标文件未提供格式的内容，可由投标人自行编写。</w:t>
      </w:r>
    </w:p>
    <w:p>
      <w:pPr>
        <w:tabs>
          <w:tab w:val="left" w:pos="900"/>
          <w:tab w:val="left" w:pos="1980"/>
        </w:tabs>
        <w:snapToGrid w:val="0"/>
        <w:spacing w:line="360" w:lineRule="auto"/>
        <w:ind w:left="142"/>
        <w:rPr>
          <w:rFonts w:ascii="宋体" w:hAnsi="宋体"/>
          <w:sz w:val="24"/>
        </w:rPr>
      </w:pPr>
      <w:r>
        <w:rPr>
          <w:rFonts w:hint="eastAsia" w:ascii="宋体" w:hAnsi="宋体"/>
          <w:b/>
          <w:bCs/>
          <w:sz w:val="24"/>
        </w:rPr>
        <w:t>3、全部声明和问题的回答及所附材料必须是真实的、准确的和完整的</w:t>
      </w:r>
      <w:r>
        <w:rPr>
          <w:rFonts w:hint="eastAsia" w:ascii="宋体" w:hAnsi="宋体"/>
          <w:sz w:val="24"/>
        </w:rPr>
        <w:t>。</w:t>
      </w:r>
    </w:p>
    <w:p>
      <w:pPr>
        <w:widowControl/>
        <w:jc w:val="left"/>
        <w:rPr>
          <w:rFonts w:ascii="宋体" w:hAnsi="宋体"/>
          <w:sz w:val="24"/>
        </w:rPr>
      </w:pPr>
      <w:r>
        <w:rPr>
          <w:rFonts w:hint="eastAsia" w:ascii="宋体" w:hAnsi="宋体"/>
          <w:sz w:val="24"/>
        </w:rPr>
        <w:br w:type="page"/>
      </w:r>
    </w:p>
    <w:p>
      <w:pPr>
        <w:keepNext/>
        <w:keepLines/>
        <w:autoSpaceDE w:val="0"/>
        <w:autoSpaceDN w:val="0"/>
        <w:adjustRightInd w:val="0"/>
        <w:spacing w:before="120" w:line="300" w:lineRule="auto"/>
        <w:jc w:val="left"/>
        <w:outlineLvl w:val="1"/>
        <w:rPr>
          <w:rFonts w:ascii="宋体" w:hAnsi="宋体"/>
          <w:b/>
          <w:kern w:val="0"/>
          <w:sz w:val="30"/>
          <w:szCs w:val="20"/>
        </w:rPr>
      </w:pPr>
      <w:r>
        <w:rPr>
          <w:rFonts w:hint="eastAsia" w:ascii="宋体" w:hAnsi="宋体"/>
          <w:b/>
          <w:spacing w:val="20"/>
          <w:sz w:val="24"/>
        </w:rPr>
        <w:t>一、资格证明文件格式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投标文件（资格证明文件）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（资格证明文件）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rPr>
          <w:rFonts w:ascii="宋体" w:hAnsi="宋体"/>
          <w:b/>
        </w:rPr>
      </w:pPr>
      <w:r>
        <w:rPr>
          <w:rFonts w:hint="eastAsia" w:ascii="宋体" w:hAnsi="宋体"/>
          <w:b/>
          <w:spacing w:val="20"/>
          <w:sz w:val="32"/>
          <w:szCs w:val="32"/>
        </w:rPr>
        <w:br w:type="page"/>
      </w:r>
    </w:p>
    <w:p>
      <w:pPr>
        <w:spacing w:line="360" w:lineRule="auto"/>
        <w:outlineLvl w:val="2"/>
        <w:rPr>
          <w:rFonts w:ascii="宋体" w:hAnsi="宋体"/>
          <w:color w:val="000000"/>
          <w:sz w:val="24"/>
          <w:szCs w:val="20"/>
        </w:rPr>
      </w:pPr>
      <w:r>
        <w:rPr>
          <w:rFonts w:hint="eastAsia" w:ascii="宋体" w:hAnsi="宋体"/>
          <w:color w:val="000000"/>
          <w:sz w:val="24"/>
          <w:szCs w:val="20"/>
        </w:rPr>
        <w:t xml:space="preserve">1 </w:t>
      </w:r>
      <w:r>
        <w:rPr>
          <w:rFonts w:hint="eastAsia" w:ascii="宋体" w:hAnsi="宋体"/>
          <w:sz w:val="24"/>
        </w:rPr>
        <w:t>满足《中华人民共和国政府采购法》第二十二条规定及法律法规的其他规定</w:t>
      </w:r>
    </w:p>
    <w:p/>
    <w:p/>
    <w:p/>
    <w:p>
      <w:pPr>
        <w:spacing w:line="360" w:lineRule="auto"/>
        <w:jc w:val="center"/>
        <w:outlineLvl w:val="2"/>
        <w:rPr>
          <w:rFonts w:ascii="宋体" w:hAnsi="宋体"/>
          <w:b/>
          <w:bCs/>
          <w:color w:val="000000"/>
          <w:sz w:val="24"/>
          <w:szCs w:val="20"/>
        </w:rPr>
      </w:pPr>
      <w:r>
        <w:rPr>
          <w:rFonts w:hint="eastAsia" w:ascii="宋体" w:hAnsi="宋体"/>
          <w:b/>
          <w:bCs/>
          <w:color w:val="000000"/>
          <w:sz w:val="24"/>
          <w:szCs w:val="20"/>
        </w:rPr>
        <w:t>1-1 营业执照等证明文件复印件加盖单位公章。</w:t>
      </w:r>
    </w:p>
    <w:p>
      <w:pPr>
        <w:tabs>
          <w:tab w:val="left" w:pos="1080"/>
        </w:tabs>
        <w:snapToGrid w:val="0"/>
        <w:rPr>
          <w:rFonts w:ascii="宋体" w:hAnsi="宋体"/>
          <w:sz w:val="24"/>
        </w:rPr>
      </w:pPr>
    </w:p>
    <w:p>
      <w:pPr>
        <w:widowControl/>
        <w:jc w:val="center"/>
        <w:rPr>
          <w:rFonts w:ascii="宋体" w:hAnsi="宋体"/>
          <w:color w:val="000000"/>
          <w:sz w:val="24"/>
          <w:szCs w:val="20"/>
        </w:rPr>
      </w:pPr>
      <w:r>
        <w:rPr>
          <w:rFonts w:hint="eastAsia" w:ascii="宋体" w:hAnsi="宋体"/>
          <w:color w:val="000000"/>
          <w:sz w:val="24"/>
        </w:rPr>
        <w:br w:type="page"/>
      </w:r>
      <w:r>
        <w:rPr>
          <w:rFonts w:hint="eastAsia" w:ascii="宋体" w:hAnsi="宋体"/>
          <w:b/>
          <w:bCs/>
          <w:color w:val="000000"/>
          <w:sz w:val="24"/>
          <w:szCs w:val="20"/>
        </w:rPr>
        <w:t>1-2 投标人资格声明书（实质性格式）</w:t>
      </w:r>
    </w:p>
    <w:p>
      <w:pPr>
        <w:jc w:val="center"/>
        <w:rPr>
          <w:rFonts w:ascii="宋体" w:hAnsi="宋体"/>
          <w:b/>
          <w:color w:val="000000"/>
          <w:sz w:val="36"/>
          <w:szCs w:val="36"/>
        </w:rPr>
      </w:pPr>
    </w:p>
    <w:p>
      <w:pPr>
        <w:jc w:val="center"/>
        <w:rPr>
          <w:rFonts w:ascii="宋体" w:hAnsi="宋体"/>
          <w:b/>
          <w:color w:val="000000"/>
          <w:sz w:val="36"/>
          <w:szCs w:val="36"/>
        </w:rPr>
      </w:pPr>
      <w:r>
        <w:rPr>
          <w:rFonts w:hint="eastAsia" w:ascii="宋体" w:hAnsi="宋体"/>
          <w:b/>
          <w:color w:val="000000"/>
          <w:sz w:val="36"/>
          <w:szCs w:val="36"/>
        </w:rPr>
        <w:t>投标人资格声明书</w:t>
      </w:r>
    </w:p>
    <w:p>
      <w:pPr>
        <w:tabs>
          <w:tab w:val="left" w:pos="5580"/>
        </w:tabs>
        <w:spacing w:line="360" w:lineRule="auto"/>
        <w:rPr>
          <w:rFonts w:ascii="宋体" w:hAnsi="宋体"/>
          <w:sz w:val="24"/>
        </w:rPr>
      </w:pPr>
      <w:r>
        <w:rPr>
          <w:rFonts w:hint="eastAsia" w:ascii="宋体" w:hAnsi="宋体"/>
          <w:sz w:val="24"/>
        </w:rPr>
        <w:t>致：</w:t>
      </w:r>
      <w:r>
        <w:rPr>
          <w:rFonts w:hint="eastAsia" w:ascii="宋体" w:hAnsi="宋体"/>
          <w:sz w:val="24"/>
          <w:u w:val="single"/>
        </w:rPr>
        <w:t>采购人或采购代理机构</w:t>
      </w:r>
    </w:p>
    <w:p>
      <w:pPr>
        <w:spacing w:line="360" w:lineRule="auto"/>
        <w:ind w:firstLine="480" w:firstLineChars="200"/>
        <w:rPr>
          <w:rFonts w:ascii="宋体" w:hAnsi="宋体"/>
          <w:sz w:val="24"/>
        </w:rPr>
      </w:pPr>
      <w:r>
        <w:rPr>
          <w:rFonts w:hint="eastAsia" w:ascii="宋体" w:hAnsi="宋体"/>
          <w:sz w:val="24"/>
        </w:rPr>
        <w:t>在参与本次项目投标中，我单位承诺：</w:t>
      </w:r>
    </w:p>
    <w:p>
      <w:pPr>
        <w:numPr>
          <w:ilvl w:val="0"/>
          <w:numId w:val="15"/>
        </w:numPr>
        <w:spacing w:line="360" w:lineRule="auto"/>
        <w:ind w:left="1134"/>
        <w:rPr>
          <w:rFonts w:ascii="宋体" w:hAnsi="宋体"/>
          <w:sz w:val="24"/>
          <w:szCs w:val="22"/>
        </w:rPr>
      </w:pPr>
      <w:r>
        <w:rPr>
          <w:rFonts w:hint="eastAsia" w:ascii="宋体" w:hAnsi="宋体"/>
          <w:sz w:val="24"/>
          <w:szCs w:val="22"/>
        </w:rPr>
        <w:t>具有良好的商业信誉和健全的财务会计制度；</w:t>
      </w:r>
    </w:p>
    <w:p>
      <w:pPr>
        <w:numPr>
          <w:ilvl w:val="0"/>
          <w:numId w:val="15"/>
        </w:numPr>
        <w:spacing w:line="360" w:lineRule="auto"/>
        <w:ind w:left="1134"/>
        <w:rPr>
          <w:rFonts w:ascii="宋体" w:hAnsi="宋体"/>
          <w:sz w:val="24"/>
          <w:szCs w:val="22"/>
        </w:rPr>
      </w:pPr>
      <w:r>
        <w:rPr>
          <w:rFonts w:hint="eastAsia" w:ascii="宋体" w:hAnsi="宋体"/>
          <w:sz w:val="24"/>
          <w:szCs w:val="22"/>
        </w:rPr>
        <w:t>具有履行合同所必需的设备和专业技术能力；</w:t>
      </w:r>
    </w:p>
    <w:p>
      <w:pPr>
        <w:numPr>
          <w:ilvl w:val="0"/>
          <w:numId w:val="15"/>
        </w:numPr>
        <w:spacing w:line="360" w:lineRule="auto"/>
        <w:ind w:left="1134"/>
        <w:rPr>
          <w:rFonts w:ascii="宋体" w:hAnsi="宋体"/>
          <w:sz w:val="24"/>
          <w:szCs w:val="22"/>
        </w:rPr>
      </w:pPr>
      <w:r>
        <w:rPr>
          <w:rFonts w:hint="eastAsia" w:ascii="宋体" w:hAnsi="宋体"/>
          <w:sz w:val="24"/>
          <w:szCs w:val="22"/>
        </w:rPr>
        <w:t>有依法缴纳税收和社会保障资金的良好记录；</w:t>
      </w:r>
    </w:p>
    <w:p>
      <w:pPr>
        <w:numPr>
          <w:ilvl w:val="0"/>
          <w:numId w:val="15"/>
        </w:numPr>
        <w:spacing w:line="360" w:lineRule="auto"/>
        <w:ind w:left="1134"/>
        <w:rPr>
          <w:rFonts w:ascii="宋体" w:hAnsi="宋体"/>
          <w:sz w:val="24"/>
          <w:szCs w:val="22"/>
        </w:rPr>
      </w:pPr>
      <w:r>
        <w:rPr>
          <w:rFonts w:hint="eastAsia" w:ascii="宋体" w:hAnsi="宋体"/>
          <w:sz w:val="24"/>
          <w:szCs w:val="22"/>
        </w:rPr>
        <w:t>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pPr>
        <w:numPr>
          <w:ilvl w:val="0"/>
          <w:numId w:val="15"/>
        </w:numPr>
        <w:spacing w:line="360" w:lineRule="auto"/>
        <w:ind w:left="1134"/>
        <w:rPr>
          <w:rFonts w:ascii="宋体" w:hAnsi="宋体"/>
          <w:sz w:val="24"/>
          <w:szCs w:val="22"/>
        </w:rPr>
      </w:pPr>
      <w:r>
        <w:rPr>
          <w:rFonts w:hint="eastAsia" w:ascii="宋体" w:hAnsi="宋体"/>
          <w:sz w:val="24"/>
          <w:szCs w:val="22"/>
        </w:rPr>
        <w:t>我单位不属于政府采购法律、行政法规规定的公益一类事业单位、或使用事业编制且由财政拨款保障的群团组织（仅适用于政府购买服务项目）；</w:t>
      </w:r>
    </w:p>
    <w:p>
      <w:pPr>
        <w:numPr>
          <w:ilvl w:val="0"/>
          <w:numId w:val="15"/>
        </w:numPr>
        <w:spacing w:line="360" w:lineRule="auto"/>
        <w:ind w:left="1134"/>
        <w:rPr>
          <w:rFonts w:ascii="宋体" w:hAnsi="宋体"/>
          <w:sz w:val="24"/>
          <w:szCs w:val="22"/>
        </w:rPr>
      </w:pPr>
      <w:r>
        <w:rPr>
          <w:rFonts w:hint="eastAsia" w:ascii="宋体" w:hAnsi="宋体"/>
          <w:sz w:val="24"/>
          <w:szCs w:val="22"/>
        </w:rPr>
        <w:t>我单位不存在为采购项目提供整体设计、规范编制或者项目管理、监理、检测等服务后，再参加该采购项目的其他采购活动的情形（单一来源采购项目除外）；</w:t>
      </w:r>
    </w:p>
    <w:p>
      <w:pPr>
        <w:numPr>
          <w:ilvl w:val="0"/>
          <w:numId w:val="15"/>
        </w:numPr>
        <w:spacing w:line="360" w:lineRule="auto"/>
        <w:ind w:left="1134"/>
        <w:rPr>
          <w:rFonts w:ascii="宋体" w:hAnsi="宋体"/>
          <w:sz w:val="24"/>
          <w:szCs w:val="22"/>
        </w:rPr>
      </w:pPr>
      <w:r>
        <w:rPr>
          <w:rFonts w:hint="eastAsia" w:ascii="宋体" w:hAnsi="宋体"/>
          <w:sz w:val="24"/>
          <w:szCs w:val="22"/>
        </w:rPr>
        <w:t>与我单位存在“单位负责人为同一人或者存在直接控股、管理关系”的其他法人单位信息如下（如有，不论其是否参加同一合同项下的政府采购活动均须填写）：</w:t>
      </w:r>
    </w:p>
    <w:tbl>
      <w:tblPr>
        <w:tblStyle w:val="4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0"/>
        <w:gridCol w:w="4574"/>
        <w:gridCol w:w="29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单位名称</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相互关系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1</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2</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0" w:hRule="atLeast"/>
          <w:jc w:val="center"/>
        </w:trPr>
        <w:tc>
          <w:tcPr>
            <w:tcW w:w="950"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r>
              <w:rPr>
                <w:rFonts w:hint="eastAsia" w:ascii="宋体" w:hAnsi="宋体"/>
                <w:sz w:val="24"/>
              </w:rPr>
              <w:t>…</w:t>
            </w:r>
          </w:p>
        </w:tc>
        <w:tc>
          <w:tcPr>
            <w:tcW w:w="45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ind w:left="0" w:right="0"/>
              <w:jc w:val="center"/>
              <w:rPr>
                <w:rFonts w:hint="default" w:ascii="宋体" w:hAnsi="宋体"/>
                <w:sz w:val="24"/>
              </w:rPr>
            </w:pPr>
          </w:p>
        </w:tc>
      </w:tr>
    </w:tbl>
    <w:p>
      <w:pPr>
        <w:rPr>
          <w:rFonts w:ascii="宋体" w:hAnsi="宋体"/>
        </w:rPr>
      </w:pPr>
    </w:p>
    <w:p>
      <w:pPr>
        <w:ind w:firstLine="480" w:firstLineChars="200"/>
        <w:rPr>
          <w:rFonts w:ascii="宋体" w:hAnsi="宋体"/>
          <w:sz w:val="24"/>
          <w:szCs w:val="22"/>
        </w:rPr>
      </w:pPr>
      <w:r>
        <w:rPr>
          <w:rFonts w:hint="eastAsia" w:ascii="宋体" w:hAnsi="宋体"/>
          <w:sz w:val="24"/>
        </w:rPr>
        <w:t>上述声明真实有效，否则我方负全部责任。</w:t>
      </w:r>
    </w:p>
    <w:p>
      <w:pPr>
        <w:spacing w:line="360" w:lineRule="auto"/>
        <w:rPr>
          <w:rFonts w:ascii="宋体" w:hAnsi="宋体"/>
          <w:sz w:val="24"/>
        </w:rPr>
      </w:pPr>
    </w:p>
    <w:p>
      <w:pPr>
        <w:autoSpaceDE w:val="0"/>
        <w:autoSpaceDN w:val="0"/>
        <w:adjustRightInd w:val="0"/>
        <w:snapToGrid w:val="0"/>
        <w:spacing w:before="25" w:after="25" w:line="360" w:lineRule="auto"/>
        <w:jc w:val="right"/>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  ____________</w:t>
      </w:r>
    </w:p>
    <w:p>
      <w:pPr>
        <w:spacing w:line="360" w:lineRule="auto"/>
        <w:ind w:right="360" w:firstLine="480"/>
        <w:jc w:val="right"/>
        <w:rPr>
          <w:rFonts w:ascii="宋体" w:hAnsi="宋体"/>
          <w:sz w:val="24"/>
        </w:rPr>
      </w:pPr>
      <w:r>
        <w:rPr>
          <w:rFonts w:hint="eastAsia" w:ascii="宋体" w:hAnsi="宋体"/>
          <w:color w:val="000000"/>
          <w:sz w:val="24"/>
          <w:szCs w:val="20"/>
        </w:rPr>
        <w:t xml:space="preserve">日期：_____年______月______日   </w:t>
      </w:r>
    </w:p>
    <w:p>
      <w:pPr>
        <w:spacing w:line="360" w:lineRule="auto"/>
        <w:rPr>
          <w:rFonts w:ascii="宋体" w:hAnsi="宋体"/>
          <w:sz w:val="24"/>
        </w:rPr>
      </w:pPr>
      <w:r>
        <w:rPr>
          <w:rFonts w:hint="eastAsia" w:ascii="宋体" w:hAnsi="宋体"/>
          <w:sz w:val="24"/>
        </w:rPr>
        <w:t>说明：供应商承诺不实的，依据《政府采购法》第七十七条“提供虚假材料谋取中标、成交的”有关规定予以处理。</w:t>
      </w:r>
    </w:p>
    <w:p>
      <w:pPr>
        <w:widowControl/>
        <w:spacing w:beforeAutospacing="1" w:afterAutospacing="1" w:line="360" w:lineRule="auto"/>
        <w:jc w:val="left"/>
        <w:rPr>
          <w:rFonts w:ascii="宋体" w:hAnsi="宋体"/>
          <w:sz w:val="24"/>
        </w:rPr>
        <w:sectPr>
          <w:pgSz w:w="11907" w:h="16840"/>
          <w:pgMar w:top="1418" w:right="1134" w:bottom="1418" w:left="1701" w:header="851" w:footer="851" w:gutter="0"/>
          <w:pgNumType w:fmt="decimal"/>
          <w:cols w:space="720" w:num="1"/>
        </w:sectPr>
      </w:pP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Pr>
        <w:spacing w:line="360" w:lineRule="auto"/>
        <w:outlineLvl w:val="2"/>
        <w:rPr>
          <w:color w:val="000000"/>
          <w:sz w:val="24"/>
          <w:szCs w:val="20"/>
        </w:rPr>
      </w:pPr>
      <w:r>
        <w:rPr>
          <w:color w:val="000000"/>
          <w:sz w:val="24"/>
          <w:szCs w:val="20"/>
        </w:rPr>
        <w:t>2 落实政府采购政策需满足的资格要求（如有）</w:t>
      </w:r>
    </w:p>
    <w:p>
      <w:pPr>
        <w:spacing w:line="360" w:lineRule="auto"/>
        <w:outlineLvl w:val="2"/>
        <w:rPr>
          <w:color w:val="000000"/>
          <w:sz w:val="24"/>
          <w:szCs w:val="20"/>
        </w:rPr>
      </w:pPr>
      <w:r>
        <w:rPr>
          <w:color w:val="000000"/>
          <w:sz w:val="24"/>
          <w:szCs w:val="20"/>
        </w:rPr>
        <w:t>2-1中小企业声明函</w:t>
      </w:r>
    </w:p>
    <w:p>
      <w:pPr>
        <w:tabs>
          <w:tab w:val="left" w:pos="5580"/>
        </w:tabs>
        <w:spacing w:line="360" w:lineRule="auto"/>
        <w:rPr>
          <w:sz w:val="24"/>
        </w:rPr>
      </w:pPr>
    </w:p>
    <w:p>
      <w:pPr>
        <w:tabs>
          <w:tab w:val="left" w:pos="5580"/>
        </w:tabs>
        <w:spacing w:line="360" w:lineRule="auto"/>
        <w:rPr>
          <w:sz w:val="24"/>
        </w:rPr>
      </w:pPr>
      <w:r>
        <w:rPr>
          <w:sz w:val="24"/>
        </w:rPr>
        <w:t>说明：</w:t>
      </w:r>
    </w:p>
    <w:p>
      <w:pPr>
        <w:tabs>
          <w:tab w:val="left" w:pos="5580"/>
        </w:tabs>
        <w:spacing w:line="360" w:lineRule="auto"/>
        <w:rPr>
          <w:sz w:val="24"/>
        </w:rPr>
      </w:pPr>
      <w:r>
        <w:rPr>
          <w:sz w:val="24"/>
        </w:rPr>
        <w:t>（1）如本项目（包）不专门面向中小企业预留采购份额，</w:t>
      </w:r>
      <w:r>
        <w:rPr>
          <w:rFonts w:hint="eastAsia"/>
          <w:sz w:val="24"/>
        </w:rPr>
        <w:t>资格证明文件部分</w:t>
      </w:r>
      <w:r>
        <w:rPr>
          <w:sz w:val="24"/>
        </w:rPr>
        <w:t>无需提供《中小企业声明函》。</w:t>
      </w:r>
    </w:p>
    <w:p>
      <w:pPr>
        <w:tabs>
          <w:tab w:val="left" w:pos="5580"/>
        </w:tabs>
        <w:spacing w:line="360" w:lineRule="auto"/>
        <w:rPr>
          <w:sz w:val="24"/>
        </w:rPr>
      </w:pPr>
      <w:r>
        <w:rPr>
          <w:sz w:val="24"/>
        </w:rPr>
        <w:t>（2）如本项目（包）专门面向中小/小微企业采购，须提供《中小企业声明函》</w:t>
      </w:r>
      <w:r>
        <w:rPr>
          <w:color w:val="000000"/>
          <w:sz w:val="24"/>
          <w:szCs w:val="20"/>
        </w:rPr>
        <w:t>（实质性格式）</w:t>
      </w:r>
      <w:r>
        <w:rPr>
          <w:sz w:val="24"/>
        </w:rPr>
        <w:t>。</w:t>
      </w:r>
    </w:p>
    <w:p>
      <w:pPr>
        <w:tabs>
          <w:tab w:val="left" w:pos="5580"/>
        </w:tabs>
        <w:spacing w:line="360" w:lineRule="auto"/>
        <w:rPr>
          <w:sz w:val="24"/>
        </w:rPr>
      </w:pPr>
      <w:r>
        <w:rPr>
          <w:sz w:val="24"/>
        </w:rPr>
        <w:t>（3）如本项目（包）预留部分采购项目预算专门面向中小企业采购，要求供应商以联合体形式参加采购活动，且联合体中中小企业承担的部分达到一定比例的，须提供《联合协议》；要求获得采购合同的供应商将采购项目中的一定比例分包给一家或者多家中小企业的，须提供《拟分包情况说明及分包意向协议（类型一）》。</w:t>
      </w:r>
    </w:p>
    <w:p>
      <w:pPr>
        <w:tabs>
          <w:tab w:val="left" w:pos="5580"/>
        </w:tabs>
        <w:spacing w:line="360" w:lineRule="auto"/>
        <w:rPr>
          <w:sz w:val="24"/>
        </w:rPr>
      </w:pPr>
      <w:r>
        <w:rPr>
          <w:rFonts w:hint="eastAsia"/>
          <w:sz w:val="24"/>
        </w:rPr>
        <w:t>（4）其他</w:t>
      </w:r>
    </w:p>
    <w:p>
      <w:pPr>
        <w:tabs>
          <w:tab w:val="left" w:pos="5580"/>
        </w:tabs>
        <w:spacing w:line="360" w:lineRule="auto"/>
        <w:rPr>
          <w:sz w:val="24"/>
        </w:rPr>
      </w:pPr>
      <w:r>
        <w:rPr>
          <w:rFonts w:hint="eastAsia"/>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sz w:val="24"/>
        </w:rPr>
      </w:pPr>
      <w:r>
        <w:rPr>
          <w:rFonts w:hint="eastAsia"/>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sz w:val="24"/>
        </w:rPr>
      </w:pPr>
      <w:r>
        <w:rPr>
          <w:rFonts w:hint="eastAsia"/>
          <w:sz w:val="24"/>
        </w:rPr>
        <w:t>3）对于多标的的采购项目，投标人应充分、准确地了解所投产品制造企业信息。对相关情况了解不清楚的，不建议填报本声明函。</w:t>
      </w:r>
    </w:p>
    <w:p>
      <w:pPr>
        <w:tabs>
          <w:tab w:val="left" w:pos="5580"/>
        </w:tabs>
        <w:spacing w:line="360" w:lineRule="auto"/>
        <w:rPr>
          <w:sz w:val="24"/>
        </w:rPr>
      </w:pPr>
      <w:r>
        <w:rPr>
          <w:rFonts w:hint="eastAsia"/>
          <w:sz w:val="24"/>
        </w:rPr>
        <w:t>（5）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pStyle w:val="26"/>
        <w:rPr>
          <w:rFonts w:ascii="Times New Roman"/>
          <w:sz w:val="21"/>
        </w:rPr>
      </w:pPr>
      <w:r>
        <w:br w:type="page"/>
      </w:r>
    </w:p>
    <w:p>
      <w:pPr>
        <w:spacing w:before="240" w:beforeLines="100" w:after="240" w:afterLines="100" w:line="360" w:lineRule="auto"/>
        <w:jc w:val="center"/>
        <w:rPr>
          <w:b/>
          <w:color w:val="000000"/>
          <w:sz w:val="36"/>
          <w:szCs w:val="36"/>
        </w:rPr>
      </w:pPr>
      <w:r>
        <w:rPr>
          <w:rFonts w:hint="eastAsia"/>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color w:val="000000"/>
          <w:sz w:val="24"/>
        </w:rPr>
      </w:pPr>
      <w:r>
        <w:rPr>
          <w:color w:val="000000"/>
          <w:sz w:val="24"/>
        </w:rPr>
        <w:t>日 期：</w:t>
      </w:r>
      <w:r>
        <w:rPr>
          <w:sz w:val="24"/>
        </w:rPr>
        <w:t>______</w:t>
      </w:r>
    </w:p>
    <w:p>
      <w:pPr>
        <w:spacing w:line="360" w:lineRule="auto"/>
        <w:ind w:right="360" w:firstLine="480"/>
        <w:jc w:val="right"/>
        <w:rPr>
          <w:color w:val="000000"/>
          <w:sz w:val="24"/>
        </w:rPr>
      </w:pPr>
    </w:p>
    <w:p>
      <w:pPr>
        <w:spacing w:line="360" w:lineRule="auto"/>
        <w:ind w:right="360" w:firstLine="480"/>
        <w:jc w:val="right"/>
        <w:rPr>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Pr>
          <w:p>
            <w:pPr>
              <w:keepNext w:val="0"/>
              <w:keepLines w:val="0"/>
              <w:suppressLineNumbers w:val="0"/>
              <w:adjustRightInd w:val="0"/>
              <w:snapToGrid w:val="0"/>
              <w:spacing w:before="0" w:beforeAutospacing="0" w:after="0" w:afterAutospacing="0"/>
              <w:ind w:left="0" w:right="0"/>
              <w:jc w:val="left"/>
              <w:rPr>
                <w:rFonts w:hint="default"/>
                <w:color w:val="000000"/>
                <w:szCs w:val="21"/>
              </w:rPr>
            </w:pPr>
            <w:r>
              <w:rPr>
                <w:rFonts w:hint="default"/>
                <w:color w:val="000000"/>
                <w:szCs w:val="21"/>
                <w:vertAlign w:val="superscript"/>
              </w:rPr>
              <w:t>1</w:t>
            </w:r>
            <w:r>
              <w:rPr>
                <w:rFonts w:hint="default"/>
                <w:color w:val="000000"/>
                <w:szCs w:val="21"/>
              </w:rPr>
              <w:t>从业人员、营业收入、资产总额填报上一年度数据，无上一年度数据的新成立企业可不填报。</w:t>
            </w:r>
          </w:p>
        </w:tc>
      </w:tr>
    </w:tbl>
    <w:p>
      <w:pPr>
        <w:autoSpaceDE w:val="0"/>
        <w:autoSpaceDN w:val="0"/>
        <w:adjustRightInd w:val="0"/>
        <w:ind w:firstLine="420"/>
        <w:jc w:val="left"/>
        <w:rPr>
          <w:sz w:val="24"/>
        </w:rPr>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before="240" w:beforeLines="100" w:after="240" w:afterLines="100" w:line="360" w:lineRule="auto"/>
        <w:jc w:val="center"/>
        <w:rPr>
          <w:b/>
          <w:color w:val="000000"/>
          <w:sz w:val="36"/>
          <w:szCs w:val="36"/>
        </w:rPr>
      </w:pPr>
      <w:r>
        <w:rPr>
          <w:rFonts w:hint="eastAsia"/>
          <w:b/>
          <w:bCs/>
          <w:color w:val="000000"/>
          <w:sz w:val="36"/>
          <w:szCs w:val="36"/>
        </w:rPr>
        <w:t>残疾人福利性单位声明函格式</w:t>
      </w:r>
      <w:r>
        <w:rPr>
          <w:b/>
          <w:color w:val="000000"/>
          <w:sz w:val="36"/>
          <w:szCs w:val="36"/>
        </w:rPr>
        <w:t xml:space="preserve">       </w:t>
      </w:r>
    </w:p>
    <w:p>
      <w:pPr>
        <w:spacing w:line="588" w:lineRule="exact"/>
        <w:ind w:firstLine="504"/>
        <w:rPr>
          <w:spacing w:val="6"/>
          <w:sz w:val="24"/>
        </w:rPr>
      </w:pPr>
      <w:r>
        <w:rPr>
          <w:spacing w:val="6"/>
          <w:sz w:val="24"/>
        </w:rPr>
        <w:t>本单位郑重声明，根据《财政部 民政部 中国残疾人联合会关于促进残疾人就业政府采购政策的通知》（财库</w:t>
      </w:r>
      <w:r>
        <w:rPr>
          <w:sz w:val="24"/>
        </w:rPr>
        <w:t>〔2017〕 141</w:t>
      </w:r>
      <w:r>
        <w:rPr>
          <w:spacing w:val="6"/>
          <w:sz w:val="24"/>
        </w:rPr>
        <w:t>号）的规定，本单位</w:t>
      </w:r>
      <w:r>
        <w:rPr>
          <w:b/>
          <w:sz w:val="24"/>
        </w:rPr>
        <w:t>（请进行勾选）</w:t>
      </w:r>
      <w:r>
        <w:rPr>
          <w:spacing w:val="6"/>
          <w:sz w:val="24"/>
        </w:rPr>
        <w:t>：</w:t>
      </w:r>
    </w:p>
    <w:p>
      <w:pPr>
        <w:spacing w:line="588" w:lineRule="exact"/>
        <w:ind w:firstLine="482"/>
        <w:rPr>
          <w:b/>
          <w:spacing w:val="6"/>
          <w:sz w:val="24"/>
        </w:rPr>
      </w:pPr>
      <w:r>
        <w:rPr>
          <w:b/>
          <w:sz w:val="24"/>
        </w:rPr>
        <w:t>□</w:t>
      </w:r>
      <w:r>
        <w:rPr>
          <w:b/>
          <w:spacing w:val="6"/>
          <w:sz w:val="24"/>
        </w:rPr>
        <w:t>不属于符合条件的残疾人福利性单位。</w:t>
      </w:r>
    </w:p>
    <w:p>
      <w:pPr>
        <w:spacing w:line="588" w:lineRule="exact"/>
        <w:ind w:firstLine="482"/>
        <w:rPr>
          <w:spacing w:val="6"/>
          <w:sz w:val="24"/>
        </w:rPr>
      </w:pPr>
      <w:r>
        <w:rPr>
          <w:b/>
          <w:sz w:val="24"/>
        </w:rPr>
        <w:t>□</w:t>
      </w:r>
      <w:r>
        <w:rPr>
          <w:b/>
          <w:spacing w:val="6"/>
          <w:sz w:val="24"/>
        </w:rPr>
        <w:t>属于符合条件的残疾人福利性单位，</w:t>
      </w:r>
      <w:r>
        <w:rPr>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spacing w:val="6"/>
          <w:sz w:val="24"/>
        </w:rPr>
      </w:pPr>
      <w:r>
        <w:rPr>
          <w:b/>
          <w:spacing w:val="6"/>
          <w:sz w:val="24"/>
        </w:rPr>
        <w:t>本单位对上述声明的真实性负责。如有虚假，将依法承担相应责任。</w:t>
      </w:r>
    </w:p>
    <w:p>
      <w:pPr>
        <w:spacing w:line="588" w:lineRule="exact"/>
        <w:ind w:firstLine="504" w:firstLineChars="200"/>
        <w:rPr>
          <w:spacing w:val="6"/>
          <w:sz w:val="24"/>
        </w:rPr>
      </w:pPr>
    </w:p>
    <w:p>
      <w:pPr>
        <w:spacing w:line="588" w:lineRule="exact"/>
        <w:ind w:firstLine="504" w:firstLineChars="200"/>
        <w:rPr>
          <w:spacing w:val="6"/>
          <w:sz w:val="24"/>
        </w:rPr>
      </w:pPr>
    </w:p>
    <w:p>
      <w:pPr>
        <w:tabs>
          <w:tab w:val="left" w:pos="4860"/>
        </w:tabs>
        <w:spacing w:line="588" w:lineRule="exact"/>
        <w:ind w:right="1560" w:firstLine="504" w:firstLineChars="200"/>
        <w:jc w:val="center"/>
        <w:rPr>
          <w:spacing w:val="6"/>
          <w:sz w:val="24"/>
        </w:rPr>
      </w:pPr>
      <w:r>
        <w:rPr>
          <w:spacing w:val="6"/>
          <w:sz w:val="24"/>
        </w:rPr>
        <w:t xml:space="preserve">               单位名称（盖章）：</w:t>
      </w:r>
    </w:p>
    <w:p>
      <w:pPr>
        <w:tabs>
          <w:tab w:val="left" w:pos="4860"/>
        </w:tabs>
        <w:spacing w:line="588" w:lineRule="exact"/>
        <w:ind w:right="1560" w:firstLine="504" w:firstLineChars="200"/>
        <w:jc w:val="center"/>
        <w:rPr>
          <w:spacing w:val="6"/>
          <w:sz w:val="24"/>
        </w:rPr>
      </w:pPr>
      <w:r>
        <w:rPr>
          <w:spacing w:val="6"/>
          <w:sz w:val="24"/>
        </w:rPr>
        <w:t xml:space="preserve">       日  期：</w:t>
      </w:r>
    </w:p>
    <w:p>
      <w:pPr>
        <w:widowControl/>
        <w:jc w:val="left"/>
        <w:rPr>
          <w:color w:val="000000"/>
          <w:sz w:val="24"/>
          <w:szCs w:val="20"/>
        </w:rPr>
      </w:pPr>
      <w:r>
        <w:rPr>
          <w:color w:val="000000"/>
          <w:sz w:val="24"/>
          <w:szCs w:val="20"/>
        </w:rPr>
        <w:br w:type="page"/>
      </w:r>
    </w:p>
    <w:p>
      <w:pPr>
        <w:spacing w:line="360" w:lineRule="auto"/>
        <w:outlineLvl w:val="2"/>
        <w:rPr>
          <w:color w:val="000000"/>
          <w:sz w:val="24"/>
          <w:szCs w:val="20"/>
        </w:rPr>
      </w:pPr>
      <w:r>
        <w:rPr>
          <w:color w:val="000000"/>
          <w:sz w:val="24"/>
          <w:szCs w:val="20"/>
        </w:rPr>
        <w:t>2-2拟分包情况说明及分包意向协议（类型一）</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jc w:val="center"/>
        <w:rPr>
          <w:color w:val="000000"/>
          <w:sz w:val="30"/>
          <w:szCs w:val="30"/>
        </w:rPr>
      </w:pPr>
    </w:p>
    <w:p>
      <w:pPr>
        <w:autoSpaceDE w:val="0"/>
        <w:autoSpaceDN w:val="0"/>
        <w:adjustRightInd w:val="0"/>
        <w:spacing w:line="360" w:lineRule="auto"/>
        <w:jc w:val="center"/>
        <w:rPr>
          <w:b/>
          <w:color w:val="000000"/>
          <w:sz w:val="36"/>
          <w:szCs w:val="36"/>
        </w:rPr>
      </w:pPr>
      <w:r>
        <w:rPr>
          <w:rFonts w:hint="eastAsia"/>
          <w:b/>
          <w:color w:val="000000"/>
          <w:sz w:val="36"/>
          <w:szCs w:val="36"/>
        </w:rPr>
        <w:t>拟分包情况说明</w:t>
      </w:r>
    </w:p>
    <w:p>
      <w:pPr>
        <w:tabs>
          <w:tab w:val="left" w:pos="5580"/>
        </w:tabs>
        <w:spacing w:line="360" w:lineRule="auto"/>
        <w:rPr>
          <w:color w:val="000000"/>
          <w:sz w:val="24"/>
        </w:rPr>
      </w:pPr>
      <w:r>
        <w:rPr>
          <w:color w:val="000000"/>
          <w:sz w:val="24"/>
        </w:rPr>
        <w:t>致：</w:t>
      </w:r>
      <w:r>
        <w:rPr>
          <w:color w:val="000000"/>
          <w:sz w:val="24"/>
          <w:u w:val="single"/>
        </w:rPr>
        <w:t>（采购人或采购代理机构）</w:t>
      </w:r>
    </w:p>
    <w:p>
      <w:pPr>
        <w:adjustRightInd w:val="0"/>
        <w:snapToGrid w:val="0"/>
        <w:spacing w:line="360" w:lineRule="auto"/>
        <w:ind w:firstLine="480" w:firstLineChars="200"/>
        <w:jc w:val="left"/>
        <w:rPr>
          <w:sz w:val="24"/>
        </w:rPr>
      </w:pPr>
      <w:r>
        <w:rPr>
          <w:sz w:val="24"/>
        </w:rPr>
        <w:t>我单位参加贵单位组织采购的项目编号为_______的_________项目（填写采购项目名称）中___包（填写包号）的投标。拟签订分包合同的单位情况如下表所示，我单位承诺一旦在该项目中获得采购合同将按下表所列情况进行分包，同时承诺分包承担主体不再次分包。</w:t>
      </w:r>
    </w:p>
    <w:tbl>
      <w:tblPr>
        <w:tblStyle w:val="264"/>
        <w:tblW w:w="90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6"/>
        <w:gridCol w:w="1287"/>
        <w:gridCol w:w="1513"/>
        <w:gridCol w:w="1125"/>
        <w:gridCol w:w="1561"/>
        <w:gridCol w:w="1498"/>
        <w:gridCol w:w="1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456" w:type="dxa"/>
            <w:vAlign w:val="center"/>
          </w:tcPr>
          <w:p>
            <w:pPr>
              <w:pStyle w:val="258"/>
              <w:jc w:val="center"/>
              <w:rPr>
                <w:sz w:val="24"/>
              </w:rPr>
            </w:pPr>
            <w:r>
              <w:rPr>
                <w:sz w:val="24"/>
              </w:rPr>
              <w:t>序号</w:t>
            </w:r>
          </w:p>
        </w:tc>
        <w:tc>
          <w:tcPr>
            <w:tcW w:w="1287" w:type="dxa"/>
            <w:vAlign w:val="center"/>
          </w:tcPr>
          <w:p>
            <w:pPr>
              <w:pStyle w:val="258"/>
              <w:jc w:val="center"/>
              <w:rPr>
                <w:sz w:val="24"/>
              </w:rPr>
            </w:pPr>
            <w:r>
              <w:rPr>
                <w:sz w:val="24"/>
              </w:rPr>
              <w:t>分包承担</w:t>
            </w:r>
          </w:p>
          <w:p>
            <w:pPr>
              <w:pStyle w:val="258"/>
              <w:jc w:val="center"/>
              <w:rPr>
                <w:sz w:val="24"/>
              </w:rPr>
            </w:pPr>
            <w:r>
              <w:rPr>
                <w:sz w:val="24"/>
              </w:rPr>
              <w:t>主体名称</w:t>
            </w:r>
          </w:p>
        </w:tc>
        <w:tc>
          <w:tcPr>
            <w:tcW w:w="1513" w:type="dxa"/>
            <w:vAlign w:val="center"/>
          </w:tcPr>
          <w:p>
            <w:pPr>
              <w:pStyle w:val="258"/>
              <w:jc w:val="center"/>
              <w:rPr>
                <w:sz w:val="24"/>
                <w:lang w:eastAsia="zh-CN"/>
              </w:rPr>
            </w:pPr>
            <w:r>
              <w:rPr>
                <w:sz w:val="24"/>
                <w:lang w:eastAsia="zh-CN"/>
              </w:rPr>
              <w:t>分包承担</w:t>
            </w:r>
          </w:p>
          <w:p>
            <w:pPr>
              <w:pStyle w:val="258"/>
              <w:jc w:val="center"/>
              <w:rPr>
                <w:sz w:val="24"/>
                <w:lang w:eastAsia="zh-CN"/>
              </w:rPr>
            </w:pPr>
            <w:r>
              <w:rPr>
                <w:sz w:val="24"/>
                <w:lang w:eastAsia="zh-CN"/>
              </w:rPr>
              <w:t>主体类型</w:t>
            </w:r>
          </w:p>
          <w:p>
            <w:pPr>
              <w:pStyle w:val="258"/>
              <w:jc w:val="center"/>
              <w:rPr>
                <w:sz w:val="24"/>
                <w:lang w:eastAsia="zh-CN"/>
              </w:rPr>
            </w:pPr>
            <w:r>
              <w:rPr>
                <w:rFonts w:hint="eastAsia"/>
                <w:sz w:val="24"/>
                <w:lang w:eastAsia="zh-CN"/>
              </w:rPr>
              <w:t>（勾选）</w:t>
            </w:r>
          </w:p>
        </w:tc>
        <w:tc>
          <w:tcPr>
            <w:tcW w:w="1125" w:type="dxa"/>
            <w:vAlign w:val="center"/>
          </w:tcPr>
          <w:p>
            <w:pPr>
              <w:pStyle w:val="258"/>
              <w:jc w:val="center"/>
              <w:rPr>
                <w:sz w:val="24"/>
              </w:rPr>
            </w:pPr>
            <w:r>
              <w:rPr>
                <w:sz w:val="24"/>
              </w:rPr>
              <w:t>资质等级</w:t>
            </w:r>
          </w:p>
        </w:tc>
        <w:tc>
          <w:tcPr>
            <w:tcW w:w="1561" w:type="dxa"/>
            <w:vAlign w:val="center"/>
          </w:tcPr>
          <w:p>
            <w:pPr>
              <w:pStyle w:val="258"/>
              <w:jc w:val="center"/>
              <w:rPr>
                <w:sz w:val="24"/>
              </w:rPr>
            </w:pPr>
            <w:r>
              <w:rPr>
                <w:sz w:val="24"/>
              </w:rPr>
              <w:t>拟分包</w:t>
            </w:r>
          </w:p>
          <w:p>
            <w:pPr>
              <w:pStyle w:val="258"/>
              <w:jc w:val="center"/>
              <w:rPr>
                <w:sz w:val="24"/>
              </w:rPr>
            </w:pPr>
            <w:r>
              <w:rPr>
                <w:sz w:val="24"/>
              </w:rPr>
              <w:t>合同内容</w:t>
            </w:r>
          </w:p>
        </w:tc>
        <w:tc>
          <w:tcPr>
            <w:tcW w:w="1498" w:type="dxa"/>
            <w:vAlign w:val="center"/>
          </w:tcPr>
          <w:p>
            <w:pPr>
              <w:pStyle w:val="258"/>
              <w:jc w:val="center"/>
              <w:rPr>
                <w:sz w:val="24"/>
                <w:lang w:eastAsia="zh-CN"/>
              </w:rPr>
            </w:pPr>
            <w:r>
              <w:rPr>
                <w:sz w:val="24"/>
                <w:lang w:eastAsia="zh-CN"/>
              </w:rPr>
              <w:t>拟分包</w:t>
            </w:r>
          </w:p>
          <w:p>
            <w:pPr>
              <w:pStyle w:val="258"/>
              <w:jc w:val="center"/>
              <w:rPr>
                <w:sz w:val="24"/>
                <w:lang w:eastAsia="zh-CN"/>
              </w:rPr>
            </w:pPr>
            <w:r>
              <w:rPr>
                <w:sz w:val="24"/>
                <w:lang w:eastAsia="zh-CN"/>
              </w:rPr>
              <w:t>合同金额</w:t>
            </w:r>
          </w:p>
          <w:p>
            <w:pPr>
              <w:pStyle w:val="258"/>
              <w:jc w:val="center"/>
              <w:rPr>
                <w:sz w:val="24"/>
                <w:lang w:eastAsia="zh-CN"/>
              </w:rPr>
            </w:pPr>
            <w:r>
              <w:rPr>
                <w:sz w:val="24"/>
                <w:lang w:eastAsia="zh-CN"/>
              </w:rPr>
              <w:t>（人民币元）</w:t>
            </w:r>
          </w:p>
        </w:tc>
        <w:tc>
          <w:tcPr>
            <w:tcW w:w="1564" w:type="dxa"/>
            <w:vAlign w:val="center"/>
          </w:tcPr>
          <w:p>
            <w:pPr>
              <w:pStyle w:val="258"/>
              <w:jc w:val="center"/>
              <w:rPr>
                <w:sz w:val="24"/>
                <w:lang w:eastAsia="zh-CN"/>
              </w:rPr>
            </w:pPr>
            <w:r>
              <w:rPr>
                <w:sz w:val="24"/>
                <w:lang w:eastAsia="zh-CN"/>
              </w:rPr>
              <w:t>占该采购包</w:t>
            </w:r>
          </w:p>
          <w:p>
            <w:pPr>
              <w:pStyle w:val="258"/>
              <w:jc w:val="center"/>
              <w:rPr>
                <w:b/>
                <w:sz w:val="24"/>
                <w:lang w:eastAsia="zh-CN"/>
              </w:rPr>
            </w:pPr>
            <w:r>
              <w:rPr>
                <w:rFonts w:hint="eastAsia"/>
                <w:b/>
                <w:sz w:val="24"/>
                <w:lang w:eastAsia="zh-CN"/>
              </w:rPr>
              <w:t>预算</w:t>
            </w:r>
            <w:r>
              <w:rPr>
                <w:b/>
                <w:sz w:val="24"/>
                <w:lang w:eastAsia="zh-CN"/>
              </w:rPr>
              <w:t>金额的</w:t>
            </w:r>
          </w:p>
          <w:p>
            <w:pPr>
              <w:pStyle w:val="258"/>
              <w:jc w:val="center"/>
              <w:rPr>
                <w:sz w:val="24"/>
                <w:lang w:eastAsia="zh-CN"/>
              </w:rPr>
            </w:pPr>
            <w:r>
              <w:rPr>
                <w:sz w:val="24"/>
                <w:lang w:eastAsia="zh-CN"/>
              </w:rPr>
              <w:t>比例</w:t>
            </w:r>
            <w:r>
              <w:rPr>
                <w:rFonts w:hint="eastAsia"/>
                <w:sz w:val="24"/>
                <w:lang w:eastAsia="zh-CN"/>
              </w:rPr>
              <w:t>（</w:t>
            </w:r>
            <w:r>
              <w:rPr>
                <w:rFonts w:ascii="Times New Roman" w:eastAsia="Times New Roman"/>
                <w:sz w:val="24"/>
                <w:lang w:eastAsia="zh-CN"/>
              </w:rPr>
              <w:t>%</w:t>
            </w:r>
            <w:r>
              <w:rPr>
                <w:rFonts w:hint="eastAsia"/>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rPr>
            </w:pPr>
            <w:r>
              <w:rPr>
                <w:rFonts w:ascii="Times New Roman"/>
                <w:sz w:val="24"/>
              </w:rPr>
              <w:t>1</w:t>
            </w:r>
          </w:p>
        </w:tc>
        <w:tc>
          <w:tcPr>
            <w:tcW w:w="1287" w:type="dxa"/>
            <w:vAlign w:val="center"/>
          </w:tcPr>
          <w:p>
            <w:pPr>
              <w:pStyle w:val="258"/>
              <w:jc w:val="center"/>
              <w:rPr>
                <w:rFonts w:ascii="Times New Roman" w:hAnsi="Times New Roman" w:cs="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hint="eastAsia" w:ascii="Times New Roman"/>
                <w:sz w:val="24"/>
                <w:lang w:eastAsia="zh-CN"/>
              </w:rPr>
              <w:t>2</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□中型企业</w:t>
            </w:r>
          </w:p>
          <w:p>
            <w:pPr>
              <w:pStyle w:val="258"/>
              <w:tabs>
                <w:tab w:val="left" w:pos="235"/>
              </w:tabs>
              <w:ind w:left="1" w:leftChars="-43" w:hanging="91" w:hangingChars="38"/>
              <w:jc w:val="center"/>
              <w:rPr>
                <w:rFonts w:ascii="Times New Roman" w:hAnsi="Times New Roman" w:cs="Times New Roman"/>
                <w:sz w:val="24"/>
                <w:lang w:eastAsia="zh-CN"/>
              </w:rPr>
            </w:pPr>
            <w:r>
              <w:rPr>
                <w:rFonts w:ascii="Times New Roman" w:hAnsi="Times New Roman" w:cs="Times New Roman"/>
                <w:sz w:val="24"/>
                <w:lang w:eastAsia="zh-CN"/>
              </w:rPr>
              <w:t>□小微企业</w:t>
            </w:r>
          </w:p>
        </w:tc>
        <w:tc>
          <w:tcPr>
            <w:tcW w:w="1125" w:type="dxa"/>
            <w:vAlign w:val="center"/>
          </w:tcPr>
          <w:p>
            <w:pPr>
              <w:pStyle w:val="258"/>
              <w:jc w:val="center"/>
              <w:rPr>
                <w:rFonts w:ascii="Times New Roman"/>
                <w:sz w:val="30"/>
                <w:lang w:eastAsia="zh-CN"/>
              </w:rPr>
            </w:pPr>
          </w:p>
        </w:tc>
        <w:tc>
          <w:tcPr>
            <w:tcW w:w="1561" w:type="dxa"/>
            <w:vAlign w:val="center"/>
          </w:tcPr>
          <w:p>
            <w:pPr>
              <w:pStyle w:val="258"/>
              <w:jc w:val="center"/>
              <w:rPr>
                <w:rFonts w:ascii="Times New Roman"/>
                <w:sz w:val="30"/>
                <w:lang w:eastAsia="zh-CN"/>
              </w:rPr>
            </w:pPr>
          </w:p>
        </w:tc>
        <w:tc>
          <w:tcPr>
            <w:tcW w:w="1498" w:type="dxa"/>
            <w:vAlign w:val="center"/>
          </w:tcPr>
          <w:p>
            <w:pPr>
              <w:pStyle w:val="258"/>
              <w:jc w:val="center"/>
              <w:rPr>
                <w:rFonts w:ascii="Times New Roman"/>
                <w:sz w:val="30"/>
                <w:lang w:eastAsia="zh-CN"/>
              </w:rPr>
            </w:pPr>
          </w:p>
        </w:tc>
        <w:tc>
          <w:tcPr>
            <w:tcW w:w="1564" w:type="dxa"/>
            <w:vAlign w:val="center"/>
          </w:tcPr>
          <w:p>
            <w:pPr>
              <w:pStyle w:val="258"/>
              <w:jc w:val="center"/>
              <w:rPr>
                <w:rFonts w:ascii="Times New Roman"/>
                <w:sz w:val="3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456" w:type="dxa"/>
            <w:vAlign w:val="center"/>
          </w:tcPr>
          <w:p>
            <w:pPr>
              <w:pStyle w:val="258"/>
              <w:jc w:val="center"/>
              <w:rPr>
                <w:rFonts w:ascii="Times New Roman"/>
                <w:sz w:val="24"/>
                <w:lang w:eastAsia="zh-CN"/>
              </w:rPr>
            </w:pPr>
            <w:r>
              <w:rPr>
                <w:rFonts w:ascii="Times New Roman"/>
                <w:sz w:val="24"/>
                <w:lang w:eastAsia="zh-CN"/>
              </w:rPr>
              <w:t>…</w:t>
            </w:r>
          </w:p>
        </w:tc>
        <w:tc>
          <w:tcPr>
            <w:tcW w:w="1287" w:type="dxa"/>
            <w:vAlign w:val="center"/>
          </w:tcPr>
          <w:p>
            <w:pPr>
              <w:pStyle w:val="258"/>
              <w:jc w:val="center"/>
              <w:rPr>
                <w:rFonts w:ascii="Times New Roman"/>
                <w:sz w:val="30"/>
              </w:rPr>
            </w:pPr>
          </w:p>
        </w:tc>
        <w:tc>
          <w:tcPr>
            <w:tcW w:w="1513" w:type="dxa"/>
            <w:vAlign w:val="center"/>
          </w:tcPr>
          <w:p>
            <w:pPr>
              <w:pStyle w:val="258"/>
              <w:tabs>
                <w:tab w:val="left" w:pos="235"/>
              </w:tabs>
              <w:jc w:val="center"/>
              <w:rPr>
                <w:sz w:val="24"/>
              </w:rPr>
            </w:pPr>
          </w:p>
        </w:tc>
        <w:tc>
          <w:tcPr>
            <w:tcW w:w="1125" w:type="dxa"/>
            <w:vAlign w:val="center"/>
          </w:tcPr>
          <w:p>
            <w:pPr>
              <w:pStyle w:val="258"/>
              <w:jc w:val="center"/>
              <w:rPr>
                <w:rFonts w:ascii="Times New Roman"/>
                <w:sz w:val="30"/>
              </w:rPr>
            </w:pPr>
          </w:p>
        </w:tc>
        <w:tc>
          <w:tcPr>
            <w:tcW w:w="1561" w:type="dxa"/>
            <w:vAlign w:val="center"/>
          </w:tcPr>
          <w:p>
            <w:pPr>
              <w:pStyle w:val="258"/>
              <w:jc w:val="center"/>
              <w:rPr>
                <w:rFonts w:ascii="Times New Roman"/>
                <w:sz w:val="30"/>
              </w:rPr>
            </w:pP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jc w:val="center"/>
        </w:trPr>
        <w:tc>
          <w:tcPr>
            <w:tcW w:w="5942" w:type="dxa"/>
            <w:gridSpan w:val="5"/>
            <w:vAlign w:val="center"/>
          </w:tcPr>
          <w:p>
            <w:pPr>
              <w:pStyle w:val="258"/>
              <w:ind w:right="57" w:rightChars="27"/>
              <w:jc w:val="right"/>
              <w:rPr>
                <w:sz w:val="24"/>
                <w:lang w:eastAsia="zh-CN"/>
              </w:rPr>
            </w:pPr>
            <w:r>
              <w:rPr>
                <w:rFonts w:hint="eastAsia"/>
                <w:sz w:val="24"/>
                <w:lang w:eastAsia="zh-CN"/>
              </w:rPr>
              <w:t>合计：</w:t>
            </w:r>
          </w:p>
        </w:tc>
        <w:tc>
          <w:tcPr>
            <w:tcW w:w="1498" w:type="dxa"/>
            <w:vAlign w:val="center"/>
          </w:tcPr>
          <w:p>
            <w:pPr>
              <w:pStyle w:val="258"/>
              <w:jc w:val="center"/>
              <w:rPr>
                <w:rFonts w:ascii="Times New Roman"/>
                <w:sz w:val="30"/>
              </w:rPr>
            </w:pPr>
          </w:p>
        </w:tc>
        <w:tc>
          <w:tcPr>
            <w:tcW w:w="1564" w:type="dxa"/>
            <w:vAlign w:val="center"/>
          </w:tcPr>
          <w:p>
            <w:pPr>
              <w:pStyle w:val="258"/>
              <w:jc w:val="center"/>
              <w:rPr>
                <w:rFonts w:ascii="Times New Roman"/>
                <w:sz w:val="30"/>
              </w:rPr>
            </w:pPr>
          </w:p>
        </w:tc>
      </w:tr>
    </w:tbl>
    <w:p>
      <w:pPr>
        <w:adjustRightInd w:val="0"/>
        <w:snapToGrid w:val="0"/>
        <w:spacing w:line="360" w:lineRule="auto"/>
        <w:ind w:firstLine="480" w:firstLineChars="200"/>
        <w:jc w:val="left"/>
        <w:rPr>
          <w:sz w:val="24"/>
        </w:rPr>
      </w:pPr>
    </w:p>
    <w:p>
      <w:pPr>
        <w:adjustRightInd w:val="0"/>
        <w:snapToGrid w:val="0"/>
        <w:spacing w:line="360" w:lineRule="auto"/>
        <w:jc w:val="left"/>
        <w:rPr>
          <w:sz w:val="24"/>
        </w:rPr>
      </w:pPr>
    </w:p>
    <w:p>
      <w:pPr>
        <w:autoSpaceDE w:val="0"/>
        <w:autoSpaceDN w:val="0"/>
        <w:adjustRightInd w:val="0"/>
        <w:snapToGrid w:val="0"/>
        <w:spacing w:before="25" w:after="25" w:line="360" w:lineRule="auto"/>
        <w:jc w:val="right"/>
        <w:rPr>
          <w:color w:val="000000"/>
          <w:sz w:val="24"/>
          <w:lang w:val="zh-CN"/>
        </w:rPr>
      </w:pPr>
      <w:r>
        <w:rPr>
          <w:color w:val="000000"/>
          <w:sz w:val="24"/>
        </w:rPr>
        <w:t>投标人名称（加盖公章）</w:t>
      </w:r>
      <w:r>
        <w:rPr>
          <w:color w:val="000000"/>
          <w:sz w:val="24"/>
          <w:lang w:val="zh-CN"/>
        </w:rPr>
        <w:t>：____________</w:t>
      </w:r>
    </w:p>
    <w:p>
      <w:pPr>
        <w:spacing w:line="360" w:lineRule="auto"/>
        <w:ind w:right="-57" w:firstLine="480"/>
        <w:jc w:val="right"/>
        <w:rPr>
          <w:color w:val="000000"/>
          <w:sz w:val="24"/>
        </w:rPr>
      </w:pPr>
      <w:r>
        <w:rPr>
          <w:color w:val="000000"/>
          <w:sz w:val="24"/>
          <w:szCs w:val="20"/>
        </w:rPr>
        <w:t>日期：_____年______月______日</w:t>
      </w:r>
    </w:p>
    <w:p>
      <w:pPr>
        <w:adjustRightInd w:val="0"/>
        <w:snapToGrid w:val="0"/>
        <w:spacing w:line="360" w:lineRule="auto"/>
        <w:jc w:val="left"/>
        <w:rPr>
          <w:sz w:val="24"/>
        </w:rPr>
      </w:pPr>
    </w:p>
    <w:p>
      <w:pPr>
        <w:adjustRightInd w:val="0"/>
        <w:snapToGrid w:val="0"/>
        <w:spacing w:line="360" w:lineRule="auto"/>
        <w:jc w:val="left"/>
        <w:rPr>
          <w:sz w:val="24"/>
        </w:rPr>
      </w:pPr>
      <w:r>
        <w:rPr>
          <w:sz w:val="24"/>
        </w:rPr>
        <w:t>说明：</w:t>
      </w:r>
    </w:p>
    <w:p>
      <w:pPr>
        <w:adjustRightInd w:val="0"/>
        <w:snapToGrid w:val="0"/>
        <w:spacing w:line="360" w:lineRule="auto"/>
        <w:jc w:val="left"/>
        <w:rPr>
          <w:sz w:val="24"/>
        </w:rPr>
      </w:pPr>
      <w:r>
        <w:rPr>
          <w:sz w:val="24"/>
        </w:rPr>
        <w:t>（1）本表仅在投标人“为落实政府采购政策”而向中小企业分包时填写，非因“为落实政府采购政策”而进行的分包请按照《</w:t>
      </w:r>
      <w:r>
        <w:rPr>
          <w:color w:val="000000"/>
          <w:sz w:val="24"/>
          <w:szCs w:val="20"/>
        </w:rPr>
        <w:t>拟分包情况说明（类型二）</w:t>
      </w:r>
      <w:r>
        <w:rPr>
          <w:sz w:val="24"/>
        </w:rPr>
        <w:t>》要求填写。</w:t>
      </w:r>
    </w:p>
    <w:p>
      <w:pPr>
        <w:adjustRightInd w:val="0"/>
        <w:snapToGrid w:val="0"/>
        <w:spacing w:line="360" w:lineRule="auto"/>
        <w:jc w:val="left"/>
        <w:rPr>
          <w:sz w:val="24"/>
        </w:rPr>
      </w:pPr>
      <w:r>
        <w:rPr>
          <w:sz w:val="24"/>
        </w:rPr>
        <w:t>（2）如本招标文件《投标人须知资料表》载明本项目分包承担主体应具备的相应资质条件，则投标人须在本表中列明分包承担主体的资质等级，并后附资质证书电子件，否则</w:t>
      </w:r>
      <w:r>
        <w:rPr>
          <w:b/>
          <w:sz w:val="24"/>
        </w:rPr>
        <w:t>投标无效</w:t>
      </w:r>
      <w:r>
        <w:rPr>
          <w:sz w:val="24"/>
        </w:rPr>
        <w:t>。</w:t>
      </w:r>
    </w:p>
    <w:p>
      <w:pPr>
        <w:adjustRightInd w:val="0"/>
        <w:snapToGrid w:val="0"/>
        <w:spacing w:line="360" w:lineRule="auto"/>
        <w:jc w:val="left"/>
        <w:rPr>
          <w:color w:val="000000"/>
          <w:sz w:val="30"/>
          <w:szCs w:val="30"/>
        </w:rPr>
      </w:pPr>
      <w:r>
        <w:rPr>
          <w:sz w:val="24"/>
        </w:rPr>
        <w:t>（3）投标人与上述拟分包承担主体签署的《分包意向协议》后附。</w:t>
      </w:r>
    </w:p>
    <w:p>
      <w:pPr>
        <w:autoSpaceDE w:val="0"/>
        <w:autoSpaceDN w:val="0"/>
        <w:adjustRightInd w:val="0"/>
        <w:spacing w:line="360" w:lineRule="auto"/>
        <w:jc w:val="center"/>
        <w:rPr>
          <w:b/>
          <w:color w:val="000000"/>
          <w:sz w:val="36"/>
          <w:szCs w:val="36"/>
        </w:rPr>
      </w:pPr>
      <w:r>
        <w:rPr>
          <w:color w:val="000000"/>
          <w:sz w:val="30"/>
          <w:szCs w:val="30"/>
        </w:rPr>
        <w:br w:type="page"/>
      </w:r>
      <w:r>
        <w:rPr>
          <w:rFonts w:hint="eastAsia"/>
          <w:b/>
          <w:color w:val="000000"/>
          <w:sz w:val="36"/>
          <w:szCs w:val="36"/>
        </w:rPr>
        <w:t>附：分包意向协议（实质性格式）</w:t>
      </w:r>
    </w:p>
    <w:p>
      <w:pPr>
        <w:adjustRightInd w:val="0"/>
        <w:snapToGrid w:val="0"/>
        <w:spacing w:line="360" w:lineRule="auto"/>
        <w:ind w:firstLine="480" w:firstLineChars="200"/>
        <w:jc w:val="left"/>
        <w:rPr>
          <w:sz w:val="24"/>
        </w:rPr>
      </w:pPr>
      <w:r>
        <w:rPr>
          <w:sz w:val="24"/>
        </w:rPr>
        <w:t>甲方（投标人）：________</w:t>
      </w:r>
    </w:p>
    <w:p>
      <w:pPr>
        <w:adjustRightInd w:val="0"/>
        <w:snapToGrid w:val="0"/>
        <w:spacing w:line="360" w:lineRule="auto"/>
        <w:ind w:firstLine="480" w:firstLineChars="200"/>
        <w:jc w:val="left"/>
        <w:rPr>
          <w:sz w:val="24"/>
        </w:rPr>
      </w:pPr>
      <w:r>
        <w:rPr>
          <w:sz w:val="24"/>
        </w:rPr>
        <w:t>乙方（拟分包单位）：________</w:t>
      </w:r>
    </w:p>
    <w:p>
      <w:pPr>
        <w:adjustRightInd w:val="0"/>
        <w:snapToGrid w:val="0"/>
        <w:spacing w:line="360" w:lineRule="auto"/>
        <w:ind w:firstLine="480" w:firstLineChars="200"/>
        <w:jc w:val="left"/>
        <w:rPr>
          <w:sz w:val="24"/>
        </w:rPr>
      </w:pPr>
      <w:r>
        <w:rPr>
          <w:sz w:val="24"/>
        </w:rPr>
        <w:t>甲方承诺，一旦在_________（采购项目名称）（项目编号/包号为：_______）招标采购项目中获得采购合同，将按照下述约定将合同项下部分内容分包给乙方：</w:t>
      </w:r>
    </w:p>
    <w:p>
      <w:pPr>
        <w:adjustRightInd w:val="0"/>
        <w:snapToGrid w:val="0"/>
        <w:spacing w:line="360" w:lineRule="auto"/>
        <w:ind w:firstLine="480" w:firstLineChars="200"/>
        <w:jc w:val="left"/>
        <w:rPr>
          <w:sz w:val="24"/>
        </w:rPr>
      </w:pPr>
      <w:r>
        <w:rPr>
          <w:sz w:val="24"/>
        </w:rPr>
        <w:t>1.分包内容：_____。</w:t>
      </w:r>
    </w:p>
    <w:p>
      <w:pPr>
        <w:adjustRightInd w:val="0"/>
        <w:snapToGrid w:val="0"/>
        <w:spacing w:line="360" w:lineRule="auto"/>
        <w:ind w:firstLine="480" w:firstLineChars="200"/>
        <w:jc w:val="left"/>
        <w:rPr>
          <w:sz w:val="24"/>
        </w:rPr>
      </w:pPr>
      <w:r>
        <w:rPr>
          <w:sz w:val="24"/>
        </w:rPr>
        <w:t>2.分包金额：_____，该金额占该采购包预算总金额的比例为___%。</w:t>
      </w:r>
    </w:p>
    <w:p>
      <w:pPr>
        <w:adjustRightInd w:val="0"/>
        <w:snapToGrid w:val="0"/>
        <w:spacing w:line="360" w:lineRule="auto"/>
        <w:ind w:firstLine="480" w:firstLineChars="200"/>
        <w:jc w:val="left"/>
        <w:rPr>
          <w:bCs/>
          <w:color w:val="000000"/>
          <w:sz w:val="24"/>
        </w:rPr>
      </w:pPr>
      <w:r>
        <w:rPr>
          <w:sz w:val="24"/>
        </w:rPr>
        <w:t>乙方承诺将在上述情况下与甲方签订分包合同。</w:t>
      </w:r>
    </w:p>
    <w:p>
      <w:pPr>
        <w:adjustRightInd w:val="0"/>
        <w:snapToGrid w:val="0"/>
        <w:spacing w:line="360" w:lineRule="auto"/>
        <w:ind w:firstLine="480" w:firstLineChars="200"/>
        <w:jc w:val="left"/>
        <w:rPr>
          <w:sz w:val="24"/>
        </w:rPr>
      </w:pPr>
      <w:r>
        <w:rPr>
          <w:sz w:val="24"/>
        </w:rPr>
        <w:t>本协议自各方盖章之日起生效，如甲方未在该项目（采购包）中标，本协议自动终止。</w:t>
      </w:r>
    </w:p>
    <w:p>
      <w:pPr>
        <w:spacing w:line="360" w:lineRule="auto"/>
        <w:ind w:firstLine="471"/>
        <w:rPr>
          <w:b/>
          <w:color w:val="000000"/>
          <w:sz w:val="24"/>
        </w:rPr>
      </w:pPr>
    </w:p>
    <w:p>
      <w:pPr>
        <w:spacing w:line="360" w:lineRule="auto"/>
        <w:ind w:firstLine="471"/>
        <w:rPr>
          <w:b/>
          <w:color w:val="000000"/>
          <w:sz w:val="24"/>
        </w:rPr>
      </w:pPr>
      <w:r>
        <w:rPr>
          <w:color w:val="000000"/>
          <w:sz w:val="24"/>
        </w:rPr>
        <w:t>甲方（盖章）：_________                 乙方（盖章）：_________</w:t>
      </w:r>
    </w:p>
    <w:p>
      <w:pPr>
        <w:spacing w:line="360" w:lineRule="auto"/>
        <w:ind w:left="480"/>
        <w:jc w:val="right"/>
        <w:rPr>
          <w:color w:val="000000"/>
          <w:sz w:val="24"/>
        </w:rPr>
      </w:pPr>
    </w:p>
    <w:p>
      <w:pPr>
        <w:wordWrap w:val="0"/>
        <w:spacing w:line="360" w:lineRule="auto"/>
        <w:ind w:left="480"/>
        <w:jc w:val="right"/>
        <w:rPr>
          <w:b/>
          <w:color w:val="000000"/>
          <w:sz w:val="24"/>
        </w:rPr>
      </w:pPr>
      <w:r>
        <w:rPr>
          <w:color w:val="000000"/>
          <w:sz w:val="24"/>
          <w:szCs w:val="20"/>
        </w:rPr>
        <w:t xml:space="preserve">日期：_____年______月______日   </w:t>
      </w:r>
    </w:p>
    <w:p>
      <w:pPr>
        <w:tabs>
          <w:tab w:val="left" w:pos="8280"/>
        </w:tabs>
        <w:spacing w:line="360" w:lineRule="auto"/>
        <w:ind w:firstLine="480"/>
        <w:rPr>
          <w:color w:val="000000"/>
          <w:sz w:val="24"/>
        </w:rPr>
      </w:pPr>
    </w:p>
    <w:p>
      <w:pPr>
        <w:tabs>
          <w:tab w:val="left" w:pos="8280"/>
        </w:tabs>
        <w:spacing w:line="360" w:lineRule="auto"/>
        <w:rPr>
          <w:color w:val="000000"/>
          <w:sz w:val="24"/>
        </w:rPr>
        <w:sectPr>
          <w:headerReference r:id="rId7" w:type="first"/>
          <w:footerReference r:id="rId9" w:type="first"/>
          <w:headerReference r:id="rId6" w:type="even"/>
          <w:footerReference r:id="rId8" w:type="even"/>
          <w:pgSz w:w="11907" w:h="16840"/>
          <w:pgMar w:top="1418" w:right="1134" w:bottom="1418" w:left="1701" w:header="851" w:footer="851" w:gutter="0"/>
          <w:pgNumType w:fmt="decimal"/>
          <w:cols w:space="720" w:num="1"/>
          <w:docGrid w:linePitch="462" w:charSpace="0"/>
        </w:sectPr>
      </w:pPr>
      <w:r>
        <w:rPr>
          <w:color w:val="000000"/>
          <w:sz w:val="24"/>
        </w:rPr>
        <w:t>说明：投标人须与所有拟分包单位分别签订《分包意向协议》，每单位签订一份，并在投标文件中提交全部协议原件的电子件，否则</w:t>
      </w:r>
      <w:r>
        <w:rPr>
          <w:b/>
          <w:color w:val="000000"/>
          <w:sz w:val="24"/>
        </w:rPr>
        <w:t>投标无效</w:t>
      </w:r>
      <w:r>
        <w:rPr>
          <w:color w:val="000000"/>
          <w:sz w:val="24"/>
        </w:rPr>
        <w:t>。</w:t>
      </w:r>
    </w:p>
    <w:p>
      <w:pPr>
        <w:spacing w:line="360" w:lineRule="auto"/>
        <w:outlineLvl w:val="2"/>
        <w:rPr>
          <w:color w:val="000000"/>
          <w:sz w:val="24"/>
          <w:szCs w:val="20"/>
        </w:rPr>
      </w:pPr>
      <w:r>
        <w:rPr>
          <w:color w:val="000000"/>
          <w:sz w:val="24"/>
          <w:szCs w:val="20"/>
        </w:rPr>
        <w:t xml:space="preserve">2-3 </w:t>
      </w:r>
      <w:r>
        <w:rPr>
          <w:sz w:val="24"/>
        </w:rPr>
        <w:t>其它落实政府采购政策的资格要求</w:t>
      </w:r>
      <w:r>
        <w:rPr>
          <w:color w:val="000000"/>
          <w:sz w:val="24"/>
          <w:szCs w:val="20"/>
        </w:rPr>
        <w:t>（如有）</w:t>
      </w: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pStyle w:val="26"/>
      </w:pPr>
    </w:p>
    <w:p>
      <w:pPr>
        <w:spacing w:line="360" w:lineRule="auto"/>
        <w:outlineLvl w:val="2"/>
        <w:rPr>
          <w:sz w:val="24"/>
        </w:rPr>
      </w:pPr>
      <w:r>
        <w:rPr>
          <w:color w:val="000000"/>
          <w:sz w:val="24"/>
          <w:szCs w:val="20"/>
        </w:rPr>
        <w:t xml:space="preserve">3 </w:t>
      </w:r>
      <w:r>
        <w:rPr>
          <w:sz w:val="24"/>
        </w:rPr>
        <w:t>本项目的特定资格要求</w:t>
      </w:r>
      <w:r>
        <w:rPr>
          <w:color w:val="000000"/>
          <w:sz w:val="24"/>
          <w:szCs w:val="20"/>
        </w:rPr>
        <w:t>（如有）</w:t>
      </w:r>
    </w:p>
    <w:p>
      <w:pPr>
        <w:spacing w:line="360" w:lineRule="auto"/>
        <w:outlineLvl w:val="2"/>
        <w:rPr>
          <w:color w:val="000000"/>
          <w:sz w:val="24"/>
          <w:szCs w:val="20"/>
        </w:rPr>
      </w:pPr>
      <w:r>
        <w:rPr>
          <w:color w:val="000000"/>
          <w:sz w:val="24"/>
          <w:szCs w:val="20"/>
        </w:rPr>
        <w:t>3-1联合协议（如有）</w:t>
      </w:r>
      <w:r>
        <w:rPr>
          <w:b/>
          <w:color w:val="000000"/>
          <w:sz w:val="24"/>
          <w:szCs w:val="20"/>
        </w:rPr>
        <w:t>（</w:t>
      </w:r>
      <w:r>
        <w:rPr>
          <w:rFonts w:hint="eastAsia"/>
          <w:b/>
          <w:color w:val="000000"/>
          <w:sz w:val="24"/>
          <w:szCs w:val="20"/>
        </w:rPr>
        <w:t>本项目不适用</w:t>
      </w:r>
      <w:r>
        <w:rPr>
          <w:b/>
          <w:color w:val="000000"/>
          <w:sz w:val="24"/>
          <w:szCs w:val="20"/>
        </w:rPr>
        <w:t>）</w:t>
      </w:r>
    </w:p>
    <w:p>
      <w:pPr>
        <w:autoSpaceDE w:val="0"/>
        <w:autoSpaceDN w:val="0"/>
        <w:adjustRightInd w:val="0"/>
        <w:spacing w:line="360" w:lineRule="auto"/>
        <w:jc w:val="center"/>
        <w:rPr>
          <w:b/>
          <w:color w:val="000000"/>
          <w:sz w:val="36"/>
          <w:szCs w:val="36"/>
        </w:rPr>
      </w:pPr>
      <w:r>
        <w:rPr>
          <w:rFonts w:hint="eastAsia"/>
          <w:b/>
          <w:color w:val="000000"/>
          <w:sz w:val="36"/>
          <w:szCs w:val="36"/>
        </w:rPr>
        <w:t>联合协议</w:t>
      </w:r>
    </w:p>
    <w:p>
      <w:pPr>
        <w:spacing w:line="360" w:lineRule="auto"/>
        <w:ind w:firstLine="828" w:firstLineChars="345"/>
        <w:rPr>
          <w:bCs/>
          <w:color w:val="000000"/>
        </w:rPr>
      </w:pPr>
      <w:r>
        <w:rPr>
          <w:bCs/>
          <w:color w:val="000000"/>
          <w:sz w:val="24"/>
        </w:rPr>
        <w:t>______ 、 _____ 及 _____就“________（项目名称）</w:t>
      </w:r>
      <w:r>
        <w:rPr>
          <w:color w:val="000000"/>
          <w:sz w:val="24"/>
        </w:rPr>
        <w:t>”____包</w:t>
      </w:r>
      <w:r>
        <w:rPr>
          <w:bCs/>
          <w:color w:val="000000"/>
          <w:sz w:val="24"/>
        </w:rPr>
        <w:t>招标项目的投标事宜，经各方充分协商一致，达成如下协议：</w:t>
      </w:r>
    </w:p>
    <w:p>
      <w:pPr>
        <w:numPr>
          <w:ilvl w:val="0"/>
          <w:numId w:val="16"/>
        </w:numPr>
        <w:spacing w:line="360" w:lineRule="auto"/>
        <w:rPr>
          <w:bCs/>
          <w:color w:val="000000"/>
          <w:sz w:val="24"/>
        </w:rPr>
      </w:pPr>
      <w:r>
        <w:rPr>
          <w:bCs/>
          <w:color w:val="000000"/>
          <w:sz w:val="24"/>
        </w:rPr>
        <w:t>由_________牵头，_________、__________参加，组成联合体共同进行招标项目的投标工作。</w:t>
      </w:r>
    </w:p>
    <w:p>
      <w:pPr>
        <w:numPr>
          <w:ilvl w:val="0"/>
          <w:numId w:val="16"/>
        </w:numPr>
        <w:spacing w:line="360" w:lineRule="auto"/>
        <w:rPr>
          <w:bCs/>
          <w:color w:val="000000"/>
          <w:sz w:val="24"/>
        </w:rPr>
      </w:pPr>
      <w:r>
        <w:rPr>
          <w:bCs/>
          <w:color w:val="000000"/>
          <w:sz w:val="24"/>
        </w:rPr>
        <w:t>______为本次投标的牵头人，联合体以牵头人的名义参加投标，联合体中标后，联合体各方共同与采购人签订合同，就</w:t>
      </w:r>
      <w:r>
        <w:rPr>
          <w:rFonts w:hint="eastAsia"/>
          <w:bCs/>
          <w:color w:val="000000"/>
          <w:sz w:val="24"/>
        </w:rPr>
        <w:t>采购合同约定的事项</w:t>
      </w:r>
      <w:r>
        <w:rPr>
          <w:bCs/>
          <w:color w:val="000000"/>
          <w:sz w:val="24"/>
        </w:rPr>
        <w:t>对采购人承担连带责任。</w:t>
      </w:r>
    </w:p>
    <w:p>
      <w:pPr>
        <w:numPr>
          <w:ilvl w:val="0"/>
          <w:numId w:val="16"/>
        </w:numPr>
        <w:spacing w:line="360" w:lineRule="auto"/>
        <w:rPr>
          <w:bCs/>
          <w:color w:val="000000"/>
          <w:sz w:val="24"/>
        </w:rPr>
      </w:pPr>
      <w:r>
        <w:rPr>
          <w:bCs/>
          <w:color w:val="000000"/>
          <w:sz w:val="24"/>
        </w:rPr>
        <w:t>联合体各方均同意由牵头人代表其他联合体成员单位按招标文件要求出具《授权委托书》。</w:t>
      </w:r>
    </w:p>
    <w:p>
      <w:pPr>
        <w:numPr>
          <w:ilvl w:val="0"/>
          <w:numId w:val="16"/>
        </w:numPr>
        <w:spacing w:line="360" w:lineRule="auto"/>
        <w:rPr>
          <w:bCs/>
          <w:color w:val="000000"/>
          <w:sz w:val="24"/>
        </w:rPr>
      </w:pPr>
      <w:r>
        <w:rPr>
          <w:bCs/>
          <w:color w:val="000000"/>
          <w:sz w:val="24"/>
        </w:rPr>
        <w:t>牵头人为项目的总负责单位；组织各参加方进行项目实施工作。</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______负责_____，具体工作范围、内容以投标文件及合同为准。</w:t>
      </w:r>
    </w:p>
    <w:p>
      <w:pPr>
        <w:numPr>
          <w:ilvl w:val="0"/>
          <w:numId w:val="16"/>
        </w:numPr>
        <w:spacing w:line="360" w:lineRule="auto"/>
        <w:rPr>
          <w:bCs/>
          <w:color w:val="000000"/>
          <w:sz w:val="24"/>
        </w:rPr>
      </w:pPr>
      <w:r>
        <w:rPr>
          <w:bCs/>
          <w:color w:val="000000"/>
          <w:sz w:val="24"/>
        </w:rPr>
        <w:t>______负责_____（如有），具体工作范围、内容以投标文件及合同为准。</w:t>
      </w:r>
    </w:p>
    <w:p>
      <w:pPr>
        <w:numPr>
          <w:ilvl w:val="0"/>
          <w:numId w:val="16"/>
        </w:numPr>
        <w:spacing w:line="360" w:lineRule="auto"/>
        <w:rPr>
          <w:sz w:val="24"/>
        </w:rPr>
      </w:pPr>
      <w:r>
        <w:rPr>
          <w:sz w:val="24"/>
        </w:rPr>
        <w:t>本项目联合协议合同总额为________元，联合体各成员按照如下比例分摊（按联合体成员分别列明）：</w:t>
      </w:r>
    </w:p>
    <w:p>
      <w:pPr>
        <w:tabs>
          <w:tab w:val="left" w:pos="720"/>
          <w:tab w:val="left" w:pos="900"/>
        </w:tabs>
        <w:spacing w:line="360" w:lineRule="auto"/>
        <w:ind w:left="851"/>
        <w:rPr>
          <w:color w:val="000000"/>
          <w:sz w:val="24"/>
          <w:szCs w:val="20"/>
        </w:rPr>
      </w:pPr>
      <w:r>
        <w:rPr>
          <w:color w:val="000000"/>
          <w:sz w:val="24"/>
          <w:szCs w:val="20"/>
        </w:rPr>
        <w:t>（1）</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（2）</w:t>
      </w:r>
      <w:r>
        <w:rPr>
          <w:bCs/>
          <w:color w:val="000000"/>
          <w:sz w:val="24"/>
          <w:szCs w:val="20"/>
        </w:rPr>
        <w:t>______</w:t>
      </w:r>
      <w:r>
        <w:rPr>
          <w:color w:val="000000"/>
          <w:sz w:val="24"/>
          <w:szCs w:val="20"/>
        </w:rPr>
        <w:t>为□大型企业□中型企业、□小微企业（包含监狱企业、残疾人福利性单位）、□其他，合同金额为_____元；</w:t>
      </w:r>
    </w:p>
    <w:p>
      <w:pPr>
        <w:tabs>
          <w:tab w:val="left" w:pos="720"/>
          <w:tab w:val="left" w:pos="900"/>
        </w:tabs>
        <w:spacing w:line="360" w:lineRule="auto"/>
        <w:ind w:left="851"/>
        <w:rPr>
          <w:color w:val="000000"/>
          <w:sz w:val="24"/>
          <w:szCs w:val="20"/>
        </w:rPr>
      </w:pPr>
      <w:r>
        <w:rPr>
          <w:color w:val="000000"/>
          <w:sz w:val="24"/>
          <w:szCs w:val="20"/>
        </w:rPr>
        <w:t>（…）</w:t>
      </w:r>
      <w:r>
        <w:rPr>
          <w:bCs/>
          <w:color w:val="000000"/>
          <w:sz w:val="24"/>
          <w:szCs w:val="20"/>
        </w:rPr>
        <w:t>______</w:t>
      </w:r>
      <w:r>
        <w:rPr>
          <w:color w:val="000000"/>
          <w:sz w:val="24"/>
          <w:szCs w:val="20"/>
        </w:rPr>
        <w:t>为□大型企业□中型企业、□小微企业（包含监狱企业、残疾人福利性单位）、□其他，合同金额为_____元。</w:t>
      </w:r>
    </w:p>
    <w:p>
      <w:pPr>
        <w:numPr>
          <w:ilvl w:val="0"/>
          <w:numId w:val="16"/>
        </w:numPr>
        <w:tabs>
          <w:tab w:val="left" w:pos="993"/>
        </w:tabs>
        <w:spacing w:line="360" w:lineRule="auto"/>
        <w:rPr>
          <w:bCs/>
          <w:color w:val="000000"/>
          <w:sz w:val="24"/>
        </w:rPr>
      </w:pPr>
      <w:r>
        <w:rPr>
          <w:rFonts w:hint="eastAsia"/>
          <w:bCs/>
          <w:color w:val="000000"/>
          <w:sz w:val="24"/>
        </w:rPr>
        <w:t>以联合体形式参加政府采购活动的，联合体各方不得再单独参加或者与其他供应商另外组成联合体参加同一合同项下的政府采购活动</w:t>
      </w:r>
      <w:r>
        <w:rPr>
          <w:bCs/>
          <w:color w:val="000000"/>
          <w:sz w:val="24"/>
        </w:rPr>
        <w:t>。</w:t>
      </w:r>
    </w:p>
    <w:p>
      <w:pPr>
        <w:numPr>
          <w:ilvl w:val="0"/>
          <w:numId w:val="16"/>
        </w:numPr>
        <w:spacing w:line="360" w:lineRule="auto"/>
        <w:rPr>
          <w:bCs/>
          <w:color w:val="000000"/>
          <w:sz w:val="24"/>
        </w:rPr>
      </w:pPr>
      <w:r>
        <w:rPr>
          <w:bCs/>
          <w:color w:val="000000"/>
          <w:sz w:val="24"/>
        </w:rPr>
        <w:t>其他约定（如有）：_______</w:t>
      </w:r>
      <w:r>
        <w:rPr>
          <w:rFonts w:hint="eastAsia"/>
          <w:bCs/>
          <w:color w:val="000000"/>
          <w:sz w:val="24"/>
        </w:rPr>
        <w:t>。</w:t>
      </w:r>
    </w:p>
    <w:p>
      <w:pPr>
        <w:tabs>
          <w:tab w:val="left" w:pos="780"/>
        </w:tabs>
        <w:spacing w:line="360" w:lineRule="auto"/>
        <w:ind w:firstLine="480" w:firstLineChars="200"/>
        <w:rPr>
          <w:color w:val="000000"/>
          <w:sz w:val="24"/>
        </w:rPr>
      </w:pPr>
      <w:r>
        <w:rPr>
          <w:bCs/>
          <w:color w:val="000000"/>
          <w:sz w:val="24"/>
        </w:rPr>
        <w:t>本协议自各方盖章后生效，</w:t>
      </w:r>
      <w:r>
        <w:rPr>
          <w:rFonts w:hint="eastAsia"/>
          <w:bCs/>
          <w:color w:val="000000"/>
          <w:sz w:val="24"/>
        </w:rPr>
        <w:t>采购合同履行完毕后自动失效。</w:t>
      </w:r>
      <w:r>
        <w:rPr>
          <w:bCs/>
          <w:color w:val="000000"/>
          <w:sz w:val="24"/>
        </w:rPr>
        <w:t>如未中标，本协议自动终止。</w:t>
      </w:r>
      <w:r>
        <w:rPr>
          <w:color w:val="000000"/>
          <w:sz w:val="24"/>
        </w:rPr>
        <w:br w:type="page"/>
      </w:r>
    </w:p>
    <w:p>
      <w:pPr>
        <w:spacing w:line="360" w:lineRule="auto"/>
        <w:ind w:firstLine="471"/>
        <w:rPr>
          <w:color w:val="000000"/>
          <w:sz w:val="24"/>
        </w:rPr>
      </w:pPr>
      <w:r>
        <w:rPr>
          <w:rFonts w:hint="eastAsia"/>
          <w:color w:val="000000"/>
          <w:sz w:val="24"/>
        </w:rPr>
        <w:t>联合体</w:t>
      </w:r>
      <w:r>
        <w:rPr>
          <w:color w:val="000000"/>
          <w:sz w:val="24"/>
        </w:rPr>
        <w:t>牵头人</w:t>
      </w:r>
      <w:r>
        <w:rPr>
          <w:rFonts w:hint="eastAsia"/>
          <w:color w:val="000000"/>
          <w:sz w:val="24"/>
        </w:rPr>
        <w:t>名称：</w:t>
      </w:r>
      <w:r>
        <w:rPr>
          <w:color w:val="000000"/>
          <w:sz w:val="24"/>
          <w:szCs w:val="20"/>
        </w:rPr>
        <w:t>______</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 xml:space="preserve"> </w:t>
      </w: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盖章：</w:t>
      </w:r>
      <w:r>
        <w:rPr>
          <w:color w:val="000000"/>
          <w:sz w:val="24"/>
          <w:szCs w:val="20"/>
        </w:rPr>
        <w:t>______</w:t>
      </w:r>
    </w:p>
    <w:p>
      <w:pPr>
        <w:spacing w:line="360" w:lineRule="auto"/>
        <w:ind w:firstLine="471"/>
        <w:rPr>
          <w:color w:val="000000"/>
          <w:sz w:val="24"/>
        </w:rPr>
      </w:pPr>
    </w:p>
    <w:p>
      <w:pPr>
        <w:spacing w:line="360" w:lineRule="auto"/>
        <w:ind w:firstLine="471"/>
        <w:rPr>
          <w:color w:val="000000"/>
          <w:sz w:val="24"/>
        </w:rPr>
      </w:pPr>
    </w:p>
    <w:p>
      <w:pPr>
        <w:spacing w:line="360" w:lineRule="auto"/>
        <w:ind w:firstLine="471"/>
        <w:rPr>
          <w:color w:val="000000"/>
          <w:sz w:val="24"/>
        </w:rPr>
      </w:pPr>
      <w:r>
        <w:rPr>
          <w:rFonts w:hint="eastAsia"/>
          <w:color w:val="000000"/>
          <w:sz w:val="24"/>
        </w:rPr>
        <w:t>联合体成员名称</w:t>
      </w:r>
      <w:r>
        <w:rPr>
          <w:color w:val="000000"/>
          <w:sz w:val="24"/>
        </w:rPr>
        <w:t>：</w:t>
      </w:r>
      <w:r>
        <w:rPr>
          <w:color w:val="000000"/>
          <w:sz w:val="24"/>
          <w:szCs w:val="20"/>
        </w:rPr>
        <w:t>______</w:t>
      </w:r>
    </w:p>
    <w:p>
      <w:pPr>
        <w:spacing w:line="360" w:lineRule="auto"/>
        <w:ind w:firstLine="471"/>
        <w:rPr>
          <w:color w:val="000000"/>
          <w:sz w:val="24"/>
        </w:rPr>
      </w:pPr>
      <w:r>
        <w:rPr>
          <w:color w:val="000000"/>
          <w:sz w:val="24"/>
        </w:rPr>
        <w:t>盖章：</w:t>
      </w:r>
      <w:r>
        <w:rPr>
          <w:color w:val="000000"/>
          <w:sz w:val="24"/>
          <w:szCs w:val="20"/>
        </w:rPr>
        <w:t>______</w:t>
      </w:r>
      <w:r>
        <w:rPr>
          <w:color w:val="000000"/>
          <w:sz w:val="24"/>
        </w:rPr>
        <w:t xml:space="preserve">                                </w:t>
      </w:r>
    </w:p>
    <w:p>
      <w:pPr>
        <w:spacing w:line="360" w:lineRule="auto"/>
        <w:ind w:firstLine="471"/>
        <w:rPr>
          <w:color w:val="000000"/>
          <w:sz w:val="24"/>
        </w:rPr>
      </w:pPr>
    </w:p>
    <w:p>
      <w:pPr>
        <w:spacing w:line="360" w:lineRule="auto"/>
        <w:ind w:firstLine="471"/>
        <w:rPr>
          <w:color w:val="000000"/>
          <w:sz w:val="24"/>
        </w:rPr>
      </w:pPr>
    </w:p>
    <w:p>
      <w:pPr>
        <w:spacing w:line="360" w:lineRule="auto"/>
        <w:ind w:left="480"/>
        <w:jc w:val="right"/>
        <w:rPr>
          <w:color w:val="000000"/>
          <w:sz w:val="24"/>
        </w:rPr>
      </w:pPr>
    </w:p>
    <w:p>
      <w:pPr>
        <w:spacing w:line="360" w:lineRule="auto"/>
        <w:ind w:left="480"/>
        <w:jc w:val="right"/>
        <w:rPr>
          <w:color w:val="000000"/>
          <w:sz w:val="24"/>
        </w:rPr>
      </w:pPr>
      <w:r>
        <w:rPr>
          <w:color w:val="000000"/>
          <w:sz w:val="24"/>
          <w:szCs w:val="20"/>
        </w:rPr>
        <w:t>日期：_____年______月______日</w:t>
      </w:r>
    </w:p>
    <w:p>
      <w:pPr>
        <w:spacing w:line="360" w:lineRule="auto"/>
        <w:ind w:left="480"/>
        <w:jc w:val="right"/>
        <w:rPr>
          <w:b/>
          <w:color w:val="000000"/>
          <w:sz w:val="24"/>
        </w:rPr>
      </w:pPr>
    </w:p>
    <w:p>
      <w:pPr>
        <w:tabs>
          <w:tab w:val="left" w:pos="8280"/>
        </w:tabs>
        <w:spacing w:line="360" w:lineRule="auto"/>
        <w:ind w:firstLine="480"/>
        <w:rPr>
          <w:color w:val="000000"/>
          <w:sz w:val="24"/>
        </w:rPr>
      </w:pPr>
    </w:p>
    <w:p>
      <w:pPr>
        <w:tabs>
          <w:tab w:val="left" w:pos="8280"/>
        </w:tabs>
        <w:spacing w:line="360" w:lineRule="auto"/>
        <w:ind w:firstLine="480"/>
        <w:rPr>
          <w:color w:val="000000"/>
          <w:sz w:val="24"/>
        </w:rPr>
      </w:pPr>
    </w:p>
    <w:p>
      <w:pPr>
        <w:spacing w:line="360" w:lineRule="auto"/>
        <w:ind w:left="719" w:leftChars="228" w:hanging="240" w:hangingChars="100"/>
        <w:rPr>
          <w:sz w:val="24"/>
        </w:rPr>
      </w:pPr>
      <w:r>
        <w:rPr>
          <w:color w:val="000000"/>
          <w:sz w:val="24"/>
        </w:rPr>
        <w:t>注：联合体各方成员应在本协议上共同盖章，不得分别签署协议书。</w:t>
      </w:r>
    </w:p>
    <w:p>
      <w:pPr>
        <w:pStyle w:val="26"/>
      </w:pPr>
      <w:r>
        <w:br w:type="page"/>
      </w:r>
    </w:p>
    <w:p>
      <w:pPr>
        <w:pStyle w:val="26"/>
      </w:pPr>
    </w:p>
    <w:p>
      <w:pPr>
        <w:spacing w:line="360" w:lineRule="auto"/>
        <w:outlineLvl w:val="2"/>
        <w:rPr>
          <w:sz w:val="24"/>
          <w:szCs w:val="20"/>
        </w:rPr>
      </w:pPr>
      <w:r>
        <w:rPr>
          <w:color w:val="000000"/>
          <w:sz w:val="24"/>
          <w:szCs w:val="20"/>
        </w:rPr>
        <w:t>3-2其他</w:t>
      </w:r>
      <w:r>
        <w:rPr>
          <w:sz w:val="24"/>
          <w:szCs w:val="20"/>
        </w:rPr>
        <w:t>特定资格要求</w:t>
      </w: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pStyle w:val="26"/>
        <w:ind w:firstLine="482"/>
        <w:rPr>
          <w:rFonts w:ascii="宋体" w:hAnsi="宋体"/>
          <w:b/>
          <w:bCs/>
        </w:rPr>
      </w:pPr>
    </w:p>
    <w:p>
      <w:pPr>
        <w:spacing w:line="360" w:lineRule="auto"/>
        <w:outlineLvl w:val="2"/>
        <w:rPr>
          <w:sz w:val="24"/>
          <w:szCs w:val="20"/>
        </w:rPr>
      </w:pPr>
      <w:r>
        <w:rPr>
          <w:sz w:val="24"/>
          <w:szCs w:val="20"/>
        </w:rPr>
        <w:t xml:space="preserve">4 </w:t>
      </w:r>
      <w:r>
        <w:rPr>
          <w:rFonts w:hint="eastAsia" w:ascii="宋体" w:hAnsi="宋体"/>
          <w:sz w:val="24"/>
        </w:rPr>
        <w:t>提供投标保证金缴纳有效凭证或投标担保函（本项目不收取投标保证金</w:t>
      </w:r>
      <w:r>
        <w:rPr>
          <w:rFonts w:hint="eastAsia" w:ascii="宋体" w:hAnsi="宋体"/>
          <w:sz w:val="24"/>
          <w:lang w:eastAsia="zh-CN"/>
        </w:rPr>
        <w:t>，无需提供</w:t>
      </w:r>
      <w:r>
        <w:rPr>
          <w:rFonts w:hint="eastAsia" w:ascii="宋体" w:hAnsi="宋体"/>
          <w:sz w:val="24"/>
        </w:rPr>
        <w:t>）</w:t>
      </w:r>
    </w:p>
    <w:p>
      <w:pPr>
        <w:widowControl/>
        <w:jc w:val="left"/>
        <w:rPr>
          <w:rFonts w:ascii="宋体" w:hAnsi="宋体"/>
          <w:b/>
          <w:spacing w:val="20"/>
          <w:sz w:val="24"/>
        </w:rPr>
      </w:pPr>
      <w:r>
        <w:rPr>
          <w:rFonts w:hint="eastAsia" w:ascii="宋体" w:hAnsi="宋体"/>
          <w:sz w:val="24"/>
          <w:szCs w:val="20"/>
        </w:rPr>
        <w:br w:type="page"/>
      </w:r>
      <w:r>
        <w:rPr>
          <w:rFonts w:hint="eastAsia" w:ascii="宋体" w:hAnsi="宋体"/>
          <w:b/>
          <w:spacing w:val="20"/>
          <w:sz w:val="24"/>
        </w:rPr>
        <w:t>二、商务技术文件格式</w:t>
      </w:r>
    </w:p>
    <w:p>
      <w:pPr>
        <w:rPr>
          <w:rFonts w:ascii="宋体" w:hAnsi="宋体"/>
          <w:b/>
          <w:spacing w:val="20"/>
          <w:szCs w:val="21"/>
        </w:rPr>
      </w:pPr>
    </w:p>
    <w:p>
      <w:pPr>
        <w:rPr>
          <w:rFonts w:ascii="宋体" w:hAnsi="宋体"/>
          <w:b/>
          <w:sz w:val="24"/>
        </w:rPr>
      </w:pPr>
      <w:r>
        <w:rPr>
          <w:rFonts w:hint="eastAsia" w:ascii="宋体" w:hAnsi="宋体"/>
          <w:b/>
          <w:spacing w:val="20"/>
          <w:sz w:val="24"/>
        </w:rPr>
        <w:t>投标文件（商务技术文件）</w:t>
      </w:r>
      <w:r>
        <w:rPr>
          <w:rFonts w:hint="eastAsia" w:ascii="宋体" w:hAnsi="宋体"/>
          <w:b/>
          <w:sz w:val="24"/>
        </w:rPr>
        <w:t>封面（非实质性格式）</w:t>
      </w:r>
    </w:p>
    <w:p>
      <w:pPr>
        <w:jc w:val="center"/>
        <w:rPr>
          <w:rFonts w:ascii="宋体" w:hAnsi="宋体"/>
          <w:szCs w:val="21"/>
        </w:rPr>
      </w:pPr>
    </w:p>
    <w:p>
      <w:pPr>
        <w:jc w:val="center"/>
        <w:rPr>
          <w:rFonts w:ascii="宋体" w:hAnsi="宋体"/>
          <w:b/>
          <w:spacing w:val="60"/>
          <w:sz w:val="84"/>
          <w:szCs w:val="84"/>
        </w:rPr>
      </w:pPr>
      <w:r>
        <w:rPr>
          <w:rFonts w:hint="eastAsia" w:ascii="宋体" w:hAnsi="宋体"/>
          <w:b/>
          <w:spacing w:val="60"/>
          <w:sz w:val="84"/>
          <w:szCs w:val="84"/>
        </w:rPr>
        <w:t>投 标 文 件</w:t>
      </w:r>
    </w:p>
    <w:p>
      <w:pPr>
        <w:jc w:val="center"/>
        <w:rPr>
          <w:rFonts w:ascii="宋体" w:hAnsi="宋体"/>
          <w:b/>
          <w:spacing w:val="60"/>
          <w:sz w:val="52"/>
          <w:szCs w:val="52"/>
        </w:rPr>
      </w:pPr>
      <w:r>
        <w:rPr>
          <w:rFonts w:hint="eastAsia" w:ascii="宋体" w:hAnsi="宋体"/>
          <w:b/>
          <w:spacing w:val="60"/>
          <w:sz w:val="52"/>
          <w:szCs w:val="52"/>
        </w:rPr>
        <w:t>（商务技术文件）</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r>
        <w:rPr>
          <w:rFonts w:hint="eastAsia" w:ascii="宋体" w:hAnsi="宋体"/>
          <w:b/>
          <w:spacing w:val="20"/>
          <w:sz w:val="32"/>
          <w:szCs w:val="32"/>
        </w:rPr>
        <w:t>项目名称:</w:t>
      </w:r>
    </w:p>
    <w:p>
      <w:pPr>
        <w:ind w:firstLine="542" w:firstLineChars="150"/>
        <w:rPr>
          <w:rFonts w:ascii="宋体" w:hAnsi="宋体"/>
          <w:b/>
          <w:spacing w:val="20"/>
          <w:sz w:val="32"/>
          <w:szCs w:val="32"/>
        </w:rPr>
      </w:pPr>
      <w:r>
        <w:rPr>
          <w:rFonts w:hint="eastAsia" w:ascii="宋体" w:hAnsi="宋体"/>
          <w:b/>
          <w:spacing w:val="20"/>
          <w:sz w:val="32"/>
          <w:szCs w:val="32"/>
          <w:lang w:eastAsia="zh-CN"/>
        </w:rPr>
        <w:t>项目编号</w:t>
      </w:r>
      <w:r>
        <w:rPr>
          <w:rFonts w:hint="eastAsia" w:ascii="宋体" w:hAnsi="宋体"/>
          <w:b/>
          <w:spacing w:val="20"/>
          <w:sz w:val="32"/>
          <w:szCs w:val="32"/>
        </w:rPr>
        <w:t>/包号：</w:t>
      </w:r>
    </w:p>
    <w:p>
      <w:pPr>
        <w:ind w:firstLine="542" w:firstLineChars="150"/>
        <w:rPr>
          <w:rFonts w:ascii="宋体" w:hAnsi="宋体"/>
          <w:b/>
          <w:spacing w:val="20"/>
          <w:sz w:val="32"/>
          <w:szCs w:val="32"/>
        </w:rPr>
      </w:pPr>
    </w:p>
    <w:p>
      <w:pPr>
        <w:ind w:firstLine="542" w:firstLineChars="150"/>
        <w:rPr>
          <w:rFonts w:ascii="宋体" w:hAnsi="宋体"/>
          <w:b/>
          <w:spacing w:val="20"/>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jc w:val="center"/>
        <w:rPr>
          <w:rFonts w:ascii="宋体" w:hAnsi="宋体"/>
          <w:b/>
          <w:spacing w:val="20"/>
          <w:sz w:val="32"/>
          <w:szCs w:val="32"/>
        </w:rPr>
      </w:pPr>
    </w:p>
    <w:p>
      <w:pPr>
        <w:spacing w:line="360" w:lineRule="auto"/>
        <w:ind w:firstLine="1445" w:firstLineChars="400"/>
        <w:jc w:val="left"/>
        <w:rPr>
          <w:rFonts w:ascii="宋体" w:hAnsi="宋体"/>
          <w:b/>
          <w:spacing w:val="20"/>
          <w:sz w:val="32"/>
          <w:szCs w:val="32"/>
          <w:u w:val="single"/>
        </w:rPr>
      </w:pPr>
      <w:r>
        <w:rPr>
          <w:rFonts w:hint="eastAsia" w:ascii="宋体" w:hAnsi="宋体"/>
          <w:b/>
          <w:spacing w:val="20"/>
          <w:sz w:val="32"/>
          <w:szCs w:val="32"/>
        </w:rPr>
        <w:t>投标人名称：</w:t>
      </w:r>
      <w:r>
        <w:rPr>
          <w:rFonts w:hint="eastAsia" w:ascii="宋体" w:hAnsi="宋体"/>
          <w:b/>
          <w:spacing w:val="20"/>
          <w:sz w:val="32"/>
          <w:szCs w:val="32"/>
          <w:u w:val="single"/>
        </w:rPr>
        <w:t xml:space="preserve">               </w:t>
      </w:r>
    </w:p>
    <w:p>
      <w:pPr>
        <w:pStyle w:val="26"/>
        <w:ind w:firstLine="1445" w:firstLineChars="400"/>
      </w:pPr>
      <w:r>
        <w:rPr>
          <w:rFonts w:hint="eastAsia" w:ascii="宋体" w:hAnsi="宋体"/>
          <w:b/>
          <w:spacing w:val="20"/>
          <w:sz w:val="32"/>
          <w:szCs w:val="32"/>
        </w:rPr>
        <w:t>日期：</w:t>
      </w:r>
      <w:r>
        <w:rPr>
          <w:rFonts w:hint="eastAsia" w:ascii="宋体" w:hAnsi="宋体"/>
          <w:b/>
          <w:spacing w:val="20"/>
          <w:sz w:val="32"/>
          <w:szCs w:val="32"/>
          <w:u w:val="single"/>
        </w:rPr>
        <w:t xml:space="preserve">               </w:t>
      </w:r>
    </w:p>
    <w:p>
      <w:pPr>
        <w:jc w:val="center"/>
        <w:rPr>
          <w:rFonts w:ascii="宋体" w:hAnsi="宋体"/>
          <w:b/>
          <w:sz w:val="32"/>
          <w:szCs w:val="32"/>
        </w:rPr>
      </w:pPr>
    </w:p>
    <w:p>
      <w:pPr>
        <w:widowControl/>
        <w:jc w:val="left"/>
        <w:rPr>
          <w:rFonts w:ascii="宋体" w:hAnsi="宋体"/>
          <w:b/>
          <w:sz w:val="24"/>
        </w:rPr>
      </w:pPr>
      <w:r>
        <w:rPr>
          <w:rFonts w:hint="eastAsia" w:ascii="宋体" w:hAnsi="宋体"/>
          <w:b/>
          <w:sz w:val="24"/>
        </w:rPr>
        <w:br w:type="page"/>
      </w:r>
    </w:p>
    <w:p>
      <w:pPr>
        <w:spacing w:line="360" w:lineRule="auto"/>
        <w:outlineLvl w:val="2"/>
        <w:rPr>
          <w:rFonts w:ascii="宋体" w:hAnsi="宋体"/>
          <w:b/>
          <w:bCs/>
          <w:color w:val="000000"/>
          <w:sz w:val="24"/>
          <w:szCs w:val="20"/>
        </w:rPr>
      </w:pPr>
      <w:bookmarkStart w:id="792" w:name="_Hlt520343000"/>
      <w:bookmarkEnd w:id="792"/>
      <w:bookmarkStart w:id="793" w:name="_Hlt520343392"/>
      <w:bookmarkEnd w:id="793"/>
      <w:bookmarkStart w:id="794" w:name="_Hlt520274393"/>
      <w:bookmarkEnd w:id="794"/>
      <w:bookmarkStart w:id="795" w:name="_Hlt520274407"/>
      <w:bookmarkEnd w:id="795"/>
      <w:bookmarkStart w:id="796" w:name="_Hlt520271212"/>
      <w:bookmarkEnd w:id="796"/>
      <w:bookmarkStart w:id="797" w:name="_Hlt520350918"/>
      <w:bookmarkEnd w:id="797"/>
      <w:bookmarkStart w:id="798" w:name="_Hlt520355504"/>
      <w:bookmarkEnd w:id="798"/>
      <w:bookmarkStart w:id="799" w:name="_Hlt520274065"/>
      <w:bookmarkEnd w:id="799"/>
      <w:bookmarkStart w:id="800" w:name="_Hlt520274121"/>
      <w:bookmarkEnd w:id="800"/>
      <w:bookmarkStart w:id="801" w:name="_Hlt520273711"/>
      <w:bookmarkEnd w:id="801"/>
      <w:bookmarkStart w:id="802" w:name="_Toc480942349"/>
      <w:bookmarkStart w:id="803" w:name="_Ref467988698"/>
      <w:bookmarkStart w:id="804" w:name="_Toc226965829"/>
      <w:bookmarkStart w:id="805" w:name="_Toc150774761"/>
      <w:bookmarkStart w:id="806" w:name="_Toc195842921"/>
      <w:bookmarkStart w:id="807" w:name="_Toc226337252"/>
      <w:bookmarkStart w:id="808" w:name="_Toc226965746"/>
      <w:bookmarkStart w:id="809" w:name="_Toc150480794"/>
      <w:bookmarkStart w:id="810" w:name="_Toc142311058"/>
      <w:bookmarkStart w:id="811" w:name="_Toc520356217"/>
      <w:bookmarkStart w:id="812" w:name="_Toc226309800"/>
      <w:bookmarkStart w:id="813" w:name="_Toc127151556"/>
      <w:r>
        <w:rPr>
          <w:rFonts w:hint="eastAsia" w:ascii="宋体" w:hAnsi="宋体"/>
          <w:b/>
          <w:bCs/>
          <w:color w:val="000000"/>
          <w:sz w:val="24"/>
        </w:rPr>
        <w:t>1</w:t>
      </w:r>
      <w:r>
        <w:rPr>
          <w:rFonts w:hint="eastAsia" w:ascii="宋体" w:hAnsi="宋体"/>
          <w:b/>
          <w:bCs/>
          <w:color w:val="000000"/>
          <w:sz w:val="24"/>
          <w:szCs w:val="20"/>
        </w:rPr>
        <w:t xml:space="preserve">  </w:t>
      </w:r>
      <w:r>
        <w:rPr>
          <w:rFonts w:hint="eastAsia" w:ascii="宋体" w:hAnsi="宋体"/>
          <w:b/>
          <w:bCs/>
          <w:color w:val="000000"/>
          <w:sz w:val="24"/>
        </w:rPr>
        <w:t>投标</w:t>
      </w:r>
      <w:bookmarkEnd w:id="802"/>
      <w:bookmarkEnd w:id="803"/>
      <w:r>
        <w:rPr>
          <w:rFonts w:hint="eastAsia" w:ascii="宋体" w:hAnsi="宋体"/>
          <w:b/>
          <w:bCs/>
          <w:color w:val="000000"/>
          <w:sz w:val="24"/>
        </w:rPr>
        <w:t>书</w:t>
      </w:r>
      <w:bookmarkEnd w:id="804"/>
      <w:bookmarkEnd w:id="805"/>
      <w:bookmarkEnd w:id="806"/>
      <w:bookmarkEnd w:id="807"/>
      <w:bookmarkEnd w:id="808"/>
      <w:bookmarkEnd w:id="809"/>
      <w:bookmarkEnd w:id="810"/>
      <w:bookmarkEnd w:id="811"/>
      <w:bookmarkEnd w:id="812"/>
      <w:bookmarkEnd w:id="813"/>
      <w:r>
        <w:rPr>
          <w:rFonts w:hint="eastAsia" w:ascii="宋体" w:hAnsi="宋体"/>
          <w:b/>
          <w:bCs/>
          <w:color w:val="000000"/>
          <w:sz w:val="24"/>
          <w:szCs w:val="20"/>
        </w:rPr>
        <w:t>（实质性格式）</w:t>
      </w:r>
    </w:p>
    <w:p>
      <w:pPr>
        <w:tabs>
          <w:tab w:val="left" w:pos="5580"/>
        </w:tabs>
        <w:spacing w:line="360" w:lineRule="auto"/>
        <w:rPr>
          <w:rFonts w:ascii="宋体" w:hAnsi="宋体"/>
          <w:color w:val="000000"/>
          <w:sz w:val="24"/>
        </w:rPr>
      </w:pPr>
    </w:p>
    <w:p>
      <w:pPr>
        <w:spacing w:line="360" w:lineRule="auto"/>
        <w:jc w:val="center"/>
        <w:rPr>
          <w:rFonts w:ascii="宋体" w:hAnsi="宋体"/>
          <w:b/>
          <w:color w:val="000000"/>
          <w:sz w:val="36"/>
          <w:szCs w:val="36"/>
        </w:rPr>
      </w:pPr>
      <w:r>
        <w:rPr>
          <w:rFonts w:hint="eastAsia" w:ascii="宋体" w:hAnsi="宋体"/>
          <w:b/>
          <w:color w:val="000000"/>
          <w:sz w:val="36"/>
          <w:szCs w:val="36"/>
        </w:rPr>
        <w:t>投标书</w:t>
      </w: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tabs>
          <w:tab w:val="left" w:pos="5580"/>
        </w:tabs>
        <w:spacing w:line="360" w:lineRule="auto"/>
        <w:rPr>
          <w:rFonts w:ascii="宋体" w:hAnsi="宋体"/>
          <w:color w:val="000000"/>
          <w:sz w:val="24"/>
          <w:szCs w:val="20"/>
        </w:rPr>
      </w:pP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我方参加你方就___________（项目名称，</w:t>
      </w:r>
      <w:r>
        <w:rPr>
          <w:rFonts w:hint="eastAsia" w:ascii="宋体" w:hAnsi="宋体"/>
          <w:color w:val="000000"/>
          <w:sz w:val="24"/>
          <w:szCs w:val="20"/>
          <w:lang w:eastAsia="zh-CN"/>
        </w:rPr>
        <w:t>项目编号</w:t>
      </w:r>
      <w:r>
        <w:rPr>
          <w:rFonts w:hint="eastAsia" w:ascii="宋体" w:hAnsi="宋体"/>
          <w:color w:val="000000"/>
          <w:sz w:val="24"/>
          <w:szCs w:val="20"/>
        </w:rPr>
        <w:t>/包号）组织的招标活动，并对此项目进行投标。</w:t>
      </w:r>
    </w:p>
    <w:p>
      <w:pPr>
        <w:tabs>
          <w:tab w:val="left" w:pos="5580"/>
        </w:tabs>
        <w:spacing w:line="360" w:lineRule="auto"/>
        <w:ind w:firstLine="408"/>
        <w:rPr>
          <w:rFonts w:ascii="宋体" w:hAnsi="宋体"/>
          <w:color w:val="000000"/>
          <w:sz w:val="24"/>
          <w:szCs w:val="20"/>
        </w:rPr>
      </w:pPr>
      <w:r>
        <w:rPr>
          <w:rFonts w:hint="eastAsia" w:ascii="宋体" w:hAnsi="宋体"/>
          <w:color w:val="000000"/>
          <w:sz w:val="24"/>
          <w:szCs w:val="20"/>
        </w:rPr>
        <w:t>1. 我方</w:t>
      </w:r>
      <w:r>
        <w:rPr>
          <w:rFonts w:hint="eastAsia" w:ascii="宋体" w:hAnsi="宋体"/>
          <w:color w:val="000000"/>
          <w:sz w:val="24"/>
        </w:rPr>
        <w:t>已详细审查全部招标文件</w:t>
      </w:r>
      <w:r>
        <w:rPr>
          <w:rFonts w:hint="eastAsia" w:ascii="宋体" w:hAnsi="宋体"/>
          <w:color w:val="000000"/>
          <w:sz w:val="24"/>
          <w:szCs w:val="20"/>
        </w:rPr>
        <w:t>，自愿参与投标并承诺如下：</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（1）本投标有效期为自提交投标文件的截止之日起</w:t>
      </w:r>
      <w:r>
        <w:rPr>
          <w:rFonts w:hint="eastAsia" w:ascii="宋体" w:hAnsi="宋体"/>
          <w:sz w:val="24"/>
        </w:rPr>
        <w:t>_____</w:t>
      </w:r>
      <w:r>
        <w:rPr>
          <w:rFonts w:hint="eastAsia" w:ascii="宋体" w:hAnsi="宋体"/>
          <w:color w:val="000000"/>
          <w:sz w:val="24"/>
          <w:szCs w:val="20"/>
        </w:rPr>
        <w:t>个日历日。</w:t>
      </w:r>
    </w:p>
    <w:p>
      <w:pPr>
        <w:tabs>
          <w:tab w:val="left" w:pos="720"/>
          <w:tab w:val="left" w:pos="900"/>
        </w:tabs>
        <w:spacing w:line="360" w:lineRule="auto"/>
        <w:ind w:left="360" w:firstLine="72" w:firstLineChars="30"/>
        <w:rPr>
          <w:rFonts w:ascii="宋体" w:hAnsi="宋体"/>
          <w:color w:val="000000"/>
          <w:sz w:val="24"/>
          <w:szCs w:val="20"/>
        </w:rPr>
      </w:pPr>
      <w:r>
        <w:rPr>
          <w:rFonts w:hint="eastAsia" w:ascii="宋体" w:hAnsi="宋体"/>
          <w:color w:val="000000"/>
          <w:sz w:val="24"/>
          <w:szCs w:val="20"/>
        </w:rPr>
        <w:t>（2）除合同条款及采购需求偏离表列出的偏离外，我方响应招标文件的全部要求。</w:t>
      </w:r>
    </w:p>
    <w:p>
      <w:pPr>
        <w:tabs>
          <w:tab w:val="left" w:pos="5580"/>
        </w:tabs>
        <w:spacing w:line="360" w:lineRule="auto"/>
        <w:ind w:firstLine="420" w:firstLineChars="175"/>
        <w:rPr>
          <w:rFonts w:ascii="宋体" w:hAnsi="宋体"/>
          <w:color w:val="000000"/>
          <w:sz w:val="24"/>
          <w:szCs w:val="20"/>
        </w:rPr>
      </w:pPr>
      <w:r>
        <w:rPr>
          <w:rFonts w:hint="eastAsia" w:ascii="宋体" w:hAnsi="宋体"/>
          <w:color w:val="000000"/>
          <w:sz w:val="24"/>
          <w:szCs w:val="20"/>
        </w:rPr>
        <w:t>（3）我方已提供的全部文件资料是真实、准确的，并对此承担一切法律后果。</w:t>
      </w:r>
    </w:p>
    <w:p>
      <w:pPr>
        <w:tabs>
          <w:tab w:val="left" w:pos="5580"/>
        </w:tabs>
        <w:spacing w:line="360" w:lineRule="auto"/>
        <w:ind w:firstLine="420" w:firstLineChars="175"/>
        <w:rPr>
          <w:rFonts w:ascii="宋体" w:hAnsi="宋体"/>
          <w:color w:val="000000"/>
          <w:sz w:val="24"/>
        </w:rPr>
      </w:pPr>
      <w:r>
        <w:rPr>
          <w:rFonts w:hint="eastAsia" w:ascii="宋体" w:hAnsi="宋体"/>
          <w:color w:val="000000"/>
          <w:sz w:val="24"/>
          <w:szCs w:val="20"/>
        </w:rPr>
        <w:t>（4）如我方中标，我方将在法律规定的期限内与你方签订合同，按照招标文件要求提交履约保证金，并在合同约定的期限内完成合同规定的全部义务。</w:t>
      </w:r>
    </w:p>
    <w:p>
      <w:pPr>
        <w:spacing w:line="360" w:lineRule="auto"/>
        <w:ind w:left="420"/>
        <w:rPr>
          <w:rFonts w:ascii="宋体" w:hAnsi="宋体"/>
          <w:color w:val="000000"/>
          <w:sz w:val="24"/>
        </w:rPr>
      </w:pPr>
      <w:r>
        <w:rPr>
          <w:rFonts w:hint="eastAsia" w:ascii="宋体" w:hAnsi="宋体"/>
          <w:color w:val="000000"/>
          <w:sz w:val="24"/>
        </w:rPr>
        <w:t>2. 其他补充条款（如有）：</w:t>
      </w:r>
      <w:r>
        <w:rPr>
          <w:rFonts w:hint="eastAsia" w:ascii="宋体" w:hAnsi="宋体"/>
          <w:color w:val="000000"/>
          <w:sz w:val="24"/>
          <w:szCs w:val="20"/>
        </w:rPr>
        <w:t>___________</w:t>
      </w:r>
      <w:r>
        <w:rPr>
          <w:rFonts w:hint="eastAsia" w:ascii="宋体" w:hAnsi="宋体"/>
          <w:color w:val="000000"/>
          <w:sz w:val="24"/>
        </w:rPr>
        <w:t>。</w:t>
      </w:r>
    </w:p>
    <w:p>
      <w:pPr>
        <w:spacing w:line="360" w:lineRule="auto"/>
        <w:ind w:firstLine="480" w:firstLineChars="200"/>
        <w:rPr>
          <w:rFonts w:ascii="宋体" w:hAnsi="宋体"/>
          <w:color w:val="000000"/>
          <w:sz w:val="24"/>
        </w:rPr>
      </w:pPr>
      <w:r>
        <w:rPr>
          <w:rFonts w:hint="eastAsia" w:ascii="宋体" w:hAnsi="宋体"/>
          <w:color w:val="000000"/>
          <w:sz w:val="24"/>
        </w:rPr>
        <w:t>与本投标有关的一切正式往来信函请寄：</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地址_________________________     传真____________________________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电话_________________________     电子函件________________________</w:t>
      </w:r>
    </w:p>
    <w:p>
      <w:pPr>
        <w:tabs>
          <w:tab w:val="left" w:pos="5580"/>
        </w:tabs>
        <w:spacing w:line="360" w:lineRule="auto"/>
        <w:ind w:left="420"/>
        <w:rPr>
          <w:rFonts w:ascii="宋体" w:hAnsi="宋体"/>
          <w:color w:val="000000"/>
          <w:sz w:val="24"/>
          <w:szCs w:val="20"/>
        </w:rPr>
      </w:pP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投标人名称（加盖公章） ___________</w:t>
      </w:r>
    </w:p>
    <w:p>
      <w:pPr>
        <w:tabs>
          <w:tab w:val="left" w:pos="5580"/>
        </w:tabs>
        <w:spacing w:line="360" w:lineRule="auto"/>
        <w:ind w:left="420"/>
        <w:rPr>
          <w:rFonts w:ascii="宋体" w:hAnsi="宋体"/>
          <w:color w:val="000000"/>
          <w:sz w:val="24"/>
          <w:szCs w:val="20"/>
        </w:rPr>
      </w:pPr>
      <w:r>
        <w:rPr>
          <w:rFonts w:hint="eastAsia" w:ascii="宋体" w:hAnsi="宋体"/>
          <w:color w:val="000000"/>
          <w:sz w:val="24"/>
          <w:szCs w:val="20"/>
        </w:rPr>
        <w:t xml:space="preserve">日期：_____年______月______日    </w:t>
      </w:r>
    </w:p>
    <w:p>
      <w:pPr>
        <w:tabs>
          <w:tab w:val="left" w:pos="5580"/>
        </w:tabs>
        <w:spacing w:line="360" w:lineRule="auto"/>
        <w:ind w:left="420"/>
        <w:rPr>
          <w:rFonts w:ascii="宋体" w:hAnsi="宋体"/>
          <w:color w:val="000000"/>
          <w:sz w:val="24"/>
          <w:szCs w:val="20"/>
          <w:u w:val="single"/>
        </w:rPr>
      </w:pPr>
    </w:p>
    <w:p>
      <w:pPr>
        <w:widowControl/>
        <w:jc w:val="left"/>
        <w:rPr>
          <w:rFonts w:ascii="宋体" w:hAnsi="宋体"/>
          <w:color w:val="000000"/>
          <w:sz w:val="24"/>
        </w:rPr>
      </w:pPr>
      <w:r>
        <w:rPr>
          <w:rFonts w:hint="eastAsia" w:ascii="宋体" w:hAnsi="宋体"/>
          <w:color w:val="000000"/>
          <w:sz w:val="24"/>
        </w:rPr>
        <w:br w:type="page"/>
      </w:r>
      <w:bookmarkStart w:id="814" w:name="_Hlt520355938"/>
      <w:bookmarkEnd w:id="814"/>
      <w:bookmarkStart w:id="815" w:name="_Hlt520356243"/>
      <w:bookmarkEnd w:id="815"/>
      <w:bookmarkStart w:id="816" w:name="_Toc226309801"/>
      <w:bookmarkStart w:id="817" w:name="_Toc264969247"/>
      <w:bookmarkStart w:id="818" w:name="_Toc226337253"/>
      <w:bookmarkStart w:id="819" w:name="_Toc150774762"/>
      <w:bookmarkStart w:id="820" w:name="_Toc265228395"/>
      <w:bookmarkStart w:id="821" w:name="_Ref467988705"/>
      <w:bookmarkStart w:id="822" w:name="_Toc520356218"/>
      <w:bookmarkStart w:id="823" w:name="_Toc226965830"/>
      <w:bookmarkStart w:id="824" w:name="_Toc226965747"/>
      <w:bookmarkStart w:id="825" w:name="_Toc305158899"/>
      <w:bookmarkStart w:id="826" w:name="_Toc305158825"/>
      <w:bookmarkStart w:id="827" w:name="_Toc480942350"/>
      <w:bookmarkStart w:id="828" w:name="_Toc127151557"/>
      <w:bookmarkStart w:id="829" w:name="_Toc142311059"/>
      <w:bookmarkStart w:id="830" w:name="_Toc195842922"/>
      <w:bookmarkStart w:id="831" w:name="_Toc150480795"/>
    </w:p>
    <w:p>
      <w:pPr>
        <w:spacing w:line="360" w:lineRule="auto"/>
        <w:outlineLvl w:val="2"/>
        <w:rPr>
          <w:rFonts w:ascii="宋体" w:hAnsi="宋体"/>
          <w:b/>
          <w:bCs/>
          <w:color w:val="000000"/>
          <w:sz w:val="24"/>
        </w:rPr>
      </w:pPr>
      <w:r>
        <w:rPr>
          <w:rFonts w:hint="eastAsia" w:ascii="宋体" w:hAnsi="宋体"/>
          <w:b/>
          <w:bCs/>
          <w:color w:val="000000"/>
          <w:sz w:val="24"/>
        </w:rPr>
        <w:t>2  授权委托书（实质性格式）</w:t>
      </w:r>
    </w:p>
    <w:p>
      <w:pPr>
        <w:spacing w:line="360" w:lineRule="exact"/>
        <w:jc w:val="center"/>
        <w:rPr>
          <w:rFonts w:ascii="宋体" w:hAnsi="宋体"/>
          <w:b/>
          <w:color w:val="000000"/>
          <w:sz w:val="36"/>
          <w:szCs w:val="36"/>
        </w:rPr>
      </w:pPr>
      <w:r>
        <w:rPr>
          <w:rFonts w:hint="eastAsia" w:ascii="宋体" w:hAnsi="宋体"/>
          <w:b/>
          <w:color w:val="000000"/>
          <w:sz w:val="36"/>
          <w:szCs w:val="36"/>
        </w:rPr>
        <w:t>授权委托书</w:t>
      </w:r>
    </w:p>
    <w:p>
      <w:pPr>
        <w:spacing w:line="360" w:lineRule="auto"/>
        <w:ind w:firstLine="420"/>
        <w:rPr>
          <w:rFonts w:ascii="宋体" w:hAnsi="宋体"/>
          <w:color w:val="000000"/>
          <w:sz w:val="24"/>
          <w:szCs w:val="20"/>
        </w:rPr>
      </w:pPr>
    </w:p>
    <w:p>
      <w:pPr>
        <w:spacing w:line="360" w:lineRule="auto"/>
        <w:ind w:firstLine="420"/>
        <w:rPr>
          <w:rFonts w:ascii="宋体" w:hAnsi="宋体"/>
          <w:color w:val="000000"/>
          <w:sz w:val="24"/>
          <w:szCs w:val="20"/>
        </w:rPr>
      </w:pPr>
      <w:r>
        <w:rPr>
          <w:rFonts w:hint="eastAsia" w:ascii="宋体" w:hAnsi="宋体"/>
          <w:color w:val="000000"/>
          <w:sz w:val="24"/>
          <w:szCs w:val="20"/>
        </w:rPr>
        <w:t>本人</w:t>
      </w:r>
      <w:r>
        <w:rPr>
          <w:rFonts w:hint="eastAsia" w:ascii="宋体" w:hAnsi="宋体"/>
          <w:color w:val="000000"/>
          <w:sz w:val="24"/>
          <w:lang w:val="zh-CN"/>
        </w:rPr>
        <w:t>_______</w:t>
      </w:r>
      <w:r>
        <w:rPr>
          <w:rFonts w:hint="eastAsia" w:ascii="宋体" w:hAnsi="宋体"/>
          <w:color w:val="000000"/>
          <w:sz w:val="24"/>
          <w:szCs w:val="20"/>
        </w:rPr>
        <w:t>（姓名）系</w:t>
      </w:r>
      <w:r>
        <w:rPr>
          <w:rFonts w:hint="eastAsia" w:ascii="宋体" w:hAnsi="宋体"/>
          <w:color w:val="000000"/>
          <w:sz w:val="24"/>
          <w:lang w:val="zh-CN"/>
        </w:rPr>
        <w:t>________________</w:t>
      </w:r>
      <w:r>
        <w:rPr>
          <w:rFonts w:hint="eastAsia" w:ascii="宋体" w:hAnsi="宋体"/>
          <w:color w:val="000000"/>
          <w:sz w:val="24"/>
          <w:szCs w:val="20"/>
        </w:rPr>
        <w:t>（投标人名称）的法定代表人或负责人，现委托</w:t>
      </w:r>
      <w:r>
        <w:rPr>
          <w:rFonts w:hint="eastAsia" w:ascii="宋体" w:hAnsi="宋体"/>
          <w:color w:val="000000"/>
          <w:sz w:val="24"/>
          <w:lang w:val="zh-CN"/>
        </w:rPr>
        <w:t>_______</w:t>
      </w:r>
      <w:r>
        <w:rPr>
          <w:rFonts w:hint="eastAsia" w:ascii="宋体" w:hAnsi="宋体"/>
          <w:color w:val="000000"/>
          <w:sz w:val="24"/>
          <w:szCs w:val="20"/>
        </w:rPr>
        <w:t>（姓名）为我方代理人。代理人根据授权，以我方名义签署、澄清确认、递交、撤回、修改</w:t>
      </w:r>
      <w:r>
        <w:rPr>
          <w:rFonts w:hint="eastAsia" w:ascii="宋体" w:hAnsi="宋体"/>
          <w:color w:val="000000"/>
          <w:sz w:val="24"/>
          <w:lang w:val="zh-CN"/>
        </w:rPr>
        <w:t>________________</w:t>
      </w:r>
      <w:r>
        <w:rPr>
          <w:rFonts w:hint="eastAsia" w:ascii="宋体" w:hAnsi="宋体"/>
          <w:color w:val="000000"/>
          <w:sz w:val="24"/>
          <w:szCs w:val="20"/>
        </w:rPr>
        <w:t>（项目名称）响应文件和处理有关事宜，其法律后果由我方承担。</w:t>
      </w:r>
    </w:p>
    <w:p>
      <w:pPr>
        <w:spacing w:line="360" w:lineRule="auto"/>
        <w:ind w:firstLine="420"/>
        <w:rPr>
          <w:rFonts w:ascii="宋体" w:hAnsi="宋体"/>
          <w:color w:val="000000"/>
          <w:sz w:val="24"/>
          <w:szCs w:val="20"/>
        </w:rPr>
      </w:pPr>
      <w:r>
        <w:rPr>
          <w:rFonts w:hint="eastAsia" w:ascii="宋体" w:hAnsi="宋体"/>
          <w:color w:val="000000"/>
          <w:sz w:val="24"/>
          <w:szCs w:val="20"/>
        </w:rPr>
        <w:t>委托期限：自本授权委托书签署之日起至响应有效期届满之日止。</w:t>
      </w:r>
    </w:p>
    <w:p>
      <w:pPr>
        <w:spacing w:line="360" w:lineRule="auto"/>
        <w:ind w:firstLine="420"/>
        <w:rPr>
          <w:rFonts w:ascii="宋体" w:hAnsi="宋体"/>
          <w:color w:val="000000"/>
          <w:sz w:val="24"/>
          <w:szCs w:val="20"/>
        </w:rPr>
      </w:pPr>
      <w:r>
        <w:rPr>
          <w:rFonts w:hint="eastAsia" w:ascii="宋体" w:hAnsi="宋体"/>
          <w:color w:val="000000"/>
          <w:sz w:val="24"/>
          <w:szCs w:val="20"/>
        </w:rPr>
        <w:t>代理人无转委托权。</w:t>
      </w:r>
    </w:p>
    <w:p>
      <w:pPr>
        <w:spacing w:line="360" w:lineRule="auto"/>
        <w:ind w:firstLine="420"/>
        <w:rPr>
          <w:rFonts w:ascii="宋体" w:hAnsi="宋体"/>
          <w:color w:val="000000"/>
          <w:sz w:val="24"/>
          <w:szCs w:val="20"/>
        </w:rPr>
      </w:pPr>
    </w:p>
    <w:p>
      <w:pPr>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spacing w:line="360" w:lineRule="auto"/>
        <w:rPr>
          <w:rFonts w:ascii="宋体" w:hAnsi="宋体"/>
          <w:color w:val="000000"/>
          <w:sz w:val="24"/>
          <w:szCs w:val="20"/>
        </w:rPr>
      </w:pPr>
      <w:r>
        <w:rPr>
          <w:rFonts w:hint="eastAsia" w:ascii="宋体" w:hAnsi="宋体"/>
          <w:color w:val="000000"/>
          <w:sz w:val="24"/>
          <w:szCs w:val="20"/>
        </w:rPr>
        <w:t>法定代表人或负责人（签字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lang w:val="zh-CN"/>
        </w:rPr>
        <w:t>________________</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委托代理人（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ascii="宋体" w:hAnsi="宋体"/>
          <w:color w:val="000000"/>
          <w:sz w:val="24"/>
        </w:rPr>
        <w:t>）：</w:t>
      </w:r>
      <w:r>
        <w:rPr>
          <w:rFonts w:hint="eastAsia" w:ascii="宋体" w:hAnsi="宋体"/>
          <w:color w:val="000000"/>
          <w:sz w:val="24"/>
          <w:lang w:val="zh-CN"/>
        </w:rPr>
        <w:t>________________</w:t>
      </w:r>
      <w:r>
        <w:rPr>
          <w:rFonts w:hint="eastAsia" w:ascii="宋体" w:hAnsi="宋体"/>
          <w:color w:val="000000"/>
          <w:sz w:val="24"/>
        </w:rPr>
        <w:t xml:space="preserve">    </w:t>
      </w:r>
      <w:r>
        <w:rPr>
          <w:rFonts w:hint="eastAsia" w:ascii="宋体" w:hAnsi="宋体"/>
          <w:color w:val="000000"/>
          <w:sz w:val="24"/>
          <w:lang w:val="zh-CN"/>
        </w:rPr>
        <w:t xml:space="preserve">                      </w:t>
      </w: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tabs>
          <w:tab w:val="left" w:pos="5580"/>
        </w:tabs>
        <w:spacing w:line="360" w:lineRule="auto"/>
        <w:ind w:firstLine="480" w:firstLineChars="200"/>
        <w:rPr>
          <w:rFonts w:ascii="宋体" w:hAnsi="宋体"/>
          <w:color w:val="000000"/>
          <w:sz w:val="24"/>
          <w:szCs w:val="20"/>
        </w:rPr>
      </w:pP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法定代表人或负责人有效期内的身份证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委托代理人有效期内的身份证</w:t>
      </w:r>
      <w:r>
        <w:rPr>
          <w:rFonts w:hint="eastAsia" w:ascii="宋体" w:hAnsi="宋体"/>
          <w:b/>
          <w:color w:val="000000"/>
          <w:sz w:val="24"/>
          <w:szCs w:val="20"/>
        </w:rPr>
        <w:t>正反面</w:t>
      </w:r>
      <w:r>
        <w:rPr>
          <w:rFonts w:hint="eastAsia" w:ascii="宋体" w:hAnsi="宋体"/>
          <w:color w:val="000000"/>
          <w:sz w:val="24"/>
          <w:szCs w:val="20"/>
        </w:rPr>
        <w:t>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说明：</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1.若投标文件中签字之处均为法定代表人或负责人本人签署，则可不提供本《授权委托书》，但须提供《法定代表人或负责人身份证明》（实质性格式）。</w:t>
      </w:r>
    </w:p>
    <w:p>
      <w:pPr>
        <w:tabs>
          <w:tab w:val="left" w:pos="5580"/>
        </w:tabs>
        <w:spacing w:line="360" w:lineRule="auto"/>
        <w:jc w:val="left"/>
        <w:rPr>
          <w:rFonts w:ascii="宋体" w:hAnsi="宋体"/>
          <w:color w:val="000000"/>
          <w:sz w:val="24"/>
          <w:szCs w:val="20"/>
        </w:rPr>
      </w:pPr>
      <w:r>
        <w:rPr>
          <w:rFonts w:hint="eastAsia" w:ascii="宋体" w:hAnsi="宋体"/>
          <w:color w:val="000000"/>
          <w:sz w:val="24"/>
          <w:szCs w:val="20"/>
        </w:rPr>
        <w:t>2.供应商为自然人的情形，可不提供本《授权委托书》。</w:t>
      </w:r>
    </w:p>
    <w:p>
      <w:pPr>
        <w:tabs>
          <w:tab w:val="left" w:pos="5580"/>
        </w:tabs>
        <w:spacing w:line="360" w:lineRule="auto"/>
        <w:jc w:val="left"/>
        <w:rPr>
          <w:rFonts w:ascii="宋体" w:hAnsi="宋体"/>
          <w:color w:val="000000"/>
          <w:sz w:val="30"/>
          <w:szCs w:val="30"/>
        </w:rPr>
      </w:pPr>
      <w:r>
        <w:rPr>
          <w:rFonts w:hint="eastAsia" w:ascii="宋体" w:hAnsi="宋体"/>
          <w:color w:val="000000"/>
          <w:sz w:val="30"/>
          <w:szCs w:val="30"/>
        </w:rPr>
        <w:br w:type="page"/>
      </w:r>
    </w:p>
    <w:p>
      <w:pPr>
        <w:spacing w:line="360" w:lineRule="exact"/>
        <w:jc w:val="center"/>
        <w:rPr>
          <w:rFonts w:ascii="宋体" w:hAnsi="宋体"/>
          <w:b/>
          <w:color w:val="000000"/>
          <w:sz w:val="36"/>
          <w:szCs w:val="36"/>
        </w:rPr>
      </w:pPr>
      <w:r>
        <w:rPr>
          <w:rFonts w:hint="eastAsia" w:ascii="宋体" w:hAnsi="宋体"/>
          <w:b/>
          <w:color w:val="000000"/>
          <w:sz w:val="36"/>
          <w:szCs w:val="36"/>
        </w:rPr>
        <w:t>附：法定代表人或负责人身份证明</w:t>
      </w:r>
    </w:p>
    <w:p>
      <w:pPr>
        <w:kinsoku w:val="0"/>
        <w:overflowPunct w:val="0"/>
        <w:spacing w:line="200" w:lineRule="exact"/>
        <w:rPr>
          <w:rFonts w:ascii="宋体" w:hAnsi="宋体"/>
          <w:sz w:val="20"/>
          <w:szCs w:val="20"/>
        </w:rPr>
      </w:pPr>
    </w:p>
    <w:p>
      <w:pPr>
        <w:tabs>
          <w:tab w:val="left" w:pos="5580"/>
        </w:tabs>
        <w:spacing w:line="360" w:lineRule="auto"/>
        <w:rPr>
          <w:rFonts w:ascii="宋体" w:hAnsi="宋体"/>
          <w:color w:val="000000"/>
          <w:sz w:val="24"/>
        </w:rPr>
      </w:pPr>
    </w:p>
    <w:p>
      <w:pPr>
        <w:tabs>
          <w:tab w:val="left" w:pos="5580"/>
        </w:tabs>
        <w:spacing w:line="360" w:lineRule="auto"/>
        <w:rPr>
          <w:rFonts w:ascii="宋体" w:hAnsi="宋体"/>
          <w:color w:val="000000"/>
          <w:sz w:val="24"/>
        </w:rPr>
      </w:pPr>
      <w:r>
        <w:rPr>
          <w:rFonts w:hint="eastAsia" w:ascii="宋体" w:hAnsi="宋体"/>
          <w:color w:val="000000"/>
          <w:sz w:val="24"/>
        </w:rPr>
        <w:t>致：</w:t>
      </w:r>
      <w:r>
        <w:rPr>
          <w:rFonts w:hint="eastAsia" w:ascii="宋体" w:hAnsi="宋体"/>
          <w:color w:val="000000"/>
          <w:sz w:val="24"/>
          <w:u w:val="single"/>
        </w:rPr>
        <w:t>（采购人或采购代理机构）</w:t>
      </w:r>
    </w:p>
    <w:p>
      <w:pPr>
        <w:pStyle w:val="2"/>
        <w:tabs>
          <w:tab w:val="left" w:pos="2412"/>
          <w:tab w:val="left" w:pos="3883"/>
          <w:tab w:val="left" w:pos="5352"/>
          <w:tab w:val="left" w:pos="6821"/>
        </w:tabs>
        <w:kinsoku w:val="0"/>
        <w:overflowPunct w:val="0"/>
        <w:spacing w:line="335" w:lineRule="exact"/>
        <w:ind w:firstLine="480" w:firstLineChars="200"/>
      </w:pPr>
      <w:r>
        <w:rPr>
          <w:rFonts w:hint="eastAsia"/>
        </w:rPr>
        <w:t>兹证明，</w:t>
      </w:r>
    </w:p>
    <w:p>
      <w:pPr>
        <w:pStyle w:val="2"/>
        <w:tabs>
          <w:tab w:val="left" w:pos="1690"/>
          <w:tab w:val="left" w:pos="3400"/>
          <w:tab w:val="left" w:pos="5110"/>
          <w:tab w:val="left" w:pos="6821"/>
        </w:tabs>
        <w:kinsoku w:val="0"/>
        <w:overflowPunct w:val="0"/>
        <w:spacing w:line="335" w:lineRule="exact"/>
      </w:pPr>
      <w:r>
        <w:rPr>
          <w:rFonts w:hint="eastAsia"/>
        </w:rPr>
        <w:t>姓名：____性别：____年龄：____职务：____</w:t>
      </w:r>
    </w:p>
    <w:p>
      <w:pPr>
        <w:pStyle w:val="2"/>
        <w:tabs>
          <w:tab w:val="left" w:pos="2412"/>
          <w:tab w:val="left" w:pos="3883"/>
          <w:tab w:val="left" w:pos="5352"/>
          <w:tab w:val="left" w:pos="6821"/>
        </w:tabs>
        <w:kinsoku w:val="0"/>
        <w:overflowPunct w:val="0"/>
        <w:spacing w:line="335" w:lineRule="exact"/>
      </w:pPr>
    </w:p>
    <w:p>
      <w:pPr>
        <w:pStyle w:val="2"/>
        <w:tabs>
          <w:tab w:val="left" w:pos="2250"/>
          <w:tab w:val="left" w:pos="2412"/>
          <w:tab w:val="left" w:pos="3883"/>
          <w:tab w:val="left" w:pos="5352"/>
          <w:tab w:val="left" w:pos="6821"/>
          <w:tab w:val="clear" w:pos="567"/>
        </w:tabs>
        <w:kinsoku w:val="0"/>
        <w:overflowPunct w:val="0"/>
        <w:spacing w:line="335" w:lineRule="exact"/>
      </w:pPr>
      <w:r>
        <w:rPr>
          <w:rFonts w:hint="eastAsia"/>
        </w:rPr>
        <w:t>系</w:t>
      </w:r>
      <w:r>
        <w:rPr>
          <w:rFonts w:hint="eastAsia"/>
          <w:u w:val="single"/>
        </w:rPr>
        <w:tab/>
      </w:r>
      <w:r>
        <w:rPr>
          <w:rFonts w:hint="eastAsia"/>
        </w:rPr>
        <w:t>（投标人名称）的法定代表人</w:t>
      </w:r>
      <w:r>
        <w:rPr>
          <w:rFonts w:hint="eastAsia"/>
          <w:color w:val="000000"/>
          <w:szCs w:val="20"/>
        </w:rPr>
        <w:t>或负责人</w:t>
      </w:r>
      <w:r>
        <w:rPr>
          <w:rFonts w:hint="eastAsia"/>
        </w:rPr>
        <w:t>。</w:t>
      </w: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tabs>
          <w:tab w:val="left" w:pos="2412"/>
          <w:tab w:val="left" w:pos="3883"/>
          <w:tab w:val="left" w:pos="5352"/>
          <w:tab w:val="left" w:pos="6821"/>
        </w:tabs>
        <w:kinsoku w:val="0"/>
        <w:overflowPunct w:val="0"/>
        <w:spacing w:line="335" w:lineRule="exact"/>
      </w:pPr>
    </w:p>
    <w:p>
      <w:pPr>
        <w:pStyle w:val="2"/>
        <w:kinsoku w:val="0"/>
        <w:overflowPunct w:val="0"/>
        <w:spacing w:line="580" w:lineRule="auto"/>
        <w:ind w:right="-46"/>
        <w:rPr>
          <w:spacing w:val="-3"/>
        </w:rPr>
      </w:pPr>
      <w:r>
        <w:rPr>
          <w:rFonts w:hint="eastAsia"/>
        </w:rPr>
        <w:t>附：</w:t>
      </w:r>
      <w:r>
        <w:rPr>
          <w:rFonts w:hint="eastAsia"/>
          <w:spacing w:val="-3"/>
        </w:rPr>
        <w:t>法</w:t>
      </w:r>
      <w:r>
        <w:rPr>
          <w:rFonts w:hint="eastAsia"/>
        </w:rPr>
        <w:t>定</w:t>
      </w:r>
      <w:r>
        <w:rPr>
          <w:rFonts w:hint="eastAsia"/>
          <w:spacing w:val="-3"/>
        </w:rPr>
        <w:t>代</w:t>
      </w:r>
      <w:r>
        <w:rPr>
          <w:rFonts w:hint="eastAsia"/>
        </w:rPr>
        <w:t>表</w:t>
      </w:r>
      <w:r>
        <w:rPr>
          <w:rFonts w:hint="eastAsia"/>
          <w:spacing w:val="-3"/>
        </w:rPr>
        <w:t>人</w:t>
      </w:r>
      <w:r>
        <w:rPr>
          <w:rFonts w:hint="eastAsia"/>
          <w:color w:val="000000"/>
          <w:szCs w:val="20"/>
        </w:rPr>
        <w:t>或负责人</w:t>
      </w:r>
      <w:r>
        <w:rPr>
          <w:rFonts w:hint="eastAsia"/>
          <w:spacing w:val="-3"/>
        </w:rPr>
        <w:t>有效期内的身份证正反面复印件。</w:t>
      </w:r>
    </w:p>
    <w:tbl>
      <w:tblPr>
        <w:tblStyle w:val="45"/>
        <w:tblW w:w="920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9" w:hRule="atLeast"/>
        </w:trPr>
        <w:tc>
          <w:tcPr>
            <w:tcW w:w="4673"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c>
          <w:tcPr>
            <w:tcW w:w="4536" w:type="dxa"/>
            <w:tcBorders>
              <w:top w:val="single" w:color="000000" w:sz="4" w:space="0"/>
              <w:left w:val="single" w:color="000000" w:sz="4" w:space="0"/>
              <w:bottom w:val="single" w:color="000000" w:sz="4" w:space="0"/>
              <w:right w:val="single" w:color="000000" w:sz="4" w:space="0"/>
            </w:tcBorders>
          </w:tcPr>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p>
            <w:pPr>
              <w:keepNext w:val="0"/>
              <w:keepLines w:val="0"/>
              <w:suppressLineNumbers w:val="0"/>
              <w:tabs>
                <w:tab w:val="left" w:pos="5580"/>
              </w:tabs>
              <w:spacing w:before="0" w:beforeAutospacing="0" w:after="0" w:afterAutospacing="0" w:line="360" w:lineRule="auto"/>
              <w:ind w:left="0" w:right="0"/>
              <w:jc w:val="left"/>
              <w:rPr>
                <w:rFonts w:hint="default" w:ascii="宋体" w:hAnsi="宋体"/>
                <w:color w:val="000000"/>
                <w:sz w:val="24"/>
                <w:szCs w:val="20"/>
              </w:rPr>
            </w:pPr>
          </w:p>
        </w:tc>
      </w:tr>
    </w:tbl>
    <w:p>
      <w:pPr>
        <w:pStyle w:val="2"/>
        <w:kinsoku w:val="0"/>
        <w:overflowPunct w:val="0"/>
        <w:spacing w:line="580" w:lineRule="auto"/>
        <w:ind w:right="4305"/>
        <w:rPr>
          <w:spacing w:val="-3"/>
        </w:rPr>
      </w:pPr>
    </w:p>
    <w:p>
      <w:pPr>
        <w:pStyle w:val="2"/>
        <w:kinsoku w:val="0"/>
        <w:overflowPunct w:val="0"/>
        <w:spacing w:line="580" w:lineRule="auto"/>
        <w:ind w:right="4305"/>
        <w:rPr>
          <w:spacing w:val="-3"/>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：________________</w:t>
      </w:r>
    </w:p>
    <w:p>
      <w:pPr>
        <w:pStyle w:val="2"/>
        <w:kinsoku w:val="0"/>
        <w:overflowPunct w:val="0"/>
        <w:spacing w:line="580" w:lineRule="auto"/>
        <w:ind w:right="95"/>
        <w:rPr>
          <w:spacing w:val="-3"/>
        </w:rPr>
      </w:pPr>
      <w:r>
        <w:rPr>
          <w:rFonts w:hint="eastAsia"/>
          <w:spacing w:val="-3"/>
        </w:rPr>
        <w:t>法定代表人或负责人（</w:t>
      </w:r>
      <w:r>
        <w:rPr>
          <w:rFonts w:hint="eastAsia" w:ascii="宋体" w:hAnsi="宋体"/>
          <w:color w:val="000000"/>
          <w:sz w:val="24"/>
          <w:szCs w:val="20"/>
        </w:rPr>
        <w:t>签字</w:t>
      </w:r>
      <w:r>
        <w:rPr>
          <w:rFonts w:hint="eastAsia" w:ascii="宋体" w:hAnsi="宋体"/>
          <w:color w:val="000000"/>
          <w:sz w:val="24"/>
          <w:szCs w:val="20"/>
          <w:lang w:eastAsia="zh-CN"/>
        </w:rPr>
        <w:t>或</w:t>
      </w:r>
      <w:r>
        <w:rPr>
          <w:rFonts w:hint="eastAsia" w:ascii="宋体" w:hAnsi="宋体"/>
          <w:color w:val="000000"/>
          <w:sz w:val="24"/>
          <w:szCs w:val="20"/>
        </w:rPr>
        <w:t>签章</w:t>
      </w:r>
      <w:r>
        <w:rPr>
          <w:rFonts w:hint="eastAsia"/>
          <w:spacing w:val="-3"/>
        </w:rPr>
        <w:t>）：_______</w:t>
      </w:r>
    </w:p>
    <w:p>
      <w:pPr>
        <w:autoSpaceDE w:val="0"/>
        <w:autoSpaceDN w:val="0"/>
        <w:adjustRightInd w:val="0"/>
        <w:snapToGrid w:val="0"/>
        <w:spacing w:line="360" w:lineRule="auto"/>
        <w:rPr>
          <w:rFonts w:ascii="宋体" w:hAnsi="宋体"/>
          <w:color w:val="000000"/>
          <w:sz w:val="24"/>
        </w:rPr>
      </w:pPr>
    </w:p>
    <w:p>
      <w:pPr>
        <w:autoSpaceDE w:val="0"/>
        <w:autoSpaceDN w:val="0"/>
        <w:adjustRightInd w:val="0"/>
        <w:snapToGrid w:val="0"/>
        <w:spacing w:line="360" w:lineRule="auto"/>
        <w:rPr>
          <w:rFonts w:ascii="宋体" w:hAnsi="宋体"/>
          <w:color w:val="000000"/>
          <w:sz w:val="24"/>
          <w:lang w:val="zh-CN"/>
        </w:rPr>
      </w:pPr>
      <w:r>
        <w:rPr>
          <w:rFonts w:hint="eastAsia" w:ascii="宋体" w:hAnsi="宋体"/>
          <w:color w:val="000000"/>
          <w:sz w:val="24"/>
        </w:rPr>
        <w:t>日期：_____年______月______日</w:t>
      </w:r>
    </w:p>
    <w:p>
      <w:pPr>
        <w:widowControl/>
        <w:jc w:val="left"/>
        <w:rPr>
          <w:rFonts w:ascii="宋体" w:hAnsi="宋体"/>
          <w:i/>
          <w:color w:val="000000"/>
          <w:sz w:val="24"/>
          <w:szCs w:val="20"/>
          <w:u w:val="single"/>
        </w:rPr>
      </w:pPr>
    </w:p>
    <w:p>
      <w:pPr>
        <w:widowControl/>
        <w:jc w:val="left"/>
        <w:rPr>
          <w:rFonts w:ascii="宋体" w:hAnsi="宋体"/>
          <w:color w:val="000000"/>
          <w:sz w:val="24"/>
          <w:szCs w:val="20"/>
        </w:rPr>
      </w:pPr>
      <w:r>
        <w:rPr>
          <w:rFonts w:hint="eastAsia" w:ascii="宋体" w:hAnsi="宋体"/>
          <w:color w:val="000000"/>
          <w:sz w:val="24"/>
          <w:szCs w:val="20"/>
        </w:rPr>
        <w:br w:type="page"/>
      </w:r>
    </w:p>
    <w:p>
      <w:pPr>
        <w:spacing w:line="360" w:lineRule="auto"/>
        <w:outlineLvl w:val="2"/>
        <w:rPr>
          <w:rFonts w:ascii="宋体" w:hAnsi="宋体"/>
          <w:b/>
          <w:bCs/>
          <w:color w:val="000000"/>
          <w:sz w:val="24"/>
          <w:szCs w:val="20"/>
        </w:rPr>
      </w:pPr>
      <w:r>
        <w:rPr>
          <w:rFonts w:hint="eastAsia" w:ascii="宋体" w:hAnsi="宋体"/>
          <w:b/>
          <w:bCs/>
          <w:color w:val="000000"/>
          <w:sz w:val="24"/>
          <w:szCs w:val="20"/>
        </w:rPr>
        <w:t>3  开标一览表</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Pr>
          <w:rFonts w:hint="eastAsia" w:ascii="宋体" w:hAnsi="宋体"/>
          <w:b/>
          <w:bCs/>
          <w:color w:val="000000"/>
          <w:sz w:val="24"/>
          <w:szCs w:val="20"/>
        </w:rPr>
        <w:t>（实质性格式）</w:t>
      </w:r>
    </w:p>
    <w:p>
      <w:pPr>
        <w:spacing w:line="360" w:lineRule="exact"/>
        <w:jc w:val="center"/>
        <w:rPr>
          <w:rFonts w:ascii="宋体" w:hAnsi="宋体"/>
          <w:b/>
          <w:color w:val="000000"/>
          <w:sz w:val="36"/>
          <w:szCs w:val="36"/>
        </w:rPr>
      </w:pPr>
      <w:bookmarkStart w:id="832" w:name="_Toc164608672"/>
      <w:bookmarkStart w:id="833" w:name="_Toc305158826"/>
      <w:bookmarkStart w:id="834" w:name="_Toc226965748"/>
      <w:bookmarkStart w:id="835" w:name="_Toc195842923"/>
      <w:bookmarkStart w:id="836" w:name="_Toc305158900"/>
      <w:bookmarkStart w:id="837" w:name="_Toc226337254"/>
      <w:bookmarkStart w:id="838" w:name="_Toc164608827"/>
      <w:bookmarkStart w:id="839" w:name="_Toc265228396"/>
      <w:bookmarkStart w:id="840" w:name="_Toc226309802"/>
      <w:bookmarkStart w:id="841" w:name="_Toc226965831"/>
      <w:bookmarkStart w:id="842" w:name="_Toc264969248"/>
    </w:p>
    <w:p>
      <w:pPr>
        <w:spacing w:line="360" w:lineRule="exact"/>
        <w:jc w:val="center"/>
        <w:rPr>
          <w:rFonts w:ascii="宋体" w:hAnsi="宋体"/>
          <w:b/>
          <w:color w:val="000000"/>
          <w:sz w:val="36"/>
          <w:szCs w:val="36"/>
        </w:rPr>
      </w:pPr>
      <w:r>
        <w:rPr>
          <w:rFonts w:hint="eastAsia" w:ascii="宋体" w:hAnsi="宋体"/>
          <w:b/>
          <w:color w:val="000000"/>
          <w:sz w:val="36"/>
          <w:szCs w:val="36"/>
        </w:rPr>
        <w:t>开标一览表</w:t>
      </w:r>
      <w:bookmarkEnd w:id="832"/>
      <w:bookmarkEnd w:id="833"/>
      <w:bookmarkEnd w:id="834"/>
      <w:bookmarkEnd w:id="835"/>
      <w:bookmarkEnd w:id="836"/>
      <w:bookmarkEnd w:id="837"/>
      <w:bookmarkEnd w:id="838"/>
      <w:bookmarkEnd w:id="839"/>
      <w:bookmarkEnd w:id="840"/>
      <w:bookmarkEnd w:id="841"/>
      <w:bookmarkEnd w:id="842"/>
    </w:p>
    <w:p>
      <w:pPr>
        <w:tabs>
          <w:tab w:val="left" w:pos="1800"/>
          <w:tab w:val="left" w:pos="5580"/>
        </w:tabs>
        <w:spacing w:line="360" w:lineRule="auto"/>
        <w:jc w:val="left"/>
        <w:rPr>
          <w:rFonts w:ascii="宋体" w:hAnsi="宋体"/>
          <w:i/>
          <w:color w:val="FF0000"/>
          <w:sz w:val="24"/>
        </w:rPr>
      </w:pPr>
    </w:p>
    <w:p>
      <w:pPr>
        <w:tabs>
          <w:tab w:val="left" w:pos="1800"/>
          <w:tab w:val="left" w:pos="5580"/>
        </w:tabs>
        <w:spacing w:line="360" w:lineRule="auto"/>
        <w:ind w:firstLine="240" w:firstLineChars="10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8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90"/>
        <w:gridCol w:w="3709"/>
        <w:gridCol w:w="1989"/>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690"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序号</w:t>
            </w:r>
          </w:p>
        </w:tc>
        <w:tc>
          <w:tcPr>
            <w:tcW w:w="3709"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投标人名称</w:t>
            </w:r>
          </w:p>
        </w:tc>
        <w:tc>
          <w:tcPr>
            <w:tcW w:w="39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投标报价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4" w:hRule="atLeast"/>
          <w:jc w:val="center"/>
        </w:trPr>
        <w:tc>
          <w:tcPr>
            <w:tcW w:w="69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370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b/>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大写</w:t>
            </w: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b/>
                <w:sz w:val="24"/>
              </w:rPr>
            </w:pPr>
            <w:r>
              <w:rPr>
                <w:rFonts w:hint="eastAsia" w:ascii="宋体" w:hAnsi="宋体"/>
                <w:b/>
                <w:sz w:val="24"/>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6" w:hRule="atLeast"/>
          <w:jc w:val="center"/>
        </w:trPr>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370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c>
          <w:tcPr>
            <w:tcW w:w="19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abs>
                <w:tab w:val="left" w:pos="5580"/>
              </w:tabs>
              <w:spacing w:before="0" w:beforeAutospacing="0" w:after="0" w:afterAutospacing="0"/>
              <w:ind w:left="0" w:right="0"/>
              <w:jc w:val="center"/>
              <w:rPr>
                <w:rFonts w:hint="default" w:ascii="宋体" w:hAnsi="宋体"/>
                <w:sz w:val="24"/>
              </w:rPr>
            </w:pPr>
          </w:p>
        </w:tc>
      </w:tr>
    </w:tbl>
    <w:p>
      <w:pPr>
        <w:autoSpaceDE w:val="0"/>
        <w:autoSpaceDN w:val="0"/>
        <w:adjustRightInd w:val="0"/>
        <w:jc w:val="left"/>
        <w:rPr>
          <w:rFonts w:ascii="宋体" w:hAnsi="宋体"/>
          <w:color w:val="000000"/>
          <w:kern w:val="0"/>
          <w:sz w:val="24"/>
        </w:rPr>
      </w:pPr>
    </w:p>
    <w:p>
      <w:pPr>
        <w:autoSpaceDE w:val="0"/>
        <w:autoSpaceDN w:val="0"/>
        <w:adjustRightInd w:val="0"/>
        <w:jc w:val="left"/>
        <w:rPr>
          <w:rFonts w:ascii="宋体" w:hAnsi="宋体"/>
          <w:color w:val="000000"/>
          <w:sz w:val="24"/>
          <w:szCs w:val="20"/>
        </w:rPr>
      </w:pPr>
      <w:r>
        <w:rPr>
          <w:rFonts w:hint="eastAsia" w:ascii="宋体" w:hAnsi="宋体"/>
          <w:color w:val="000000"/>
          <w:kern w:val="0"/>
          <w:sz w:val="24"/>
        </w:rPr>
        <w:t>注：1</w:t>
      </w:r>
      <w:r>
        <w:rPr>
          <w:rFonts w:hint="eastAsia" w:ascii="宋体" w:hAnsi="宋体"/>
          <w:color w:val="000000"/>
          <w:sz w:val="24"/>
          <w:szCs w:val="20"/>
        </w:rPr>
        <w:t>.此表中，每包的投标报价应和《投标分项报价表》中的总价相一致。</w:t>
      </w:r>
    </w:p>
    <w:p>
      <w:pPr>
        <w:tabs>
          <w:tab w:val="left" w:pos="5580"/>
        </w:tabs>
        <w:ind w:firstLine="480" w:firstLineChars="200"/>
        <w:rPr>
          <w:rFonts w:ascii="宋体" w:hAnsi="宋体"/>
          <w:color w:val="000000"/>
          <w:sz w:val="24"/>
          <w:szCs w:val="20"/>
        </w:rPr>
      </w:pPr>
      <w:r>
        <w:rPr>
          <w:rFonts w:hint="eastAsia" w:ascii="宋体" w:hAnsi="宋体"/>
          <w:color w:val="000000"/>
          <w:sz w:val="24"/>
          <w:szCs w:val="20"/>
        </w:rPr>
        <w:t>2.本表必须按包分别填写。</w:t>
      </w:r>
    </w:p>
    <w:p>
      <w:pPr>
        <w:autoSpaceDE w:val="0"/>
        <w:autoSpaceDN w:val="0"/>
        <w:adjustRightInd w:val="0"/>
        <w:snapToGrid w:val="0"/>
        <w:spacing w:before="25" w:after="25" w:line="360" w:lineRule="auto"/>
        <w:rPr>
          <w:rFonts w:ascii="宋体" w:hAnsi="宋体"/>
          <w:color w:val="000000"/>
          <w:sz w:val="24"/>
          <w:lang w:val="zh-CN"/>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widowControl/>
        <w:jc w:val="left"/>
        <w:rPr>
          <w:rFonts w:ascii="宋体" w:hAnsi="宋体"/>
          <w:color w:val="000000"/>
          <w:sz w:val="24"/>
          <w:szCs w:val="20"/>
        </w:rPr>
      </w:pPr>
      <w:r>
        <w:rPr>
          <w:rFonts w:hint="eastAsia" w:ascii="宋体" w:hAnsi="宋体"/>
          <w:color w:val="000000"/>
          <w:sz w:val="24"/>
          <w:szCs w:val="20"/>
        </w:rPr>
        <w:br w:type="page"/>
      </w:r>
      <w:bookmarkStart w:id="843" w:name="_Toc226965832"/>
      <w:bookmarkStart w:id="844" w:name="_Toc226337255"/>
      <w:bookmarkStart w:id="845" w:name="_Toc150480796"/>
      <w:bookmarkStart w:id="846" w:name="_Toc226965749"/>
      <w:bookmarkStart w:id="847" w:name="_Toc264969249"/>
      <w:bookmarkStart w:id="848" w:name="_Toc127151558"/>
      <w:bookmarkStart w:id="849" w:name="_Toc150774763"/>
      <w:bookmarkStart w:id="850" w:name="_Toc265228397"/>
      <w:bookmarkStart w:id="851" w:name="_Toc305158827"/>
      <w:bookmarkStart w:id="852" w:name="_Toc142311060"/>
      <w:bookmarkStart w:id="853" w:name="_Toc195842924"/>
      <w:bookmarkStart w:id="854" w:name="_Toc305158901"/>
      <w:bookmarkStart w:id="855" w:name="_Toc226309803"/>
    </w:p>
    <w:p>
      <w:pPr>
        <w:spacing w:line="360" w:lineRule="auto"/>
        <w:outlineLvl w:val="2"/>
        <w:rPr>
          <w:rFonts w:ascii="宋体" w:hAnsi="宋体"/>
          <w:b/>
          <w:bCs/>
          <w:color w:val="000000"/>
          <w:sz w:val="24"/>
          <w:szCs w:val="20"/>
        </w:rPr>
      </w:pPr>
      <w:r>
        <w:rPr>
          <w:rFonts w:hint="eastAsia" w:ascii="宋体" w:hAnsi="宋体"/>
          <w:b/>
          <w:bCs/>
          <w:color w:val="000000"/>
          <w:sz w:val="24"/>
          <w:szCs w:val="20"/>
        </w:rPr>
        <w:t>4  投标分项报价表</w:t>
      </w:r>
      <w:bookmarkEnd w:id="843"/>
      <w:bookmarkEnd w:id="844"/>
      <w:bookmarkEnd w:id="845"/>
      <w:bookmarkEnd w:id="846"/>
      <w:bookmarkEnd w:id="847"/>
      <w:bookmarkEnd w:id="848"/>
      <w:bookmarkEnd w:id="849"/>
      <w:bookmarkEnd w:id="850"/>
      <w:bookmarkEnd w:id="851"/>
      <w:bookmarkEnd w:id="852"/>
      <w:bookmarkEnd w:id="853"/>
      <w:bookmarkEnd w:id="854"/>
      <w:bookmarkEnd w:id="855"/>
      <w:r>
        <w:rPr>
          <w:rFonts w:hint="eastAsia" w:ascii="宋体" w:hAnsi="宋体"/>
          <w:b/>
          <w:bCs/>
          <w:color w:val="000000"/>
          <w:sz w:val="24"/>
          <w:szCs w:val="20"/>
        </w:rPr>
        <w:t>（实质性格式）</w:t>
      </w:r>
    </w:p>
    <w:p>
      <w:pPr>
        <w:spacing w:line="360" w:lineRule="exact"/>
        <w:jc w:val="center"/>
        <w:rPr>
          <w:rFonts w:ascii="宋体" w:hAnsi="宋体"/>
          <w:color w:val="000000"/>
          <w:sz w:val="36"/>
          <w:szCs w:val="36"/>
        </w:rPr>
      </w:pPr>
    </w:p>
    <w:p>
      <w:pPr>
        <w:spacing w:line="360" w:lineRule="exact"/>
        <w:jc w:val="center"/>
        <w:rPr>
          <w:rFonts w:ascii="宋体" w:hAnsi="宋体"/>
          <w:b/>
          <w:color w:val="000000"/>
          <w:sz w:val="36"/>
          <w:szCs w:val="36"/>
        </w:rPr>
      </w:pPr>
      <w:r>
        <w:rPr>
          <w:rFonts w:hint="eastAsia" w:ascii="宋体" w:hAnsi="宋体"/>
          <w:b/>
          <w:color w:val="000000"/>
          <w:sz w:val="36"/>
          <w:szCs w:val="36"/>
        </w:rPr>
        <w:t>投标分项报价表</w:t>
      </w:r>
    </w:p>
    <w:p>
      <w:pPr>
        <w:pStyle w:val="35"/>
        <w:rPr>
          <w:rFonts w:ascii="宋体" w:hAnsi="宋体"/>
        </w:rPr>
      </w:pPr>
    </w:p>
    <w:p>
      <w:pPr>
        <w:tabs>
          <w:tab w:val="left" w:pos="1800"/>
          <w:tab w:val="left" w:pos="5580"/>
        </w:tabs>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 项目名称：__________报价单位：人民币元</w:t>
      </w:r>
    </w:p>
    <w:p>
      <w:pPr>
        <w:pStyle w:val="35"/>
        <w:rPr>
          <w:rFonts w:ascii="宋体" w:hAnsi="宋体"/>
        </w:rPr>
      </w:pPr>
    </w:p>
    <w:tbl>
      <w:tblPr>
        <w:tblStyle w:val="4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3401"/>
        <w:gridCol w:w="1562"/>
        <w:gridCol w:w="1560"/>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03"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序号</w:t>
            </w:r>
          </w:p>
        </w:tc>
        <w:tc>
          <w:tcPr>
            <w:tcW w:w="3401" w:type="dxa"/>
            <w:vAlign w:val="center"/>
          </w:tcPr>
          <w:p>
            <w:pPr>
              <w:keepNext w:val="0"/>
              <w:keepLines w:val="0"/>
              <w:suppressLineNumbers w:val="0"/>
              <w:adjustRightInd w:val="0"/>
              <w:snapToGrid w:val="0"/>
              <w:spacing w:before="0" w:beforeAutospacing="0" w:after="0" w:afterAutospacing="0"/>
              <w:ind w:left="0" w:right="0"/>
              <w:jc w:val="center"/>
              <w:rPr>
                <w:rFonts w:hint="default"/>
                <w:b/>
                <w:color w:val="000000"/>
                <w:sz w:val="24"/>
              </w:rPr>
            </w:pPr>
            <w:r>
              <w:rPr>
                <w:rFonts w:hint="default"/>
                <w:b/>
                <w:color w:val="000000"/>
                <w:sz w:val="24"/>
              </w:rPr>
              <w:t>分项名称</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单价（元）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合价（元）</w:t>
            </w: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b/>
                <w:color w:val="000000"/>
                <w:sz w:val="24"/>
              </w:rPr>
            </w:pPr>
            <w:r>
              <w:rPr>
                <w:rFonts w:hint="default"/>
                <w:b/>
                <w:color w:val="000000"/>
                <w:sz w:val="24"/>
              </w:rPr>
              <w:t>备注/说明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1</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2</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703" w:type="dxa"/>
            <w:vAlign w:val="center"/>
          </w:tcPr>
          <w:p>
            <w:pPr>
              <w:keepNext w:val="0"/>
              <w:keepLines w:val="0"/>
              <w:suppressLineNumbers w:val="0"/>
              <w:adjustRightInd w:val="0"/>
              <w:snapToGrid w:val="0"/>
              <w:spacing w:before="0" w:beforeAutospacing="0" w:after="0" w:afterAutospacing="0"/>
              <w:ind w:left="0" w:right="0"/>
              <w:jc w:val="center"/>
              <w:rPr>
                <w:rFonts w:hint="default"/>
                <w:color w:val="000000"/>
                <w:sz w:val="24"/>
              </w:rPr>
            </w:pPr>
            <w:r>
              <w:rPr>
                <w:rFonts w:hint="default"/>
                <w:color w:val="000000"/>
                <w:sz w:val="24"/>
              </w:rPr>
              <w:t>3</w:t>
            </w:r>
          </w:p>
        </w:tc>
        <w:tc>
          <w:tcPr>
            <w:tcW w:w="3401"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w:t>
            </w:r>
          </w:p>
        </w:tc>
        <w:tc>
          <w:tcPr>
            <w:tcW w:w="156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5666" w:type="dxa"/>
            <w:gridSpan w:val="3"/>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r>
              <w:rPr>
                <w:rFonts w:hint="default"/>
                <w:color w:val="000000"/>
                <w:sz w:val="24"/>
              </w:rPr>
              <w:t>总价（元）</w:t>
            </w:r>
          </w:p>
        </w:tc>
        <w:tc>
          <w:tcPr>
            <w:tcW w:w="1560"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c>
          <w:tcPr>
            <w:tcW w:w="1982" w:type="dxa"/>
            <w:vAlign w:val="center"/>
          </w:tcPr>
          <w:p>
            <w:pPr>
              <w:keepNext w:val="0"/>
              <w:keepLines w:val="0"/>
              <w:suppressLineNumbers w:val="0"/>
              <w:adjustRightInd w:val="0"/>
              <w:snapToGrid w:val="0"/>
              <w:spacing w:before="0" w:beforeAutospacing="0" w:after="0" w:afterAutospacing="0"/>
              <w:ind w:left="0" w:right="0"/>
              <w:jc w:val="left"/>
              <w:rPr>
                <w:rFonts w:hint="default"/>
                <w:color w:val="000000"/>
                <w:sz w:val="24"/>
              </w:rPr>
            </w:pPr>
          </w:p>
        </w:tc>
      </w:tr>
    </w:tbl>
    <w:p>
      <w:pPr>
        <w:tabs>
          <w:tab w:val="left" w:pos="1800"/>
          <w:tab w:val="left" w:pos="5580"/>
        </w:tabs>
        <w:jc w:val="left"/>
        <w:rPr>
          <w:rFonts w:ascii="宋体" w:hAnsi="宋体"/>
          <w:color w:val="000000"/>
          <w:sz w:val="24"/>
        </w:rPr>
      </w:pPr>
    </w:p>
    <w:p>
      <w:pPr>
        <w:pStyle w:val="35"/>
        <w:rPr>
          <w:rFonts w:ascii="宋体" w:hAnsi="宋体"/>
        </w:rPr>
      </w:pPr>
    </w:p>
    <w:p>
      <w:pPr>
        <w:tabs>
          <w:tab w:val="left" w:pos="1800"/>
          <w:tab w:val="left" w:pos="5580"/>
        </w:tabs>
        <w:jc w:val="left"/>
        <w:rPr>
          <w:rFonts w:ascii="宋体" w:hAnsi="宋体"/>
          <w:color w:val="000000"/>
          <w:sz w:val="24"/>
        </w:rPr>
      </w:pPr>
      <w:r>
        <w:rPr>
          <w:rFonts w:hint="eastAsia" w:ascii="宋体" w:hAnsi="宋体"/>
          <w:color w:val="000000"/>
          <w:sz w:val="24"/>
        </w:rPr>
        <w:t>注：1.本表应按包分别填写。</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2.如果不提供分项报价将视为没有实质性响应招标文件。</w:t>
      </w:r>
    </w:p>
    <w:p>
      <w:pPr>
        <w:tabs>
          <w:tab w:val="left" w:pos="1800"/>
          <w:tab w:val="left" w:pos="5580"/>
        </w:tabs>
        <w:ind w:firstLine="480" w:firstLineChars="200"/>
        <w:jc w:val="left"/>
        <w:rPr>
          <w:rFonts w:ascii="宋体" w:hAnsi="宋体"/>
          <w:color w:val="000000"/>
          <w:sz w:val="24"/>
        </w:rPr>
      </w:pPr>
      <w:r>
        <w:rPr>
          <w:rFonts w:hint="eastAsia" w:ascii="宋体" w:hAnsi="宋体"/>
          <w:color w:val="000000"/>
          <w:sz w:val="24"/>
        </w:rPr>
        <w:t>3.上述各项的详细规格（如有），可另页描述。</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bookmarkStart w:id="856" w:name="_Toc127151562"/>
      <w:bookmarkStart w:id="857" w:name="_Toc265228400"/>
      <w:bookmarkStart w:id="858" w:name="_Toc226309806"/>
      <w:bookmarkStart w:id="859" w:name="_Toc264969252"/>
      <w:bookmarkStart w:id="860" w:name="_Toc150774765"/>
      <w:bookmarkStart w:id="861" w:name="_Toc150480798"/>
      <w:bookmarkStart w:id="862" w:name="_Toc305158830"/>
      <w:bookmarkStart w:id="863" w:name="_Toc142311062"/>
      <w:bookmarkStart w:id="864" w:name="_Toc195842927"/>
      <w:bookmarkStart w:id="865" w:name="_Toc305158904"/>
      <w:bookmarkStart w:id="866" w:name="_Toc226965835"/>
      <w:bookmarkStart w:id="867" w:name="_Toc226965752"/>
      <w:bookmarkStart w:id="868" w:name="_Toc226337258"/>
      <w:bookmarkStart w:id="869" w:name="_Toc127151561"/>
      <w:bookmarkStart w:id="870" w:name="_Toc226965834"/>
      <w:bookmarkStart w:id="871" w:name="_Toc195842926"/>
      <w:bookmarkStart w:id="872" w:name="_Toc264969251"/>
      <w:bookmarkStart w:id="873" w:name="_Toc150480797"/>
      <w:bookmarkStart w:id="874" w:name="_Toc142311061"/>
      <w:bookmarkStart w:id="875" w:name="_Toc305158903"/>
      <w:bookmarkStart w:id="876" w:name="_Toc226965751"/>
      <w:bookmarkStart w:id="877" w:name="_Toc265228399"/>
      <w:bookmarkStart w:id="878" w:name="_Toc226337257"/>
      <w:bookmarkStart w:id="879" w:name="_Toc305158829"/>
      <w:bookmarkStart w:id="880" w:name="_Toc226309805"/>
      <w:bookmarkStart w:id="881" w:name="_Toc150774764"/>
      <w:r>
        <w:rPr>
          <w:rFonts w:hint="eastAsia" w:ascii="宋体" w:hAnsi="宋体"/>
          <w:b/>
          <w:bCs/>
          <w:color w:val="000000"/>
          <w:sz w:val="24"/>
          <w:szCs w:val="20"/>
        </w:rPr>
        <w:t>5  合同条款偏离表</w:t>
      </w:r>
      <w:bookmarkEnd w:id="856"/>
      <w:bookmarkEnd w:id="857"/>
      <w:bookmarkEnd w:id="858"/>
      <w:bookmarkEnd w:id="859"/>
      <w:bookmarkEnd w:id="860"/>
      <w:bookmarkEnd w:id="861"/>
      <w:bookmarkEnd w:id="862"/>
      <w:bookmarkEnd w:id="863"/>
      <w:bookmarkEnd w:id="864"/>
      <w:bookmarkEnd w:id="865"/>
      <w:bookmarkEnd w:id="866"/>
      <w:bookmarkEnd w:id="867"/>
      <w:bookmarkEnd w:id="868"/>
      <w:r>
        <w:rPr>
          <w:rFonts w:hint="eastAsia" w:ascii="宋体" w:hAnsi="宋体"/>
          <w:b/>
          <w:bCs/>
          <w:color w:val="000000"/>
          <w:sz w:val="24"/>
          <w:szCs w:val="20"/>
        </w:rPr>
        <w:t>（实质性格式）</w:t>
      </w:r>
    </w:p>
    <w:p>
      <w:pPr>
        <w:spacing w:line="360" w:lineRule="auto"/>
        <w:rPr>
          <w:rFonts w:ascii="宋体" w:hAnsi="宋体"/>
          <w:color w:val="000000"/>
          <w:sz w:val="24"/>
          <w:szCs w:val="20"/>
        </w:rPr>
      </w:pPr>
    </w:p>
    <w:p>
      <w:pPr>
        <w:tabs>
          <w:tab w:val="left" w:pos="2775"/>
          <w:tab w:val="center" w:pos="4153"/>
        </w:tabs>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合同条款偏离表</w:t>
      </w:r>
    </w:p>
    <w:p>
      <w:pPr>
        <w:spacing w:line="360" w:lineRule="auto"/>
        <w:rPr>
          <w:rFonts w:ascii="宋体" w:hAnsi="宋体"/>
          <w:color w:val="000000"/>
          <w:sz w:val="24"/>
          <w:szCs w:val="20"/>
        </w:rPr>
      </w:pPr>
    </w:p>
    <w:p>
      <w:pPr>
        <w:tabs>
          <w:tab w:val="left" w:pos="1800"/>
          <w:tab w:val="left" w:pos="5580"/>
        </w:tabs>
        <w:spacing w:line="360" w:lineRule="auto"/>
        <w:ind w:firstLine="360" w:firstLineChars="150"/>
        <w:jc w:val="left"/>
        <w:rPr>
          <w:rFonts w:ascii="宋体" w:hAnsi="宋体"/>
          <w:color w:val="000000"/>
          <w:sz w:val="24"/>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项目名称：_____________</w:t>
      </w:r>
    </w:p>
    <w:tbl>
      <w:tblPr>
        <w:tblStyle w:val="4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287"/>
        <w:gridCol w:w="1982"/>
        <w:gridCol w:w="1983"/>
        <w:gridCol w:w="2426"/>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928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对本项目合同条款的偏离情况（请进行勾选）：</w:t>
            </w:r>
          </w:p>
          <w:p>
            <w:pPr>
              <w:keepNext w:val="0"/>
              <w:keepLines w:val="0"/>
              <w:suppressLineNumbers w:val="0"/>
              <w:adjustRightInd w:val="0"/>
              <w:snapToGrid w:val="0"/>
              <w:spacing w:before="0" w:beforeAutospacing="0" w:after="0" w:afterAutospacing="0"/>
              <w:ind w:left="0" w:right="0"/>
              <w:jc w:val="left"/>
              <w:rPr>
                <w:rFonts w:hint="default" w:ascii="宋体" w:hAnsi="宋体"/>
                <w:b/>
                <w:color w:val="000000"/>
                <w:sz w:val="24"/>
              </w:rPr>
            </w:pPr>
            <w:r>
              <w:rPr>
                <w:rFonts w:hint="eastAsia" w:ascii="宋体" w:hAnsi="宋体"/>
                <w:b/>
                <w:color w:val="000000"/>
                <w:sz w:val="24"/>
              </w:rPr>
              <w:t>□无偏离</w:t>
            </w:r>
            <w:r>
              <w:rPr>
                <w:rFonts w:hint="eastAsia" w:ascii="宋体" w:hAnsi="宋体"/>
                <w:color w:val="000000"/>
                <w:sz w:val="24"/>
              </w:rPr>
              <w:t>（</w:t>
            </w:r>
            <w:r>
              <w:rPr>
                <w:rFonts w:hint="eastAsia" w:ascii="宋体" w:hAnsi="宋体"/>
                <w:color w:val="000000"/>
                <w:sz w:val="24"/>
                <w:szCs w:val="21"/>
              </w:rPr>
              <w:t>如无偏离，仅勾选无偏离即可</w:t>
            </w:r>
            <w:r>
              <w:rPr>
                <w:rFonts w:hint="eastAsia" w:ascii="宋体" w:hAnsi="宋体"/>
                <w:color w:val="000000"/>
                <w:sz w:val="24"/>
              </w:rPr>
              <w:t>）</w:t>
            </w:r>
          </w:p>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 w:val="24"/>
              </w:rPr>
            </w:pPr>
            <w:r>
              <w:rPr>
                <w:rFonts w:hint="eastAsia" w:ascii="宋体" w:hAnsi="宋体"/>
                <w:b/>
                <w:color w:val="000000"/>
                <w:sz w:val="24"/>
              </w:rPr>
              <w:t>□有偏离</w:t>
            </w:r>
            <w:r>
              <w:rPr>
                <w:rFonts w:hint="eastAsia" w:ascii="宋体" w:hAnsi="宋体"/>
                <w:color w:val="000000"/>
                <w:sz w:val="24"/>
              </w:rPr>
              <w:t>（</w:t>
            </w:r>
            <w:r>
              <w:rPr>
                <w:rFonts w:hint="eastAsia" w:ascii="宋体" w:hAnsi="宋体"/>
                <w:color w:val="000000"/>
                <w:sz w:val="24"/>
                <w:szCs w:val="21"/>
              </w:rPr>
              <w:t>如有偏离，</w:t>
            </w:r>
            <w:r>
              <w:rPr>
                <w:rFonts w:hint="eastAsia" w:ascii="宋体" w:hAnsi="宋体"/>
                <w:color w:val="000000"/>
                <w:sz w:val="24"/>
              </w:rPr>
              <w:t>则应在本表中对偏离项逐一列明）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序号</w:t>
            </w: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条目号</w:t>
            </w: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szCs w:val="21"/>
              </w:rPr>
              <w:t>招标文件</w:t>
            </w:r>
            <w:r>
              <w:rPr>
                <w:rFonts w:hint="eastAsia" w:ascii="宋体" w:hAnsi="宋体"/>
                <w:color w:val="000000"/>
                <w:sz w:val="24"/>
              </w:rPr>
              <w:t>要求</w:t>
            </w: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投标文件内容</w:t>
            </w: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偏离情况</w:t>
            </w: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r>
              <w:rPr>
                <w:rFonts w:hint="eastAsia" w:ascii="宋体" w:hAnsi="宋体"/>
                <w:color w:val="000000"/>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82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28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19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24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c>
          <w:tcPr>
            <w:tcW w:w="78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olor w:val="000000"/>
                <w:sz w:val="24"/>
              </w:rPr>
            </w:pPr>
          </w:p>
        </w:tc>
      </w:tr>
    </w:tbl>
    <w:p>
      <w:pPr>
        <w:tabs>
          <w:tab w:val="left" w:pos="1800"/>
          <w:tab w:val="left" w:pos="5580"/>
        </w:tabs>
        <w:jc w:val="left"/>
        <w:rPr>
          <w:rFonts w:ascii="宋体" w:hAnsi="宋体"/>
          <w:color w:val="000000"/>
          <w:sz w:val="24"/>
        </w:rPr>
      </w:pPr>
    </w:p>
    <w:p>
      <w:pPr>
        <w:tabs>
          <w:tab w:val="left" w:pos="1800"/>
          <w:tab w:val="left" w:pos="5580"/>
        </w:tabs>
        <w:jc w:val="left"/>
        <w:rPr>
          <w:rFonts w:ascii="宋体" w:hAnsi="宋体"/>
          <w:color w:val="000000"/>
          <w:sz w:val="24"/>
        </w:rPr>
      </w:pPr>
      <w:r>
        <w:rPr>
          <w:rFonts w:hint="eastAsia" w:ascii="宋体" w:hAnsi="宋体"/>
          <w:color w:val="000000"/>
          <w:sz w:val="24"/>
        </w:rPr>
        <w:t>注：</w:t>
      </w:r>
    </w:p>
    <w:p>
      <w:pPr>
        <w:tabs>
          <w:tab w:val="left" w:pos="1800"/>
          <w:tab w:val="left" w:pos="5580"/>
        </w:tabs>
        <w:jc w:val="left"/>
        <w:rPr>
          <w:rFonts w:ascii="宋体" w:hAnsi="宋体"/>
          <w:sz w:val="24"/>
        </w:rPr>
      </w:pPr>
      <w:r>
        <w:rPr>
          <w:rFonts w:hint="eastAsia" w:ascii="宋体" w:hAnsi="宋体"/>
          <w:color w:val="000000"/>
          <w:sz w:val="24"/>
        </w:rPr>
        <w:t xml:space="preserve">1. </w:t>
      </w:r>
      <w:r>
        <w:rPr>
          <w:rFonts w:hint="eastAsia" w:ascii="宋体" w:hAnsi="宋体"/>
          <w:sz w:val="24"/>
        </w:rPr>
        <w:t>对合同条款中的所有要求，除本表所列明的所有偏离外，均视作供应商已对之理解和响应。</w:t>
      </w:r>
    </w:p>
    <w:p>
      <w:pPr>
        <w:tabs>
          <w:tab w:val="left" w:pos="1800"/>
          <w:tab w:val="left" w:pos="5580"/>
        </w:tabs>
        <w:jc w:val="left"/>
        <w:rPr>
          <w:rFonts w:ascii="宋体" w:hAnsi="宋体"/>
          <w:color w:val="000000"/>
          <w:sz w:val="24"/>
        </w:rPr>
      </w:pPr>
      <w:r>
        <w:rPr>
          <w:rFonts w:hint="eastAsia" w:ascii="宋体" w:hAnsi="宋体"/>
          <w:sz w:val="24"/>
        </w:rPr>
        <w:t>2. “偏离情况”列应</w:t>
      </w:r>
      <w:r>
        <w:rPr>
          <w:rFonts w:hint="eastAsia" w:ascii="宋体" w:hAnsi="宋体"/>
          <w:color w:val="000000"/>
          <w:sz w:val="24"/>
        </w:rPr>
        <w:t>据实</w:t>
      </w:r>
      <w:r>
        <w:rPr>
          <w:rFonts w:hint="eastAsia" w:ascii="宋体" w:hAnsi="宋体"/>
          <w:sz w:val="24"/>
        </w:rPr>
        <w:t>填写“正偏离”或“负偏离”或“无偏离”。</w:t>
      </w:r>
    </w:p>
    <w:p>
      <w:pPr>
        <w:spacing w:line="360" w:lineRule="auto"/>
        <w:rPr>
          <w:rFonts w:ascii="宋体" w:hAnsi="宋体"/>
          <w:color w:val="000000"/>
          <w:sz w:val="24"/>
          <w:szCs w:val="20"/>
        </w:rPr>
      </w:pP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lang w:val="zh-CN"/>
        </w:rPr>
        <w:t xml:space="preserve">                      </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rPr>
        <w:t>投标人名称（加盖公章）</w:t>
      </w:r>
      <w:r>
        <w:rPr>
          <w:rFonts w:hint="eastAsia" w:ascii="宋体" w:hAnsi="宋体"/>
          <w:color w:val="000000"/>
          <w:sz w:val="24"/>
          <w:lang w:val="zh-CN"/>
        </w:rPr>
        <w:t>：____________</w:t>
      </w:r>
    </w:p>
    <w:p>
      <w:pPr>
        <w:autoSpaceDE w:val="0"/>
        <w:autoSpaceDN w:val="0"/>
        <w:adjustRightInd w:val="0"/>
        <w:snapToGrid w:val="0"/>
        <w:spacing w:before="25" w:after="25" w:line="360" w:lineRule="auto"/>
        <w:rPr>
          <w:rFonts w:ascii="宋体" w:hAnsi="宋体"/>
          <w:color w:val="000000"/>
          <w:sz w:val="24"/>
          <w:lang w:val="zh-CN"/>
        </w:rPr>
      </w:pPr>
      <w:r>
        <w:rPr>
          <w:rFonts w:hint="eastAsia" w:ascii="宋体" w:hAnsi="宋体"/>
          <w:color w:val="000000"/>
          <w:sz w:val="24"/>
          <w:szCs w:val="20"/>
        </w:rPr>
        <w:t xml:space="preserve">日期：_____年______月______日   </w:t>
      </w:r>
    </w:p>
    <w:p>
      <w:pPr>
        <w:spacing w:line="360" w:lineRule="auto"/>
        <w:outlineLvl w:val="2"/>
        <w:rPr>
          <w:rFonts w:ascii="宋体" w:hAnsi="宋体"/>
          <w:color w:val="000000"/>
          <w:sz w:val="24"/>
          <w:szCs w:val="20"/>
        </w:rPr>
      </w:pPr>
      <w:r>
        <w:rPr>
          <w:rFonts w:hint="eastAsia" w:ascii="宋体" w:hAnsi="宋体"/>
          <w:color w:val="000000"/>
          <w:sz w:val="24"/>
          <w:szCs w:val="20"/>
        </w:rPr>
        <w:br w:type="page"/>
      </w:r>
      <w:r>
        <w:rPr>
          <w:rFonts w:hint="eastAsia" w:ascii="宋体" w:hAnsi="宋体"/>
          <w:b/>
          <w:bCs/>
          <w:color w:val="000000"/>
          <w:sz w:val="24"/>
          <w:szCs w:val="20"/>
        </w:rPr>
        <w:t xml:space="preserve">6  </w:t>
      </w:r>
      <w:bookmarkEnd w:id="869"/>
      <w:bookmarkEnd w:id="870"/>
      <w:bookmarkEnd w:id="871"/>
      <w:bookmarkEnd w:id="872"/>
      <w:bookmarkEnd w:id="873"/>
      <w:bookmarkEnd w:id="874"/>
      <w:bookmarkEnd w:id="875"/>
      <w:bookmarkEnd w:id="876"/>
      <w:bookmarkEnd w:id="877"/>
      <w:bookmarkEnd w:id="878"/>
      <w:bookmarkEnd w:id="879"/>
      <w:bookmarkEnd w:id="880"/>
      <w:bookmarkEnd w:id="881"/>
      <w:r>
        <w:rPr>
          <w:rFonts w:hint="eastAsia" w:ascii="宋体" w:hAnsi="宋体"/>
          <w:b/>
          <w:bCs/>
          <w:color w:val="000000"/>
          <w:sz w:val="24"/>
          <w:szCs w:val="20"/>
        </w:rPr>
        <w:t>采购需求偏离表（实质性格式）</w:t>
      </w:r>
    </w:p>
    <w:p>
      <w:pPr>
        <w:autoSpaceDE w:val="0"/>
        <w:autoSpaceDN w:val="0"/>
        <w:adjustRightInd w:val="0"/>
        <w:spacing w:line="360" w:lineRule="auto"/>
        <w:jc w:val="center"/>
        <w:rPr>
          <w:rFonts w:ascii="宋体" w:hAnsi="宋体"/>
          <w:b/>
          <w:color w:val="000000"/>
          <w:sz w:val="36"/>
          <w:szCs w:val="36"/>
        </w:rPr>
      </w:pPr>
      <w:r>
        <w:rPr>
          <w:rFonts w:hint="eastAsia" w:ascii="宋体" w:hAnsi="宋体"/>
          <w:b/>
          <w:color w:val="000000"/>
          <w:sz w:val="36"/>
          <w:szCs w:val="36"/>
        </w:rPr>
        <w:t>采购需求偏离表</w:t>
      </w:r>
    </w:p>
    <w:p>
      <w:pPr>
        <w:tabs>
          <w:tab w:val="left" w:pos="1800"/>
          <w:tab w:val="left" w:pos="5580"/>
        </w:tabs>
        <w:spacing w:line="360" w:lineRule="auto"/>
        <w:ind w:firstLine="360" w:firstLineChars="150"/>
        <w:jc w:val="left"/>
        <w:rPr>
          <w:rFonts w:ascii="宋体" w:hAnsi="宋体"/>
          <w:color w:val="000000"/>
          <w:sz w:val="24"/>
          <w:u w:val="single"/>
        </w:rPr>
      </w:pPr>
      <w:r>
        <w:rPr>
          <w:rFonts w:hint="eastAsia" w:ascii="宋体" w:hAnsi="宋体"/>
          <w:color w:val="000000"/>
          <w:sz w:val="24"/>
          <w:lang w:eastAsia="zh-CN"/>
        </w:rPr>
        <w:t>项目编号</w:t>
      </w:r>
      <w:r>
        <w:rPr>
          <w:rFonts w:hint="eastAsia" w:ascii="宋体" w:hAnsi="宋体"/>
          <w:color w:val="000000"/>
          <w:sz w:val="24"/>
        </w:rPr>
        <w:t>/包号：_____________________     项目名称：____________</w:t>
      </w:r>
    </w:p>
    <w:tbl>
      <w:tblPr>
        <w:tblStyle w:val="45"/>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1275"/>
        <w:gridCol w:w="1700"/>
        <w:gridCol w:w="1996"/>
        <w:gridCol w:w="1755"/>
        <w:gridCol w:w="1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序号</w:t>
            </w: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招标文件条目号</w:t>
            </w: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招标文件要求</w:t>
            </w: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投标响应内容</w:t>
            </w: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cs="宋体"/>
                <w:sz w:val="24"/>
              </w:rPr>
            </w:pPr>
            <w:r>
              <w:rPr>
                <w:rFonts w:hint="eastAsia" w:ascii="宋体" w:hAnsi="宋体" w:cs="宋体"/>
                <w:sz w:val="24"/>
              </w:rPr>
              <w:t>偏离情况</w:t>
            </w:r>
          </w:p>
          <w:p>
            <w:pPr>
              <w:pStyle w:val="26"/>
              <w:keepNext w:val="0"/>
              <w:keepLines w:val="0"/>
              <w:suppressLineNumbers w:val="0"/>
              <w:spacing w:before="0" w:beforeAutospacing="0" w:after="0" w:afterAutospacing="0"/>
              <w:ind w:left="0" w:right="0" w:firstLine="0" w:firstLineChars="0"/>
              <w:jc w:val="center"/>
              <w:rPr>
                <w:rFonts w:hint="default"/>
              </w:rPr>
            </w:pPr>
            <w:r>
              <w:rPr>
                <w:rFonts w:hint="eastAsia" w:ascii="宋体" w:hAnsi="宋体" w:eastAsia="宋体" w:cs="宋体"/>
              </w:rPr>
              <w:t>（据实填写）</w:t>
            </w: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r>
              <w:rPr>
                <w:rFonts w:hint="eastAsia" w:ascii="宋体" w:hAnsi="宋体"/>
                <w:sz w:val="24"/>
              </w:rPr>
              <w:t xml:space="preserve"> 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782"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27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0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99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75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c>
          <w:tcPr>
            <w:tcW w:w="15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adjustRightInd w:val="0"/>
              <w:snapToGrid w:val="0"/>
              <w:spacing w:before="0" w:beforeAutospacing="0" w:after="0" w:afterAutospacing="0"/>
              <w:ind w:left="0" w:right="0"/>
              <w:jc w:val="center"/>
              <w:rPr>
                <w:rFonts w:hint="default" w:ascii="宋体" w:hAnsi="宋体"/>
                <w:sz w:val="24"/>
              </w:rPr>
            </w:pPr>
          </w:p>
        </w:tc>
      </w:tr>
    </w:tbl>
    <w:p>
      <w:pPr>
        <w:tabs>
          <w:tab w:val="left" w:pos="1800"/>
          <w:tab w:val="left" w:pos="5580"/>
        </w:tabs>
        <w:spacing w:line="360" w:lineRule="auto"/>
        <w:ind w:firstLine="360" w:firstLineChars="150"/>
        <w:jc w:val="left"/>
        <w:rPr>
          <w:rFonts w:ascii="宋体" w:hAnsi="宋体"/>
          <w:sz w:val="24"/>
        </w:rPr>
      </w:pPr>
    </w:p>
    <w:p>
      <w:pPr>
        <w:tabs>
          <w:tab w:val="left" w:pos="1800"/>
          <w:tab w:val="left" w:pos="5580"/>
        </w:tabs>
        <w:spacing w:line="360" w:lineRule="auto"/>
        <w:jc w:val="left"/>
        <w:rPr>
          <w:rFonts w:ascii="宋体" w:hAnsi="宋体"/>
          <w:sz w:val="24"/>
        </w:rPr>
      </w:pPr>
      <w:r>
        <w:rPr>
          <w:rFonts w:hint="eastAsia" w:ascii="宋体" w:hAnsi="宋体"/>
          <w:sz w:val="24"/>
        </w:rPr>
        <w:t>注：</w:t>
      </w:r>
    </w:p>
    <w:p>
      <w:pPr>
        <w:tabs>
          <w:tab w:val="left" w:pos="1800"/>
          <w:tab w:val="left" w:pos="5580"/>
        </w:tabs>
        <w:spacing w:line="360" w:lineRule="auto"/>
        <w:jc w:val="left"/>
        <w:rPr>
          <w:sz w:val="24"/>
        </w:rPr>
      </w:pPr>
      <w:r>
        <w:rPr>
          <w:rFonts w:hint="eastAsia"/>
          <w:color w:val="000000"/>
          <w:sz w:val="24"/>
        </w:rPr>
        <w:t>1</w:t>
      </w:r>
      <w:r>
        <w:rPr>
          <w:color w:val="000000"/>
          <w:sz w:val="24"/>
        </w:rPr>
        <w:t xml:space="preserve">. </w:t>
      </w:r>
      <w:r>
        <w:rPr>
          <w:sz w:val="24"/>
        </w:rPr>
        <w:t>对</w:t>
      </w:r>
      <w:r>
        <w:rPr>
          <w:rFonts w:hint="eastAsia"/>
          <w:sz w:val="24"/>
        </w:rPr>
        <w:t>招标</w:t>
      </w:r>
      <w:r>
        <w:rPr>
          <w:sz w:val="24"/>
        </w:rPr>
        <w:t>文件中的所有商务、技术要求，除本表所列明的所有偏离外，均视作供应商已对之理解和响应。此表中若无任何文字说明，内容为空白的</w:t>
      </w:r>
      <w:r>
        <w:rPr>
          <w:b/>
          <w:sz w:val="24"/>
        </w:rPr>
        <w:t>响应无效</w:t>
      </w:r>
      <w:r>
        <w:rPr>
          <w:sz w:val="24"/>
        </w:rPr>
        <w:t>。</w:t>
      </w:r>
    </w:p>
    <w:p>
      <w:pPr>
        <w:tabs>
          <w:tab w:val="left" w:pos="1800"/>
          <w:tab w:val="left" w:pos="5580"/>
        </w:tabs>
        <w:spacing w:line="360" w:lineRule="auto"/>
        <w:jc w:val="left"/>
        <w:rPr>
          <w:rFonts w:ascii="宋体" w:hAnsi="宋体"/>
          <w:sz w:val="24"/>
        </w:rPr>
      </w:pPr>
      <w:r>
        <w:rPr>
          <w:sz w:val="24"/>
        </w:rPr>
        <w:t>2.</w:t>
      </w:r>
      <w:r>
        <w:rPr>
          <w:rFonts w:hint="eastAsia"/>
          <w:sz w:val="24"/>
        </w:rPr>
        <w:t>“偏离情况”列应</w:t>
      </w:r>
      <w:r>
        <w:rPr>
          <w:rFonts w:hint="eastAsia"/>
          <w:color w:val="000000"/>
          <w:sz w:val="24"/>
        </w:rPr>
        <w:t>据实</w:t>
      </w:r>
      <w:r>
        <w:rPr>
          <w:rFonts w:hint="eastAsia"/>
          <w:sz w:val="24"/>
        </w:rPr>
        <w:t>填写“正偏离”或“负偏离”或“无偏离”。</w:t>
      </w:r>
    </w:p>
    <w:p>
      <w:pPr>
        <w:tabs>
          <w:tab w:val="left" w:pos="1800"/>
          <w:tab w:val="left" w:pos="5580"/>
        </w:tabs>
        <w:jc w:val="left"/>
        <w:rPr>
          <w:rFonts w:ascii="宋体" w:hAnsi="宋体"/>
          <w:sz w:val="24"/>
        </w:rPr>
      </w:pPr>
    </w:p>
    <w:p>
      <w:pPr>
        <w:autoSpaceDE w:val="0"/>
        <w:autoSpaceDN w:val="0"/>
        <w:adjustRightInd w:val="0"/>
        <w:snapToGrid w:val="0"/>
        <w:spacing w:before="25" w:after="25" w:line="360" w:lineRule="auto"/>
        <w:rPr>
          <w:rFonts w:ascii="宋体" w:hAnsi="宋体"/>
          <w:sz w:val="24"/>
        </w:rPr>
      </w:pPr>
      <w:r>
        <w:rPr>
          <w:rFonts w:hint="eastAsia" w:ascii="宋体" w:hAnsi="宋体"/>
          <w:sz w:val="24"/>
        </w:rPr>
        <w:t>投标人名称（加盖公章）：____________</w:t>
      </w:r>
    </w:p>
    <w:p>
      <w:pPr>
        <w:autoSpaceDE w:val="0"/>
        <w:autoSpaceDN w:val="0"/>
        <w:adjustRightInd w:val="0"/>
        <w:snapToGrid w:val="0"/>
        <w:spacing w:before="25" w:after="25" w:line="360" w:lineRule="auto"/>
        <w:rPr>
          <w:rFonts w:ascii="宋体" w:hAnsi="宋体"/>
          <w:sz w:val="24"/>
        </w:rPr>
      </w:pPr>
      <w:r>
        <w:rPr>
          <w:rFonts w:hint="eastAsia" w:ascii="宋体" w:hAnsi="宋体"/>
          <w:sz w:val="24"/>
        </w:rPr>
        <w:t xml:space="preserve">日期：_____年______月______日   </w:t>
      </w:r>
    </w:p>
    <w:p>
      <w:pPr>
        <w:pStyle w:val="26"/>
        <w:rPr>
          <w:rFonts w:ascii="宋体" w:hAnsi="宋体"/>
        </w:rPr>
      </w:pPr>
    </w:p>
    <w:p>
      <w:pPr>
        <w:pStyle w:val="26"/>
        <w:rPr>
          <w:rFonts w:ascii="宋体" w:hAnsi="宋体"/>
        </w:rPr>
      </w:pPr>
    </w:p>
    <w:p>
      <w:pPr>
        <w:pStyle w:val="26"/>
        <w:ind w:firstLine="0" w:firstLineChars="0"/>
        <w:rPr>
          <w:rFonts w:ascii="宋体" w:hAnsi="宋体"/>
        </w:rPr>
      </w:pPr>
    </w:p>
    <w:p>
      <w:pPr>
        <w:spacing w:line="360" w:lineRule="auto"/>
        <w:jc w:val="center"/>
        <w:outlineLvl w:val="2"/>
        <w:rPr>
          <w:rFonts w:ascii="宋体" w:hAnsi="宋体"/>
          <w:color w:val="000000"/>
          <w:sz w:val="24"/>
          <w:szCs w:val="20"/>
        </w:rPr>
      </w:pPr>
      <w:r>
        <w:rPr>
          <w:rFonts w:hint="eastAsia" w:ascii="宋体" w:hAnsi="宋体"/>
          <w:b/>
          <w:bCs/>
          <w:color w:val="000000"/>
          <w:sz w:val="24"/>
          <w:szCs w:val="20"/>
        </w:rPr>
        <w:t>7  中小企业声明函</w:t>
      </w:r>
    </w:p>
    <w:p>
      <w:pPr>
        <w:tabs>
          <w:tab w:val="left" w:pos="5580"/>
        </w:tabs>
        <w:spacing w:line="360" w:lineRule="auto"/>
        <w:rPr>
          <w:rFonts w:ascii="宋体" w:hAnsi="宋体"/>
          <w:sz w:val="24"/>
        </w:rPr>
      </w:pPr>
      <w:r>
        <w:rPr>
          <w:rFonts w:hint="eastAsia" w:ascii="宋体" w:hAnsi="宋体"/>
          <w:sz w:val="24"/>
        </w:rPr>
        <w:t>说明：</w:t>
      </w:r>
    </w:p>
    <w:p>
      <w:pPr>
        <w:tabs>
          <w:tab w:val="left" w:pos="5580"/>
        </w:tabs>
        <w:spacing w:line="360" w:lineRule="auto"/>
        <w:rPr>
          <w:rFonts w:ascii="宋体" w:hAnsi="宋体"/>
          <w:sz w:val="24"/>
        </w:rPr>
      </w:pPr>
      <w:r>
        <w:rPr>
          <w:rFonts w:hint="eastAsia" w:ascii="宋体" w:hAnsi="宋体"/>
          <w:sz w:val="24"/>
        </w:rPr>
        <w:t>1）中小企业参加政府采购活动，应当出具此格式文件。《中小企业声明函》由参加政府采购活动的投标人出具。联合体投标的，《中小企业声明函》由牵头人出具。</w:t>
      </w:r>
    </w:p>
    <w:p>
      <w:pPr>
        <w:tabs>
          <w:tab w:val="left" w:pos="5580"/>
        </w:tabs>
        <w:spacing w:line="360" w:lineRule="auto"/>
        <w:rPr>
          <w:rFonts w:ascii="宋体" w:hAnsi="宋体"/>
          <w:sz w:val="24"/>
        </w:rPr>
      </w:pPr>
      <w:r>
        <w:rPr>
          <w:rFonts w:hint="eastAsia" w:ascii="宋体" w:hAnsi="宋体"/>
          <w:sz w:val="24"/>
        </w:rPr>
        <w:t>2）对于联合体中由中小企业承担的部分，或者分包给中小企业的部分，必须全部由中小企业制造、承建或者承接。供应商应当在声明函“项目名称”部分标明联合体中中小企业承担的具体内容或者中小企业的具体分包内容。</w:t>
      </w:r>
    </w:p>
    <w:p>
      <w:pPr>
        <w:tabs>
          <w:tab w:val="left" w:pos="5580"/>
        </w:tabs>
        <w:spacing w:line="360" w:lineRule="auto"/>
        <w:rPr>
          <w:rFonts w:ascii="宋体" w:hAnsi="宋体"/>
          <w:sz w:val="24"/>
        </w:rPr>
      </w:pPr>
      <w:r>
        <w:rPr>
          <w:rFonts w:hint="eastAsia" w:ascii="宋体" w:hAnsi="宋体"/>
          <w:sz w:val="24"/>
        </w:rPr>
        <w:t>3）对于多标的的采购项目，投标人应充分、准确地了解所投产品制造企业信息。对相关情况了解不清楚的，不建议填报本声明函。</w:t>
      </w:r>
    </w:p>
    <w:p>
      <w:pPr>
        <w:tabs>
          <w:tab w:val="left" w:pos="5580"/>
        </w:tabs>
        <w:spacing w:line="360" w:lineRule="auto"/>
        <w:rPr>
          <w:rFonts w:ascii="宋体" w:hAnsi="宋体"/>
          <w:sz w:val="24"/>
        </w:rPr>
      </w:pPr>
      <w:r>
        <w:rPr>
          <w:rFonts w:hint="eastAsia" w:ascii="宋体" w:hAnsi="宋体"/>
          <w:sz w:val="24"/>
        </w:rPr>
        <w:t>4）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w:t>
      </w:r>
    </w:p>
    <w:p>
      <w:pPr>
        <w:widowControl/>
        <w:jc w:val="left"/>
        <w:rPr>
          <w:rFonts w:ascii="宋体" w:hAnsi="宋体"/>
          <w:b/>
          <w:bCs/>
          <w:color w:val="000000"/>
          <w:sz w:val="24"/>
        </w:rPr>
      </w:pPr>
      <w:r>
        <w:rPr>
          <w:rFonts w:hint="eastAsia" w:ascii="宋体" w:hAnsi="宋体"/>
          <w:b/>
          <w:bCs/>
          <w:color w:val="000000"/>
          <w:sz w:val="24"/>
        </w:rPr>
        <w:br w:type="page"/>
      </w:r>
    </w:p>
    <w:p>
      <w:pPr>
        <w:spacing w:before="240" w:beforeLines="100" w:after="240" w:afterLines="100" w:line="360" w:lineRule="auto"/>
        <w:jc w:val="center"/>
        <w:rPr>
          <w:rFonts w:ascii="宋体" w:hAnsi="宋体"/>
          <w:b/>
          <w:color w:val="000000"/>
          <w:sz w:val="36"/>
          <w:szCs w:val="36"/>
        </w:rPr>
      </w:pPr>
      <w:r>
        <w:rPr>
          <w:rFonts w:hint="eastAsia" w:ascii="宋体" w:hAnsi="宋体"/>
          <w:b/>
          <w:bCs/>
          <w:color w:val="000000"/>
          <w:sz w:val="36"/>
          <w:szCs w:val="36"/>
        </w:rPr>
        <w:t>中小企业声明函（服务）</w:t>
      </w:r>
    </w:p>
    <w:p>
      <w:pPr>
        <w:spacing w:line="360" w:lineRule="auto"/>
        <w:ind w:firstLine="504"/>
        <w:rPr>
          <w:spacing w:val="6"/>
          <w:sz w:val="24"/>
        </w:rPr>
      </w:pPr>
      <w:r>
        <w:rPr>
          <w:spacing w:val="6"/>
          <w:sz w:val="24"/>
        </w:rPr>
        <w:t>本公司（联合体）郑重声明，根据《政府采购促进中小企业发展管理办法》（财库﹝2020﹞46 号）的规定，本公司</w:t>
      </w:r>
      <w:r>
        <w:rPr>
          <w:rFonts w:hint="eastAsia"/>
          <w:spacing w:val="6"/>
          <w:sz w:val="24"/>
          <w:u w:val="single"/>
        </w:rPr>
        <w:t xml:space="preserve">     </w:t>
      </w:r>
      <w:r>
        <w:rPr>
          <w:spacing w:val="6"/>
          <w:sz w:val="24"/>
        </w:rPr>
        <w:t>参加</w:t>
      </w:r>
      <w:r>
        <w:rPr>
          <w:rFonts w:hint="eastAsia"/>
          <w:spacing w:val="6"/>
          <w:sz w:val="24"/>
          <w:u w:val="single"/>
        </w:rPr>
        <w:t xml:space="preserve">     </w:t>
      </w:r>
      <w:r>
        <w:rPr>
          <w:spacing w:val="6"/>
          <w:sz w:val="24"/>
        </w:rPr>
        <w:t>（单位名称）的</w:t>
      </w:r>
      <w:r>
        <w:rPr>
          <w:rFonts w:hint="eastAsia"/>
          <w:spacing w:val="6"/>
          <w:sz w:val="24"/>
          <w:u w:val="single"/>
        </w:rPr>
        <w:t xml:space="preserve">     </w:t>
      </w:r>
      <w:r>
        <w:rPr>
          <w:spacing w:val="6"/>
          <w:sz w:val="24"/>
        </w:rPr>
        <w:t>（项目名称）采购活动，服务全部由符合政策要求的中小企业承接。相关企业（含联合体中的中小企业、签订分包意向协议的中小企业）的具体情况如下：</w:t>
      </w:r>
    </w:p>
    <w:p>
      <w:pPr>
        <w:spacing w:line="360" w:lineRule="auto"/>
        <w:ind w:firstLine="504"/>
        <w:rPr>
          <w:spacing w:val="6"/>
          <w:sz w:val="24"/>
        </w:rPr>
      </w:pPr>
      <w:r>
        <w:rPr>
          <w:spacing w:val="6"/>
          <w:sz w:val="24"/>
        </w:rPr>
        <w:t>1.</w:t>
      </w:r>
      <w:r>
        <w:rPr>
          <w:spacing w:val="6"/>
          <w:sz w:val="24"/>
          <w:u w:val="single"/>
        </w:rPr>
        <w:t xml:space="preserve"> （标的名称）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w:t>
      </w:r>
      <w:r>
        <w:rPr>
          <w:spacing w:val="6"/>
          <w:sz w:val="24"/>
          <w:vertAlign w:val="superscript"/>
        </w:rPr>
        <w:t>1</w:t>
      </w:r>
      <w:r>
        <w:rPr>
          <w:spacing w:val="6"/>
          <w:sz w:val="24"/>
        </w:rPr>
        <w:t>，属于（中型企业、小型企业、微型企业）；</w:t>
      </w:r>
    </w:p>
    <w:p>
      <w:pPr>
        <w:spacing w:line="360" w:lineRule="auto"/>
        <w:ind w:firstLine="504"/>
        <w:rPr>
          <w:spacing w:val="6"/>
          <w:sz w:val="24"/>
        </w:rPr>
      </w:pPr>
      <w:r>
        <w:rPr>
          <w:spacing w:val="6"/>
          <w:sz w:val="24"/>
        </w:rPr>
        <w:t xml:space="preserve">2. </w:t>
      </w:r>
      <w:r>
        <w:rPr>
          <w:spacing w:val="6"/>
          <w:sz w:val="24"/>
          <w:u w:val="single"/>
        </w:rPr>
        <w:t xml:space="preserve">（标的名称） </w:t>
      </w:r>
      <w:r>
        <w:rPr>
          <w:spacing w:val="6"/>
          <w:sz w:val="24"/>
        </w:rPr>
        <w:t>，属于</w:t>
      </w:r>
      <w:r>
        <w:rPr>
          <w:spacing w:val="6"/>
          <w:sz w:val="24"/>
          <w:u w:val="single"/>
        </w:rPr>
        <w:t>（</w:t>
      </w:r>
      <w:r>
        <w:rPr>
          <w:rFonts w:hint="eastAsia"/>
          <w:spacing w:val="6"/>
          <w:sz w:val="24"/>
          <w:u w:val="single"/>
        </w:rPr>
        <w:t>招标</w:t>
      </w:r>
      <w:r>
        <w:rPr>
          <w:spacing w:val="6"/>
          <w:sz w:val="24"/>
          <w:u w:val="single"/>
        </w:rPr>
        <w:t>文件中明确的所属行业）</w:t>
      </w:r>
      <w:r>
        <w:rPr>
          <w:spacing w:val="6"/>
          <w:sz w:val="24"/>
        </w:rPr>
        <w:t>行业；</w:t>
      </w:r>
      <w:r>
        <w:rPr>
          <w:rFonts w:hint="eastAsia"/>
          <w:spacing w:val="6"/>
          <w:sz w:val="24"/>
        </w:rPr>
        <w:t>承接</w:t>
      </w:r>
      <w:r>
        <w:rPr>
          <w:spacing w:val="6"/>
          <w:sz w:val="24"/>
        </w:rPr>
        <w:t>企业为</w:t>
      </w:r>
      <w:r>
        <w:rPr>
          <w:spacing w:val="6"/>
          <w:sz w:val="24"/>
          <w:u w:val="single"/>
        </w:rPr>
        <w:t>（企业名称）</w:t>
      </w:r>
      <w:r>
        <w:rPr>
          <w:spacing w:val="6"/>
          <w:sz w:val="24"/>
        </w:rPr>
        <w:t>，从业人员</w:t>
      </w:r>
      <w:r>
        <w:rPr>
          <w:sz w:val="24"/>
        </w:rPr>
        <w:t>______</w:t>
      </w:r>
      <w:r>
        <w:rPr>
          <w:spacing w:val="6"/>
          <w:sz w:val="24"/>
        </w:rPr>
        <w:t>人，营业收入为</w:t>
      </w:r>
      <w:r>
        <w:rPr>
          <w:sz w:val="24"/>
        </w:rPr>
        <w:t>______</w:t>
      </w:r>
      <w:r>
        <w:rPr>
          <w:spacing w:val="6"/>
          <w:sz w:val="24"/>
        </w:rPr>
        <w:t>万元，资产总额为</w:t>
      </w:r>
      <w:r>
        <w:rPr>
          <w:sz w:val="24"/>
        </w:rPr>
        <w:t>______</w:t>
      </w:r>
      <w:r>
        <w:rPr>
          <w:spacing w:val="6"/>
          <w:sz w:val="24"/>
        </w:rPr>
        <w:t>万元，属于</w:t>
      </w:r>
      <w:r>
        <w:rPr>
          <w:spacing w:val="6"/>
          <w:sz w:val="24"/>
          <w:u w:val="single"/>
        </w:rPr>
        <w:t>（中型企业、小型企业、微型企业）</w:t>
      </w:r>
      <w:r>
        <w:rPr>
          <w:spacing w:val="6"/>
          <w:sz w:val="24"/>
        </w:rPr>
        <w:t>；</w:t>
      </w:r>
    </w:p>
    <w:p>
      <w:pPr>
        <w:spacing w:line="360" w:lineRule="auto"/>
        <w:ind w:firstLine="504"/>
        <w:rPr>
          <w:spacing w:val="6"/>
          <w:sz w:val="24"/>
        </w:rPr>
      </w:pPr>
    </w:p>
    <w:p>
      <w:pPr>
        <w:spacing w:line="360" w:lineRule="auto"/>
        <w:ind w:firstLine="504"/>
        <w:rPr>
          <w:spacing w:val="6"/>
          <w:sz w:val="24"/>
        </w:rPr>
      </w:pPr>
      <w:r>
        <w:rPr>
          <w:spacing w:val="6"/>
          <w:sz w:val="24"/>
        </w:rPr>
        <w:t>……</w:t>
      </w:r>
    </w:p>
    <w:p>
      <w:pPr>
        <w:spacing w:line="360" w:lineRule="auto"/>
        <w:ind w:firstLine="504"/>
        <w:rPr>
          <w:spacing w:val="6"/>
          <w:sz w:val="24"/>
        </w:rPr>
      </w:pPr>
      <w:r>
        <w:rPr>
          <w:spacing w:val="6"/>
          <w:sz w:val="24"/>
        </w:rPr>
        <w:t>以上企业，不属于大企业的分支机构，不存在控股股东为大企业的情形，也不存在与大企业的负责人为同一人的情形。</w:t>
      </w:r>
    </w:p>
    <w:p>
      <w:pPr>
        <w:spacing w:line="360" w:lineRule="auto"/>
        <w:ind w:firstLine="504"/>
        <w:rPr>
          <w:spacing w:val="6"/>
          <w:sz w:val="24"/>
        </w:rPr>
      </w:pPr>
      <w:r>
        <w:rPr>
          <w:spacing w:val="6"/>
          <w:sz w:val="24"/>
        </w:rPr>
        <w:t>本企业对上述声明内容的真实性负责。如有虚假，将依法承担相应责任。</w:t>
      </w:r>
    </w:p>
    <w:p>
      <w:pPr>
        <w:spacing w:line="360" w:lineRule="auto"/>
        <w:ind w:right="360" w:firstLine="480"/>
        <w:jc w:val="right"/>
        <w:rPr>
          <w:color w:val="000000"/>
          <w:sz w:val="24"/>
        </w:rPr>
      </w:pPr>
    </w:p>
    <w:p>
      <w:pPr>
        <w:spacing w:line="360" w:lineRule="auto"/>
        <w:ind w:right="360" w:firstLine="480"/>
        <w:jc w:val="right"/>
        <w:rPr>
          <w:color w:val="000000"/>
          <w:sz w:val="24"/>
        </w:rPr>
      </w:pPr>
      <w:r>
        <w:rPr>
          <w:color w:val="000000"/>
          <w:sz w:val="24"/>
        </w:rPr>
        <w:t>企业名称（盖章）：</w:t>
      </w:r>
      <w:r>
        <w:rPr>
          <w:sz w:val="24"/>
        </w:rPr>
        <w:t>______</w:t>
      </w:r>
    </w:p>
    <w:p>
      <w:pPr>
        <w:spacing w:line="360" w:lineRule="auto"/>
        <w:ind w:right="360" w:firstLine="480"/>
        <w:jc w:val="right"/>
        <w:rPr>
          <w:rFonts w:ascii="宋体" w:hAnsi="宋体"/>
          <w:color w:val="000000"/>
          <w:sz w:val="24"/>
        </w:rPr>
      </w:pPr>
      <w:r>
        <w:rPr>
          <w:color w:val="000000"/>
          <w:sz w:val="24"/>
        </w:rPr>
        <w:t>日 期：</w:t>
      </w:r>
      <w:r>
        <w:rPr>
          <w:sz w:val="24"/>
        </w:rPr>
        <w:t>______</w:t>
      </w:r>
    </w:p>
    <w:p>
      <w:pPr>
        <w:spacing w:line="360" w:lineRule="auto"/>
        <w:ind w:right="360" w:firstLine="480"/>
        <w:jc w:val="right"/>
        <w:rPr>
          <w:rFonts w:ascii="宋体" w:hAnsi="宋体"/>
          <w:color w:val="000000"/>
          <w:sz w:val="24"/>
        </w:rPr>
      </w:pPr>
    </w:p>
    <w:p>
      <w:pPr>
        <w:spacing w:line="360" w:lineRule="auto"/>
        <w:ind w:right="360" w:firstLine="480"/>
        <w:jc w:val="right"/>
        <w:rPr>
          <w:rFonts w:ascii="宋体" w:hAnsi="宋体"/>
          <w:color w:val="000000"/>
          <w:sz w:val="24"/>
        </w:rPr>
      </w:pPr>
    </w:p>
    <w:tbl>
      <w:tblPr>
        <w:tblStyle w:val="45"/>
        <w:tblW w:w="8946" w:type="dxa"/>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46"/>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946" w:type="dxa"/>
            <w:tcBorders>
              <w:top w:val="single" w:color="auto" w:sz="4" w:space="0"/>
              <w:left w:val="nil"/>
              <w:bottom w:val="nil"/>
              <w:right w:val="nil"/>
            </w:tcBorders>
          </w:tcPr>
          <w:p>
            <w:pPr>
              <w:keepNext w:val="0"/>
              <w:keepLines w:val="0"/>
              <w:suppressLineNumbers w:val="0"/>
              <w:adjustRightInd w:val="0"/>
              <w:snapToGrid w:val="0"/>
              <w:spacing w:before="0" w:beforeAutospacing="0" w:after="0" w:afterAutospacing="0"/>
              <w:ind w:left="0" w:right="0"/>
              <w:jc w:val="left"/>
              <w:rPr>
                <w:rFonts w:hint="default" w:ascii="宋体" w:hAnsi="宋体"/>
                <w:color w:val="000000"/>
                <w:szCs w:val="21"/>
              </w:rPr>
            </w:pPr>
            <w:r>
              <w:rPr>
                <w:rFonts w:hint="eastAsia" w:ascii="宋体" w:hAnsi="宋体"/>
                <w:color w:val="000000"/>
                <w:szCs w:val="21"/>
                <w:vertAlign w:val="superscript"/>
              </w:rPr>
              <w:t>1</w:t>
            </w:r>
            <w:r>
              <w:rPr>
                <w:rFonts w:hint="eastAsia" w:ascii="宋体" w:hAnsi="宋体"/>
                <w:color w:val="000000"/>
                <w:szCs w:val="21"/>
              </w:rPr>
              <w:t>从业人员、营业收入、资产总额填报上一年度数据，无上一年度数据的新成立企业可不填报。</w:t>
            </w:r>
          </w:p>
        </w:tc>
      </w:tr>
    </w:tbl>
    <w:p>
      <w:pPr>
        <w:autoSpaceDE w:val="0"/>
        <w:autoSpaceDN w:val="0"/>
        <w:adjustRightInd w:val="0"/>
        <w:ind w:firstLine="420"/>
        <w:jc w:val="left"/>
        <w:rPr>
          <w:rFonts w:ascii="宋体" w:hAnsi="宋体"/>
          <w:sz w:val="24"/>
        </w:rPr>
      </w:pPr>
    </w:p>
    <w:p>
      <w:pPr>
        <w:spacing w:line="360" w:lineRule="auto"/>
        <w:rPr>
          <w:rFonts w:ascii="宋体" w:hAnsi="宋体"/>
          <w:color w:val="000000"/>
          <w:sz w:val="24"/>
        </w:rPr>
      </w:pPr>
    </w:p>
    <w:p>
      <w:pPr>
        <w:rPr>
          <w:rFonts w:ascii="宋体" w:hAnsi="宋体"/>
        </w:rPr>
      </w:pPr>
      <w:r>
        <w:rPr>
          <w:rFonts w:hint="eastAsia" w:ascii="宋体" w:hAnsi="宋体"/>
        </w:rPr>
        <w:br w:type="page"/>
      </w:r>
    </w:p>
    <w:p>
      <w:pPr>
        <w:spacing w:before="240" w:beforeLines="100" w:after="240" w:afterLines="100" w:line="360" w:lineRule="auto"/>
        <w:jc w:val="center"/>
        <w:rPr>
          <w:rFonts w:ascii="宋体" w:hAnsi="宋体"/>
          <w:color w:val="000000"/>
          <w:sz w:val="36"/>
          <w:szCs w:val="36"/>
        </w:rPr>
      </w:pPr>
      <w:r>
        <w:rPr>
          <w:rFonts w:hint="eastAsia" w:ascii="宋体" w:hAnsi="宋体"/>
          <w:b/>
          <w:bCs/>
          <w:color w:val="000000"/>
          <w:sz w:val="36"/>
          <w:szCs w:val="36"/>
        </w:rPr>
        <w:t>残疾人福利性单位声明函格式</w:t>
      </w:r>
      <w:r>
        <w:rPr>
          <w:rFonts w:hint="eastAsia" w:ascii="宋体" w:hAnsi="宋体"/>
          <w:color w:val="000000"/>
          <w:sz w:val="36"/>
          <w:szCs w:val="36"/>
        </w:rPr>
        <w:t xml:space="preserve"> </w:t>
      </w:r>
    </w:p>
    <w:p>
      <w:pPr>
        <w:spacing w:line="588" w:lineRule="exact"/>
        <w:ind w:firstLine="504"/>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〔2017〕141</w:t>
      </w:r>
      <w:r>
        <w:rPr>
          <w:rFonts w:hint="eastAsia" w:ascii="宋体" w:hAnsi="宋体"/>
          <w:spacing w:val="6"/>
          <w:sz w:val="24"/>
        </w:rPr>
        <w:t>号）的规定，本单位</w:t>
      </w:r>
      <w:r>
        <w:rPr>
          <w:rFonts w:hint="eastAsia" w:ascii="宋体" w:hAnsi="宋体"/>
          <w:b/>
          <w:sz w:val="24"/>
        </w:rPr>
        <w:t>（请进行勾选）</w:t>
      </w:r>
      <w:r>
        <w:rPr>
          <w:rFonts w:hint="eastAsia" w:ascii="宋体" w:hAnsi="宋体"/>
          <w:spacing w:val="6"/>
          <w:sz w:val="24"/>
        </w:rPr>
        <w:t>：</w:t>
      </w:r>
    </w:p>
    <w:p>
      <w:pPr>
        <w:spacing w:line="588" w:lineRule="exact"/>
        <w:ind w:firstLine="482"/>
        <w:rPr>
          <w:rFonts w:ascii="宋体" w:hAnsi="宋体"/>
          <w:b/>
          <w:spacing w:val="6"/>
          <w:sz w:val="24"/>
        </w:rPr>
      </w:pPr>
      <w:r>
        <w:rPr>
          <w:rFonts w:hint="eastAsia" w:ascii="宋体" w:hAnsi="宋体"/>
          <w:b/>
          <w:sz w:val="24"/>
        </w:rPr>
        <w:t>□</w:t>
      </w:r>
      <w:r>
        <w:rPr>
          <w:rFonts w:hint="eastAsia" w:ascii="宋体" w:hAnsi="宋体"/>
          <w:b/>
          <w:spacing w:val="6"/>
          <w:sz w:val="24"/>
        </w:rPr>
        <w:t>不属于符合条件的残疾人福利性单位。</w:t>
      </w:r>
    </w:p>
    <w:p>
      <w:pPr>
        <w:spacing w:line="588" w:lineRule="exact"/>
        <w:ind w:firstLine="482"/>
        <w:rPr>
          <w:rFonts w:ascii="宋体" w:hAnsi="宋体"/>
          <w:spacing w:val="6"/>
          <w:sz w:val="24"/>
        </w:rPr>
      </w:pPr>
      <w:r>
        <w:rPr>
          <w:rFonts w:hint="eastAsia" w:ascii="宋体" w:hAnsi="宋体"/>
          <w:b/>
          <w:sz w:val="24"/>
        </w:rPr>
        <w:t>□</w:t>
      </w:r>
      <w:r>
        <w:rPr>
          <w:rFonts w:hint="eastAsia" w:ascii="宋体" w:hAnsi="宋体"/>
          <w:b/>
          <w:spacing w:val="6"/>
          <w:sz w:val="24"/>
        </w:rPr>
        <w:t>属于符合条件的残疾人福利性单位，</w:t>
      </w:r>
      <w:r>
        <w:rPr>
          <w:rFonts w:hint="eastAsia"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6" w:firstLineChars="200"/>
        <w:rPr>
          <w:rFonts w:ascii="宋体" w:hAnsi="宋体"/>
          <w:spacing w:val="6"/>
          <w:sz w:val="24"/>
        </w:rPr>
      </w:pPr>
      <w:r>
        <w:rPr>
          <w:rFonts w:hint="eastAsia" w:ascii="宋体" w:hAnsi="宋体"/>
          <w:b/>
          <w:spacing w:val="6"/>
          <w:sz w:val="24"/>
        </w:rPr>
        <w:t>本单位对上述声明的真实性负责。如有虚假，将依法承担相应责任。</w:t>
      </w:r>
    </w:p>
    <w:p>
      <w:pPr>
        <w:spacing w:line="588" w:lineRule="exact"/>
        <w:ind w:firstLine="504" w:firstLineChars="200"/>
        <w:rPr>
          <w:rFonts w:ascii="宋体" w:hAnsi="宋体"/>
          <w:spacing w:val="6"/>
          <w:sz w:val="24"/>
        </w:rPr>
      </w:pPr>
    </w:p>
    <w:p>
      <w:pPr>
        <w:spacing w:line="588" w:lineRule="exact"/>
        <w:ind w:firstLine="504" w:firstLineChars="200"/>
        <w:rPr>
          <w:rFonts w:ascii="宋体" w:hAnsi="宋体"/>
          <w:spacing w:val="6"/>
          <w:sz w:val="24"/>
        </w:rPr>
      </w:pP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单位名称（盖章）：</w:t>
      </w:r>
    </w:p>
    <w:p>
      <w:pPr>
        <w:tabs>
          <w:tab w:val="left" w:pos="4860"/>
        </w:tabs>
        <w:spacing w:line="588" w:lineRule="exact"/>
        <w:ind w:right="1560" w:firstLine="504" w:firstLineChars="200"/>
        <w:jc w:val="center"/>
        <w:rPr>
          <w:rFonts w:ascii="宋体" w:hAnsi="宋体"/>
          <w:spacing w:val="6"/>
          <w:sz w:val="24"/>
        </w:rPr>
      </w:pPr>
      <w:r>
        <w:rPr>
          <w:rFonts w:hint="eastAsia" w:ascii="宋体" w:hAnsi="宋体"/>
          <w:spacing w:val="6"/>
          <w:sz w:val="24"/>
        </w:rPr>
        <w:t xml:space="preserve">       日  期：</w:t>
      </w:r>
    </w:p>
    <w:p>
      <w:pPr>
        <w:adjustRightInd w:val="0"/>
        <w:snapToGrid w:val="0"/>
        <w:spacing w:line="360" w:lineRule="auto"/>
        <w:ind w:firstLine="420" w:firstLineChars="200"/>
        <w:jc w:val="right"/>
        <w:rPr>
          <w:rFonts w:ascii="宋体" w:hAnsi="宋体"/>
          <w:sz w:val="24"/>
        </w:rPr>
      </w:pPr>
      <w:r>
        <w:rPr>
          <w:rFonts w:hint="eastAsia" w:ascii="宋体" w:hAnsi="宋体"/>
          <w:color w:val="000000"/>
          <w:szCs w:val="20"/>
        </w:rPr>
        <w:br w:type="page"/>
      </w:r>
    </w:p>
    <w:p>
      <w:pPr>
        <w:spacing w:line="360" w:lineRule="auto"/>
        <w:ind w:firstLine="1446" w:firstLineChars="600"/>
        <w:jc w:val="left"/>
        <w:outlineLvl w:val="2"/>
        <w:rPr>
          <w:rFonts w:ascii="宋体" w:hAnsi="宋体"/>
          <w:b/>
          <w:color w:val="000000"/>
          <w:sz w:val="24"/>
          <w:szCs w:val="20"/>
        </w:rPr>
      </w:pPr>
      <w:r>
        <w:rPr>
          <w:rFonts w:hint="eastAsia" w:ascii="宋体" w:hAnsi="宋体"/>
          <w:b/>
          <w:color w:val="000000"/>
          <w:sz w:val="24"/>
          <w:szCs w:val="20"/>
        </w:rPr>
        <w:t>8 招标文件要求提供或投标人认为应附的其他材料</w:t>
      </w:r>
    </w:p>
    <w:p>
      <w:pPr>
        <w:widowControl/>
        <w:jc w:val="left"/>
        <w:rPr>
          <w:rFonts w:ascii="宋体" w:hAnsi="宋体"/>
          <w:b/>
          <w:sz w:val="36"/>
          <w:szCs w:val="36"/>
        </w:rPr>
      </w:pPr>
    </w:p>
    <w:p>
      <w:pPr>
        <w:widowControl/>
        <w:jc w:val="left"/>
        <w:rPr>
          <w:rFonts w:ascii="宋体" w:hAnsi="宋体"/>
          <w:b/>
          <w:sz w:val="36"/>
          <w:szCs w:val="36"/>
        </w:rPr>
      </w:pPr>
    </w:p>
    <w:p>
      <w:pPr>
        <w:spacing w:before="240" w:beforeLines="100" w:after="240" w:afterLines="100"/>
        <w:jc w:val="center"/>
        <w:rPr>
          <w:rFonts w:ascii="Arial" w:hAnsi="Arial" w:cs="Arial"/>
          <w:b/>
          <w:bCs/>
          <w:color w:val="000000"/>
          <w:sz w:val="28"/>
          <w:szCs w:val="28"/>
        </w:rPr>
      </w:pPr>
    </w:p>
    <w:p>
      <w:pPr>
        <w:pStyle w:val="26"/>
        <w:ind w:firstLine="562"/>
        <w:rPr>
          <w:rFonts w:ascii="Arial" w:hAnsi="Arial" w:cs="Arial"/>
          <w:b/>
          <w:bCs/>
          <w:color w:val="000000"/>
          <w:sz w:val="28"/>
          <w:szCs w:val="28"/>
        </w:rPr>
      </w:pPr>
    </w:p>
    <w:sectPr>
      <w:headerReference r:id="rId11" w:type="first"/>
      <w:footerReference r:id="rId13" w:type="first"/>
      <w:headerReference r:id="rId10" w:type="even"/>
      <w:footerReference r:id="rId12" w:type="even"/>
      <w:pgSz w:w="11907" w:h="16840"/>
      <w:pgMar w:top="1418" w:right="1134" w:bottom="1418" w:left="1701" w:header="851" w:footer="851" w:gutter="0"/>
      <w:pgNumType w:fmt="decimal"/>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ˎ̥">
    <w:altName w:val="Arial Unicode MS"/>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auto"/>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Calibri Light">
    <w:panose1 w:val="020F0302020204030204"/>
    <w:charset w:val="00"/>
    <w:family w:val="swiss"/>
    <w:pitch w:val="default"/>
    <w:sig w:usb0="A00002EF" w:usb1="4000207B" w:usb2="00000000" w:usb3="00000000" w:csb0="2000019F" w:csb1="00000000"/>
  </w:font>
  <w:font w:name="Microsoft YaHei UI">
    <w:altName w:val="微软雅黑"/>
    <w:panose1 w:val="00000000000000000000"/>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p>
  <w:p>
    <w:pPr>
      <w:pStyle w:val="2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rPr>
        <w:rStyle w:val="50"/>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pPr>
                      <w:pStyle w:val="28"/>
                    </w:pPr>
                    <w:r>
                      <w:fldChar w:fldCharType="begin"/>
                    </w:r>
                    <w:r>
                      <w:instrText xml:space="preserve"> PAGE  \* MERGEFORMAT </w:instrText>
                    </w:r>
                    <w:r>
                      <w:fldChar w:fldCharType="separate"/>
                    </w:r>
                    <w:r>
                      <w:t>1</w:t>
                    </w:r>
                    <w:r>
                      <w:fldChar w:fldCharType="end"/>
                    </w:r>
                  </w:p>
                </w:txbxContent>
              </v:textbox>
            </v:shape>
          </w:pict>
        </mc:Fallback>
      </mc:AlternateContent>
    </w:r>
  </w:p>
  <w:p>
    <w:pPr>
      <w:pStyle w:val="28"/>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framePr w:wrap="around" w:vAnchor="text" w:hAnchor="margin" w:xAlign="right" w:y="1"/>
      <w:rPr>
        <w:rStyle w:val="50"/>
      </w:rPr>
    </w:pPr>
    <w:r>
      <w:rPr>
        <w:rStyle w:val="50"/>
      </w:rPr>
      <w:fldChar w:fldCharType="begin"/>
    </w:r>
    <w:r>
      <w:rPr>
        <w:rStyle w:val="50"/>
      </w:rPr>
      <w:instrText xml:space="preserve">PAGE  </w:instrText>
    </w:r>
    <w:r>
      <w:rPr>
        <w:rStyle w:val="50"/>
      </w:rPr>
      <w:fldChar w:fldCharType="end"/>
    </w:r>
  </w:p>
  <w:p>
    <w:pPr>
      <w:pStyle w:val="28"/>
      <w:ind w:right="360"/>
    </w:pPr>
  </w:p>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multilevel"/>
    <w:tmpl w:val="00000004"/>
    <w:lvl w:ilvl="0" w:tentative="0">
      <w:start w:val="1"/>
      <w:numFmt w:val="japaneseCounting"/>
      <w:lvlText w:val="第%1章"/>
      <w:lvlJc w:val="left"/>
      <w:pPr>
        <w:tabs>
          <w:tab w:val="left" w:pos="4941"/>
        </w:tabs>
        <w:ind w:left="4941" w:hanging="1140"/>
      </w:pPr>
      <w:rPr>
        <w:rFonts w:hint="eastAsia"/>
      </w:rPr>
    </w:lvl>
    <w:lvl w:ilvl="1" w:tentative="0">
      <w:start w:val="1"/>
      <w:numFmt w:val="lowerLetter"/>
      <w:lvlText w:val="%2)"/>
      <w:lvlJc w:val="left"/>
      <w:pPr>
        <w:tabs>
          <w:tab w:val="left" w:pos="4641"/>
        </w:tabs>
        <w:ind w:left="4641" w:hanging="420"/>
      </w:pPr>
    </w:lvl>
    <w:lvl w:ilvl="2" w:tentative="0">
      <w:start w:val="1"/>
      <w:numFmt w:val="lowerRoman"/>
      <w:lvlText w:val="%3."/>
      <w:lvlJc w:val="right"/>
      <w:pPr>
        <w:tabs>
          <w:tab w:val="left" w:pos="5061"/>
        </w:tabs>
        <w:ind w:left="5061" w:hanging="420"/>
      </w:pPr>
    </w:lvl>
    <w:lvl w:ilvl="3" w:tentative="0">
      <w:start w:val="1"/>
      <w:numFmt w:val="decimal"/>
      <w:lvlText w:val="%4."/>
      <w:lvlJc w:val="left"/>
      <w:pPr>
        <w:tabs>
          <w:tab w:val="left" w:pos="5481"/>
        </w:tabs>
        <w:ind w:left="5481" w:hanging="420"/>
      </w:pPr>
    </w:lvl>
    <w:lvl w:ilvl="4" w:tentative="0">
      <w:start w:val="1"/>
      <w:numFmt w:val="lowerLetter"/>
      <w:lvlText w:val="%5)"/>
      <w:lvlJc w:val="left"/>
      <w:pPr>
        <w:tabs>
          <w:tab w:val="left" w:pos="5901"/>
        </w:tabs>
        <w:ind w:left="5901" w:hanging="420"/>
      </w:pPr>
    </w:lvl>
    <w:lvl w:ilvl="5" w:tentative="0">
      <w:start w:val="1"/>
      <w:numFmt w:val="lowerRoman"/>
      <w:lvlText w:val="%6."/>
      <w:lvlJc w:val="right"/>
      <w:pPr>
        <w:tabs>
          <w:tab w:val="left" w:pos="6321"/>
        </w:tabs>
        <w:ind w:left="6321" w:hanging="420"/>
      </w:pPr>
    </w:lvl>
    <w:lvl w:ilvl="6" w:tentative="0">
      <w:start w:val="1"/>
      <w:numFmt w:val="decimal"/>
      <w:lvlText w:val="%7."/>
      <w:lvlJc w:val="left"/>
      <w:pPr>
        <w:tabs>
          <w:tab w:val="left" w:pos="6741"/>
        </w:tabs>
        <w:ind w:left="6741" w:hanging="420"/>
      </w:pPr>
    </w:lvl>
    <w:lvl w:ilvl="7" w:tentative="0">
      <w:start w:val="1"/>
      <w:numFmt w:val="lowerLetter"/>
      <w:lvlText w:val="%8)"/>
      <w:lvlJc w:val="left"/>
      <w:pPr>
        <w:tabs>
          <w:tab w:val="left" w:pos="7161"/>
        </w:tabs>
        <w:ind w:left="7161" w:hanging="420"/>
      </w:pPr>
    </w:lvl>
    <w:lvl w:ilvl="8" w:tentative="0">
      <w:start w:val="1"/>
      <w:numFmt w:val="lowerRoman"/>
      <w:lvlText w:val="%9."/>
      <w:lvlJc w:val="right"/>
      <w:pPr>
        <w:tabs>
          <w:tab w:val="left" w:pos="7581"/>
        </w:tabs>
        <w:ind w:left="7581" w:hanging="420"/>
      </w:pPr>
    </w:lvl>
  </w:abstractNum>
  <w:abstractNum w:abstractNumId="1">
    <w:nsid w:val="0000000A"/>
    <w:multiLevelType w:val="multilevel"/>
    <w:tmpl w:val="0000000A"/>
    <w:lvl w:ilvl="0" w:tentative="0">
      <w:start w:val="1"/>
      <w:numFmt w:val="decimal"/>
      <w:pStyle w:val="144"/>
      <w:lvlText w:val="%1."/>
      <w:lvlJc w:val="left"/>
      <w:pPr>
        <w:ind w:left="420" w:hanging="420"/>
      </w:pPr>
    </w:lvl>
    <w:lvl w:ilvl="1" w:tentative="0">
      <w:start w:val="1"/>
      <w:numFmt w:val="decimal"/>
      <w:lvlText w:val="（%2）"/>
      <w:lvlJc w:val="left"/>
      <w:pPr>
        <w:tabs>
          <w:tab w:val="left" w:pos="1140"/>
        </w:tabs>
        <w:ind w:left="1140" w:hanging="7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000000D"/>
    <w:multiLevelType w:val="multilevel"/>
    <w:tmpl w:val="0000000D"/>
    <w:lvl w:ilvl="0" w:tentative="0">
      <w:start w:val="1"/>
      <w:numFmt w:val="lowerLetter"/>
      <w:pStyle w:val="137"/>
      <w:lvlText w:val="%1)"/>
      <w:lvlJc w:val="left"/>
      <w:pPr>
        <w:ind w:left="902" w:hanging="420"/>
      </w:pPr>
      <w:rPr>
        <w:color w:val="auto"/>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abstractNum w:abstractNumId="3">
    <w:nsid w:val="00000013"/>
    <w:multiLevelType w:val="singleLevel"/>
    <w:tmpl w:val="00000013"/>
    <w:lvl w:ilvl="0" w:tentative="0">
      <w:start w:val="1"/>
      <w:numFmt w:val="decimal"/>
      <w:pStyle w:val="194"/>
      <w:lvlText w:val="%1."/>
      <w:lvlJc w:val="left"/>
      <w:pPr>
        <w:tabs>
          <w:tab w:val="left" w:pos="360"/>
        </w:tabs>
        <w:ind w:left="360" w:hanging="360"/>
      </w:pPr>
      <w:rPr>
        <w:rFonts w:hint="default"/>
      </w:rPr>
    </w:lvl>
  </w:abstractNum>
  <w:abstractNum w:abstractNumId="4">
    <w:nsid w:val="00000026"/>
    <w:multiLevelType w:val="multilevel"/>
    <w:tmpl w:val="00000026"/>
    <w:lvl w:ilvl="0" w:tentative="0">
      <w:start w:val="1"/>
      <w:numFmt w:val="decimal"/>
      <w:pStyle w:val="143"/>
      <w:isLgl/>
      <w:suff w:val="nothing"/>
      <w:lvlText w:val="%1　"/>
      <w:lvlJc w:val="left"/>
      <w:pPr>
        <w:ind w:left="-25" w:firstLine="0"/>
      </w:pPr>
      <w:rPr>
        <w:rFonts w:hint="default" w:ascii="Times New Roman" w:hAnsi="Times New Roman" w:eastAsia="宋体"/>
        <w:b/>
        <w:i w:val="0"/>
        <w:color w:val="auto"/>
        <w:sz w:val="28"/>
        <w:u w:val="none"/>
      </w:rPr>
    </w:lvl>
    <w:lvl w:ilvl="1" w:tentative="0">
      <w:start w:val="1"/>
      <w:numFmt w:val="decimal"/>
      <w:pStyle w:val="142"/>
      <w:isLgl/>
      <w:suff w:val="nothing"/>
      <w:lvlText w:val="%1.%2　"/>
      <w:lvlJc w:val="left"/>
      <w:pPr>
        <w:ind w:left="-25" w:firstLine="0"/>
      </w:pPr>
      <w:rPr>
        <w:rFonts w:hint="default" w:ascii="Times New Roman" w:hAnsi="Times New Roman" w:eastAsia="宋体"/>
        <w:b/>
        <w:i w:val="0"/>
        <w:snapToGrid/>
        <w:color w:val="auto"/>
        <w:spacing w:val="0"/>
        <w:w w:val="100"/>
        <w:kern w:val="21"/>
        <w:sz w:val="28"/>
        <w:u w:val="none"/>
      </w:rPr>
    </w:lvl>
    <w:lvl w:ilvl="2" w:tentative="0">
      <w:start w:val="1"/>
      <w:numFmt w:val="decimal"/>
      <w:isLgl/>
      <w:suff w:val="nothing"/>
      <w:lvlText w:val="%1.%2.%3　"/>
      <w:lvlJc w:val="left"/>
      <w:pPr>
        <w:ind w:left="-25" w:firstLine="0"/>
      </w:pPr>
      <w:rPr>
        <w:rFonts w:hint="default" w:ascii="Times New Roman" w:hAnsi="Times New Roman" w:eastAsia="黑体"/>
        <w:b/>
        <w:i w:val="0"/>
        <w:sz w:val="28"/>
      </w:rPr>
    </w:lvl>
    <w:lvl w:ilvl="3" w:tentative="0">
      <w:start w:val="1"/>
      <w:numFmt w:val="decimal"/>
      <w:pStyle w:val="187"/>
      <w:isLgl/>
      <w:suff w:val="nothing"/>
      <w:lvlText w:val="%1.%2.%3.%4　"/>
      <w:lvlJc w:val="left"/>
      <w:pPr>
        <w:ind w:left="-25" w:firstLine="0"/>
      </w:pPr>
      <w:rPr>
        <w:rFonts w:hint="default" w:ascii="Times New Roman" w:hAnsi="Times New Roman" w:eastAsia="宋体"/>
        <w:b/>
        <w:i w:val="0"/>
        <w:color w:val="auto"/>
        <w:sz w:val="28"/>
        <w:u w:val="none"/>
      </w:rPr>
    </w:lvl>
    <w:lvl w:ilvl="4" w:tentative="0">
      <w:start w:val="1"/>
      <w:numFmt w:val="decimal"/>
      <w:pStyle w:val="186"/>
      <w:isLgl/>
      <w:suff w:val="nothing"/>
      <w:lvlText w:val="%1.%2.%3.%4.%5　"/>
      <w:lvlJc w:val="left"/>
      <w:pPr>
        <w:ind w:left="-25" w:firstLine="0"/>
      </w:pPr>
      <w:rPr>
        <w:rFonts w:hint="default" w:ascii="Times New Roman" w:hAnsi="Times New Roman" w:eastAsia="宋体"/>
        <w:b/>
        <w:i w:val="0"/>
        <w:color w:val="auto"/>
        <w:sz w:val="28"/>
        <w:u w:val="none"/>
      </w:rPr>
    </w:lvl>
    <w:lvl w:ilvl="5" w:tentative="0">
      <w:start w:val="1"/>
      <w:numFmt w:val="decimal"/>
      <w:pStyle w:val="199"/>
      <w:isLgl/>
      <w:suff w:val="nothing"/>
      <w:lvlText w:val="%1.%2.%3.%4.%5.%6　"/>
      <w:lvlJc w:val="left"/>
      <w:pPr>
        <w:ind w:left="-25" w:firstLine="0"/>
      </w:pPr>
      <w:rPr>
        <w:rFonts w:hint="default" w:ascii="Times New Roman" w:hAnsi="Times New Roman" w:eastAsia="宋体"/>
        <w:b/>
        <w:i w:val="0"/>
        <w:sz w:val="28"/>
      </w:rPr>
    </w:lvl>
    <w:lvl w:ilvl="6" w:tentative="0">
      <w:start w:val="1"/>
      <w:numFmt w:val="lowerLetter"/>
      <w:pStyle w:val="188"/>
      <w:lvlText w:val="%7) "/>
      <w:lvlJc w:val="left"/>
      <w:pPr>
        <w:tabs>
          <w:tab w:val="left" w:pos="635"/>
        </w:tabs>
        <w:ind w:left="-125" w:firstLine="400"/>
      </w:pPr>
      <w:rPr>
        <w:rFonts w:hint="default" w:ascii="Times New Roman" w:hAnsi="Times New Roman" w:eastAsia="宋体"/>
        <w:b/>
        <w:i w:val="0"/>
        <w:color w:val="auto"/>
        <w:sz w:val="28"/>
        <w:u w:val="none"/>
      </w:rPr>
    </w:lvl>
    <w:lvl w:ilvl="7" w:tentative="0">
      <w:start w:val="1"/>
      <w:numFmt w:val="decimal"/>
      <w:pStyle w:val="170"/>
      <w:lvlText w:val="%8) "/>
      <w:lvlJc w:val="left"/>
      <w:pPr>
        <w:tabs>
          <w:tab w:val="left" w:pos="860"/>
        </w:tabs>
        <w:ind w:left="500" w:firstLine="0"/>
      </w:pPr>
      <w:rPr>
        <w:rFonts w:hint="default" w:ascii="Times New Roman" w:hAnsi="Times New Roman" w:eastAsia="宋体"/>
        <w:b/>
        <w:i w:val="0"/>
        <w:color w:val="auto"/>
        <w:sz w:val="28"/>
        <w:u w:val="none"/>
      </w:rPr>
    </w:lvl>
    <w:lvl w:ilvl="8" w:tentative="0">
      <w:start w:val="1"/>
      <w:numFmt w:val="none"/>
      <w:lvlText w:val="%9"/>
      <w:lvlJc w:val="left"/>
      <w:pPr>
        <w:tabs>
          <w:tab w:val="left" w:pos="860"/>
        </w:tabs>
        <w:ind w:left="500" w:firstLine="0"/>
      </w:pPr>
      <w:rPr>
        <w:rFonts w:hint="eastAsia" w:ascii="宋体" w:eastAsia="宋体"/>
        <w:b w:val="0"/>
        <w:i w:val="0"/>
        <w:color w:val="auto"/>
        <w:sz w:val="28"/>
        <w:u w:val="none"/>
      </w:rPr>
    </w:lvl>
  </w:abstractNum>
  <w:abstractNum w:abstractNumId="5">
    <w:nsid w:val="00000028"/>
    <w:multiLevelType w:val="multilevel"/>
    <w:tmpl w:val="00000028"/>
    <w:lvl w:ilvl="0" w:tentative="0">
      <w:start w:val="1"/>
      <w:numFmt w:val="decimal"/>
      <w:lvlText w:val="%1．"/>
      <w:lvlJc w:val="left"/>
      <w:pPr>
        <w:tabs>
          <w:tab w:val="left" w:pos="768"/>
        </w:tabs>
        <w:ind w:left="768" w:hanging="360"/>
      </w:pPr>
      <w:rPr>
        <w:rFonts w:hint="eastAsia"/>
      </w:rPr>
    </w:lvl>
    <w:lvl w:ilvl="1" w:tentative="0">
      <w:start w:val="1"/>
      <w:numFmt w:val="decimal"/>
      <w:pStyle w:val="191"/>
      <w:lvlText w:val="%2、"/>
      <w:lvlJc w:val="left"/>
      <w:pPr>
        <w:tabs>
          <w:tab w:val="left" w:pos="1188"/>
        </w:tabs>
        <w:ind w:left="1188" w:hanging="360"/>
      </w:pPr>
      <w:rPr>
        <w:rFonts w:hint="eastAsia"/>
      </w:rPr>
    </w:lvl>
    <w:lvl w:ilvl="2" w:tentative="0">
      <w:start w:val="1"/>
      <w:numFmt w:val="decimal"/>
      <w:lvlText w:val="（%3）"/>
      <w:lvlJc w:val="left"/>
      <w:pPr>
        <w:tabs>
          <w:tab w:val="left" w:pos="1968"/>
        </w:tabs>
        <w:ind w:left="1968" w:hanging="720"/>
      </w:pPr>
      <w:rPr>
        <w:rFonts w:hint="eastAsia"/>
        <w:u w:val="none"/>
      </w:rPr>
    </w:lvl>
    <w:lvl w:ilvl="3" w:tentative="0">
      <w:start w:val="1"/>
      <w:numFmt w:val="decimal"/>
      <w:lvlText w:val="%4."/>
      <w:lvlJc w:val="left"/>
      <w:pPr>
        <w:tabs>
          <w:tab w:val="left" w:pos="2088"/>
        </w:tabs>
        <w:ind w:left="2088" w:hanging="420"/>
      </w:pPr>
    </w:lvl>
    <w:lvl w:ilvl="4" w:tentative="0">
      <w:start w:val="1"/>
      <w:numFmt w:val="lowerLetter"/>
      <w:lvlText w:val="%5)"/>
      <w:lvlJc w:val="left"/>
      <w:pPr>
        <w:tabs>
          <w:tab w:val="left" w:pos="2508"/>
        </w:tabs>
        <w:ind w:left="2508" w:hanging="420"/>
      </w:pPr>
    </w:lvl>
    <w:lvl w:ilvl="5" w:tentative="0">
      <w:start w:val="1"/>
      <w:numFmt w:val="lowerRoman"/>
      <w:lvlText w:val="%6."/>
      <w:lvlJc w:val="right"/>
      <w:pPr>
        <w:tabs>
          <w:tab w:val="left" w:pos="2928"/>
        </w:tabs>
        <w:ind w:left="2928" w:hanging="420"/>
      </w:pPr>
    </w:lvl>
    <w:lvl w:ilvl="6" w:tentative="0">
      <w:start w:val="1"/>
      <w:numFmt w:val="decimal"/>
      <w:lvlText w:val="%7."/>
      <w:lvlJc w:val="left"/>
      <w:pPr>
        <w:tabs>
          <w:tab w:val="left" w:pos="3348"/>
        </w:tabs>
        <w:ind w:left="3348" w:hanging="420"/>
      </w:pPr>
    </w:lvl>
    <w:lvl w:ilvl="7" w:tentative="0">
      <w:start w:val="1"/>
      <w:numFmt w:val="lowerLetter"/>
      <w:lvlText w:val="%8)"/>
      <w:lvlJc w:val="left"/>
      <w:pPr>
        <w:tabs>
          <w:tab w:val="left" w:pos="3768"/>
        </w:tabs>
        <w:ind w:left="3768" w:hanging="420"/>
      </w:pPr>
    </w:lvl>
    <w:lvl w:ilvl="8" w:tentative="0">
      <w:start w:val="1"/>
      <w:numFmt w:val="lowerRoman"/>
      <w:lvlText w:val="%9."/>
      <w:lvlJc w:val="right"/>
      <w:pPr>
        <w:tabs>
          <w:tab w:val="left" w:pos="4188"/>
        </w:tabs>
        <w:ind w:left="4188" w:hanging="420"/>
      </w:pPr>
    </w:lvl>
  </w:abstractNum>
  <w:abstractNum w:abstractNumId="6">
    <w:nsid w:val="00000029"/>
    <w:multiLevelType w:val="multilevel"/>
    <w:tmpl w:val="00000029"/>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8535"/>
        </w:tabs>
        <w:ind w:left="8414" w:hanging="900"/>
      </w:pPr>
      <w:rPr>
        <w:rFonts w:hint="default" w:ascii="Times New Roman" w:hAnsi="Times New Roman" w:cs="Times New Roman"/>
        <w:b w:val="0"/>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7">
    <w:nsid w:val="0000002F"/>
    <w:multiLevelType w:val="multilevel"/>
    <w:tmpl w:val="0000002F"/>
    <w:lvl w:ilvl="0" w:tentative="0">
      <w:start w:val="1"/>
      <w:numFmt w:val="decimal"/>
      <w:pStyle w:val="150"/>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E230849"/>
    <w:multiLevelType w:val="multilevel"/>
    <w:tmpl w:val="0E230849"/>
    <w:lvl w:ilvl="0" w:tentative="0">
      <w:start w:val="1"/>
      <w:numFmt w:val="decimal"/>
      <w:pStyle w:val="219"/>
      <w:lvlText w:val="%1"/>
      <w:lvlJc w:val="left"/>
      <w:pPr>
        <w:ind w:left="680" w:hanging="680"/>
      </w:pPr>
      <w:rPr>
        <w:rFonts w:hint="eastAsia" w:ascii="宋体" w:hAnsi="宋体" w:eastAsia="宋体"/>
      </w:rPr>
    </w:lvl>
    <w:lvl w:ilvl="1" w:tentative="0">
      <w:start w:val="1"/>
      <w:numFmt w:val="decimal"/>
      <w:pStyle w:val="244"/>
      <w:lvlText w:val="%1.%2"/>
      <w:lvlJc w:val="left"/>
      <w:pPr>
        <w:ind w:left="851" w:hanging="851"/>
      </w:pPr>
      <w:rPr>
        <w:rFonts w:hint="eastAsia" w:ascii="宋体" w:hAnsi="宋体" w:eastAsia="宋体"/>
        <w:color w:val="auto"/>
      </w:rPr>
    </w:lvl>
    <w:lvl w:ilvl="2" w:tentative="0">
      <w:start w:val="1"/>
      <w:numFmt w:val="decimal"/>
      <w:lvlText w:val="%1.%2.%3"/>
      <w:lvlJc w:val="left"/>
      <w:pPr>
        <w:ind w:left="851" w:hanging="851"/>
      </w:pPr>
      <w:rPr>
        <w:rFonts w:hint="eastAsia"/>
      </w:rPr>
    </w:lvl>
    <w:lvl w:ilvl="3" w:tentative="0">
      <w:start w:val="1"/>
      <w:numFmt w:val="decimal"/>
      <w:lvlText w:val="%1.%2.%3.%4"/>
      <w:lvlJc w:val="left"/>
      <w:pPr>
        <w:ind w:left="680" w:hanging="680"/>
      </w:pPr>
      <w:rPr>
        <w:rFonts w:hint="eastAsia"/>
      </w:rPr>
    </w:lvl>
    <w:lvl w:ilvl="4" w:tentative="0">
      <w:start w:val="1"/>
      <w:numFmt w:val="decimal"/>
      <w:lvlText w:val="%1.%2.%3.%4.%5"/>
      <w:lvlJc w:val="left"/>
      <w:pPr>
        <w:ind w:left="680" w:hanging="680"/>
      </w:pPr>
      <w:rPr>
        <w:rFonts w:hint="eastAsia"/>
      </w:rPr>
    </w:lvl>
    <w:lvl w:ilvl="5" w:tentative="0">
      <w:start w:val="1"/>
      <w:numFmt w:val="decimal"/>
      <w:lvlText w:val="%1.%2.%3.%4.%5.%6"/>
      <w:lvlJc w:val="left"/>
      <w:pPr>
        <w:ind w:left="680" w:hanging="680"/>
      </w:pPr>
      <w:rPr>
        <w:rFonts w:hint="eastAsia"/>
      </w:rPr>
    </w:lvl>
    <w:lvl w:ilvl="6" w:tentative="0">
      <w:start w:val="1"/>
      <w:numFmt w:val="decimal"/>
      <w:lvlText w:val="%1.%2.%3.%4.%5.%6.%7"/>
      <w:lvlJc w:val="left"/>
      <w:pPr>
        <w:ind w:left="680" w:hanging="680"/>
      </w:pPr>
      <w:rPr>
        <w:rFonts w:hint="eastAsia"/>
      </w:rPr>
    </w:lvl>
    <w:lvl w:ilvl="7" w:tentative="0">
      <w:start w:val="1"/>
      <w:numFmt w:val="decimal"/>
      <w:lvlText w:val="%1.%2.%3.%4.%5.%6.%7.%8"/>
      <w:lvlJc w:val="left"/>
      <w:pPr>
        <w:ind w:left="680" w:hanging="680"/>
      </w:pPr>
      <w:rPr>
        <w:rFonts w:hint="eastAsia"/>
      </w:rPr>
    </w:lvl>
    <w:lvl w:ilvl="8" w:tentative="0">
      <w:start w:val="1"/>
      <w:numFmt w:val="decimal"/>
      <w:lvlText w:val="%1.%2.%3.%4.%5.%6.%7.%8.%9"/>
      <w:lvlJc w:val="left"/>
      <w:pPr>
        <w:ind w:left="680" w:hanging="680"/>
      </w:pPr>
      <w:rPr>
        <w:rFonts w:hint="eastAsia"/>
      </w:rPr>
    </w:lvl>
  </w:abstractNum>
  <w:abstractNum w:abstractNumId="9">
    <w:nsid w:val="10872DAA"/>
    <w:multiLevelType w:val="multilevel"/>
    <w:tmpl w:val="10872DAA"/>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0">
    <w:nsid w:val="1667154C"/>
    <w:multiLevelType w:val="multilevel"/>
    <w:tmpl w:val="1667154C"/>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1">
    <w:nsid w:val="302065E1"/>
    <w:multiLevelType w:val="multilevel"/>
    <w:tmpl w:val="302065E1"/>
    <w:lvl w:ilvl="0" w:tentative="0">
      <w:start w:val="1"/>
      <w:numFmt w:val="japaneseCounting"/>
      <w:lvlText w:val="（%1）"/>
      <w:lvlJc w:val="left"/>
      <w:pPr>
        <w:ind w:left="1560" w:hanging="7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3E487E37"/>
    <w:multiLevelType w:val="multilevel"/>
    <w:tmpl w:val="3E487E37"/>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1589"/>
        </w:tabs>
        <w:ind w:left="1468" w:hanging="900"/>
      </w:pPr>
      <w:rPr>
        <w:rFonts w:hint="default" w:ascii="Times New Roman" w:hAnsi="Times New Roman" w:cs="Times New Roman"/>
        <w:sz w:val="24"/>
        <w:szCs w:val="24"/>
      </w:rPr>
    </w:lvl>
    <w:lvl w:ilvl="2" w:tentative="0">
      <w:start w:val="1"/>
      <w:numFmt w:val="decimal"/>
      <w:lvlText w:val="%1.%2.%3"/>
      <w:lvlJc w:val="left"/>
      <w:pPr>
        <w:tabs>
          <w:tab w:val="left" w:pos="1980"/>
        </w:tabs>
        <w:ind w:left="198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13">
    <w:nsid w:val="4972674D"/>
    <w:multiLevelType w:val="singleLevel"/>
    <w:tmpl w:val="4972674D"/>
    <w:lvl w:ilvl="0" w:tentative="0">
      <w:start w:val="1"/>
      <w:numFmt w:val="japaneseCounting"/>
      <w:lvlText w:val="%1、"/>
      <w:lvlJc w:val="left"/>
      <w:pPr>
        <w:tabs>
          <w:tab w:val="left" w:pos="780"/>
        </w:tabs>
        <w:ind w:left="780" w:hanging="600"/>
      </w:pPr>
      <w:rPr>
        <w:rFonts w:hint="eastAsia"/>
        <w:b w:val="0"/>
      </w:rPr>
    </w:lvl>
  </w:abstractNum>
  <w:abstractNum w:abstractNumId="14">
    <w:nsid w:val="4AE9714C"/>
    <w:multiLevelType w:val="singleLevel"/>
    <w:tmpl w:val="4AE9714C"/>
    <w:lvl w:ilvl="0" w:tentative="0">
      <w:start w:val="5"/>
      <w:numFmt w:val="decimal"/>
      <w:lvlText w:val="%1."/>
      <w:lvlJc w:val="left"/>
      <w:pPr>
        <w:tabs>
          <w:tab w:val="left" w:pos="312"/>
        </w:tabs>
      </w:pPr>
    </w:lvl>
  </w:abstractNum>
  <w:abstractNum w:abstractNumId="15">
    <w:nsid w:val="6796B292"/>
    <w:multiLevelType w:val="singleLevel"/>
    <w:tmpl w:val="6796B292"/>
    <w:lvl w:ilvl="0" w:tentative="0">
      <w:start w:val="5"/>
      <w:numFmt w:val="chineseCounting"/>
      <w:suff w:val="space"/>
      <w:lvlText w:val="第%1章"/>
      <w:lvlJc w:val="left"/>
      <w:rPr>
        <w:rFonts w:hint="eastAsia"/>
      </w:rPr>
    </w:lvl>
  </w:abstractNum>
  <w:num w:numId="1">
    <w:abstractNumId w:val="2"/>
  </w:num>
  <w:num w:numId="2">
    <w:abstractNumId w:val="4"/>
  </w:num>
  <w:num w:numId="3">
    <w:abstractNumId w:val="1"/>
  </w:num>
  <w:num w:numId="4">
    <w:abstractNumId w:val="7"/>
  </w:num>
  <w:num w:numId="5">
    <w:abstractNumId w:val="5"/>
  </w:num>
  <w:num w:numId="6">
    <w:abstractNumId w:val="3"/>
  </w:num>
  <w:num w:numId="7">
    <w:abstractNumId w:val="8"/>
  </w:num>
  <w:num w:numId="8">
    <w:abstractNumId w:val="14"/>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CTIVE" w:val="03年范本稿123.doc"/>
    <w:docVar w:name="commondata" w:val="eyJoZGlkIjoiYWI5YmJmZjE3MWQ4M2EwNTZjZTEzOTBhMDU0NTZiZmIifQ=="/>
    <w:docVar w:name="VTCASE" w:val="4"/>
    <w:docVar w:name="VTCommandPending" w:val="NONE"/>
  </w:docVars>
  <w:rsids>
    <w:rsidRoot w:val="00172A27"/>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626"/>
    <w:rsid w:val="00003711"/>
    <w:rsid w:val="00003804"/>
    <w:rsid w:val="000039FD"/>
    <w:rsid w:val="00003A41"/>
    <w:rsid w:val="00003CF0"/>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03B"/>
    <w:rsid w:val="000073B1"/>
    <w:rsid w:val="000073E8"/>
    <w:rsid w:val="00007598"/>
    <w:rsid w:val="0000781A"/>
    <w:rsid w:val="00007A5A"/>
    <w:rsid w:val="00007DA4"/>
    <w:rsid w:val="00010010"/>
    <w:rsid w:val="000100A2"/>
    <w:rsid w:val="000100B6"/>
    <w:rsid w:val="000104BA"/>
    <w:rsid w:val="000106FC"/>
    <w:rsid w:val="00010763"/>
    <w:rsid w:val="000109FC"/>
    <w:rsid w:val="00010E8F"/>
    <w:rsid w:val="0001121F"/>
    <w:rsid w:val="0001127B"/>
    <w:rsid w:val="000112A5"/>
    <w:rsid w:val="00011793"/>
    <w:rsid w:val="000118AD"/>
    <w:rsid w:val="00011AFF"/>
    <w:rsid w:val="00011BD5"/>
    <w:rsid w:val="00011DA9"/>
    <w:rsid w:val="0001235C"/>
    <w:rsid w:val="00012486"/>
    <w:rsid w:val="000124BE"/>
    <w:rsid w:val="000125B2"/>
    <w:rsid w:val="000125FF"/>
    <w:rsid w:val="00012A66"/>
    <w:rsid w:val="00012A82"/>
    <w:rsid w:val="00012BE6"/>
    <w:rsid w:val="00012C45"/>
    <w:rsid w:val="00012EBE"/>
    <w:rsid w:val="000131D3"/>
    <w:rsid w:val="000136DC"/>
    <w:rsid w:val="00013965"/>
    <w:rsid w:val="00013D5A"/>
    <w:rsid w:val="00013DAB"/>
    <w:rsid w:val="00013FB5"/>
    <w:rsid w:val="00014156"/>
    <w:rsid w:val="0001416B"/>
    <w:rsid w:val="000141D5"/>
    <w:rsid w:val="00014444"/>
    <w:rsid w:val="00014851"/>
    <w:rsid w:val="000149E0"/>
    <w:rsid w:val="00014D98"/>
    <w:rsid w:val="00015030"/>
    <w:rsid w:val="00015094"/>
    <w:rsid w:val="000151D7"/>
    <w:rsid w:val="00015316"/>
    <w:rsid w:val="000154B9"/>
    <w:rsid w:val="00015645"/>
    <w:rsid w:val="000157C2"/>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20232"/>
    <w:rsid w:val="000203B5"/>
    <w:rsid w:val="00020505"/>
    <w:rsid w:val="00020696"/>
    <w:rsid w:val="00020880"/>
    <w:rsid w:val="00020900"/>
    <w:rsid w:val="00020C28"/>
    <w:rsid w:val="00020E48"/>
    <w:rsid w:val="000210FD"/>
    <w:rsid w:val="0002113E"/>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CAF"/>
    <w:rsid w:val="00023D59"/>
    <w:rsid w:val="000241D9"/>
    <w:rsid w:val="00024343"/>
    <w:rsid w:val="00024427"/>
    <w:rsid w:val="00024446"/>
    <w:rsid w:val="0002455F"/>
    <w:rsid w:val="000249B1"/>
    <w:rsid w:val="00024B4F"/>
    <w:rsid w:val="00024BB5"/>
    <w:rsid w:val="00024D50"/>
    <w:rsid w:val="00024D59"/>
    <w:rsid w:val="00024FD8"/>
    <w:rsid w:val="00025050"/>
    <w:rsid w:val="00025279"/>
    <w:rsid w:val="00025543"/>
    <w:rsid w:val="00025BF3"/>
    <w:rsid w:val="00025DA9"/>
    <w:rsid w:val="00026353"/>
    <w:rsid w:val="00026693"/>
    <w:rsid w:val="000267C8"/>
    <w:rsid w:val="00026845"/>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2A7"/>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6DC"/>
    <w:rsid w:val="0003683A"/>
    <w:rsid w:val="000369F4"/>
    <w:rsid w:val="00036A1C"/>
    <w:rsid w:val="00036B73"/>
    <w:rsid w:val="00036D6E"/>
    <w:rsid w:val="00036E36"/>
    <w:rsid w:val="00036EE2"/>
    <w:rsid w:val="000370CE"/>
    <w:rsid w:val="000371CF"/>
    <w:rsid w:val="00037376"/>
    <w:rsid w:val="000375F9"/>
    <w:rsid w:val="00037AF2"/>
    <w:rsid w:val="00037C70"/>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1A"/>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A61"/>
    <w:rsid w:val="00043B1C"/>
    <w:rsid w:val="00043C68"/>
    <w:rsid w:val="00043D59"/>
    <w:rsid w:val="00043DD6"/>
    <w:rsid w:val="000441F6"/>
    <w:rsid w:val="000446D5"/>
    <w:rsid w:val="0004473A"/>
    <w:rsid w:val="0004483E"/>
    <w:rsid w:val="00044AA1"/>
    <w:rsid w:val="00044D9C"/>
    <w:rsid w:val="00044EDD"/>
    <w:rsid w:val="00045112"/>
    <w:rsid w:val="00045147"/>
    <w:rsid w:val="00045358"/>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452"/>
    <w:rsid w:val="00047479"/>
    <w:rsid w:val="000476F9"/>
    <w:rsid w:val="00047889"/>
    <w:rsid w:val="00047AB3"/>
    <w:rsid w:val="00047ADA"/>
    <w:rsid w:val="00047E61"/>
    <w:rsid w:val="000500A2"/>
    <w:rsid w:val="000502FD"/>
    <w:rsid w:val="00050351"/>
    <w:rsid w:val="0005038F"/>
    <w:rsid w:val="00050606"/>
    <w:rsid w:val="00050747"/>
    <w:rsid w:val="000507AA"/>
    <w:rsid w:val="00050899"/>
    <w:rsid w:val="000508C4"/>
    <w:rsid w:val="00050A3F"/>
    <w:rsid w:val="00050C78"/>
    <w:rsid w:val="000514DF"/>
    <w:rsid w:val="0005161F"/>
    <w:rsid w:val="00051756"/>
    <w:rsid w:val="000517DD"/>
    <w:rsid w:val="0005182E"/>
    <w:rsid w:val="0005191F"/>
    <w:rsid w:val="0005192B"/>
    <w:rsid w:val="00051C52"/>
    <w:rsid w:val="00052978"/>
    <w:rsid w:val="00052D2A"/>
    <w:rsid w:val="00052FD2"/>
    <w:rsid w:val="00053251"/>
    <w:rsid w:val="000535E6"/>
    <w:rsid w:val="00053890"/>
    <w:rsid w:val="00053AC5"/>
    <w:rsid w:val="00053B80"/>
    <w:rsid w:val="0005434F"/>
    <w:rsid w:val="00054540"/>
    <w:rsid w:val="000547C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06"/>
    <w:rsid w:val="00056476"/>
    <w:rsid w:val="00056502"/>
    <w:rsid w:val="0005682F"/>
    <w:rsid w:val="000568DE"/>
    <w:rsid w:val="00056B27"/>
    <w:rsid w:val="00056E70"/>
    <w:rsid w:val="0005707E"/>
    <w:rsid w:val="000570D7"/>
    <w:rsid w:val="0005717B"/>
    <w:rsid w:val="000571B5"/>
    <w:rsid w:val="00057274"/>
    <w:rsid w:val="00057542"/>
    <w:rsid w:val="0005763B"/>
    <w:rsid w:val="00057AD8"/>
    <w:rsid w:val="00057FB1"/>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45B"/>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564"/>
    <w:rsid w:val="000645FE"/>
    <w:rsid w:val="000649EC"/>
    <w:rsid w:val="00064E78"/>
    <w:rsid w:val="00065020"/>
    <w:rsid w:val="00065240"/>
    <w:rsid w:val="00065259"/>
    <w:rsid w:val="0006579F"/>
    <w:rsid w:val="000659A7"/>
    <w:rsid w:val="00065B6B"/>
    <w:rsid w:val="00065C44"/>
    <w:rsid w:val="00065C5F"/>
    <w:rsid w:val="00065FDC"/>
    <w:rsid w:val="00066242"/>
    <w:rsid w:val="000665A0"/>
    <w:rsid w:val="000666C4"/>
    <w:rsid w:val="000668C9"/>
    <w:rsid w:val="000668D7"/>
    <w:rsid w:val="00066C16"/>
    <w:rsid w:val="00066E01"/>
    <w:rsid w:val="0006751D"/>
    <w:rsid w:val="00067529"/>
    <w:rsid w:val="00067802"/>
    <w:rsid w:val="000679C4"/>
    <w:rsid w:val="00067D43"/>
    <w:rsid w:val="00067E9C"/>
    <w:rsid w:val="000701A2"/>
    <w:rsid w:val="0007050C"/>
    <w:rsid w:val="00070524"/>
    <w:rsid w:val="00070526"/>
    <w:rsid w:val="0007060C"/>
    <w:rsid w:val="0007090B"/>
    <w:rsid w:val="00070998"/>
    <w:rsid w:val="00070BB9"/>
    <w:rsid w:val="0007103D"/>
    <w:rsid w:val="00071223"/>
    <w:rsid w:val="00071356"/>
    <w:rsid w:val="0007191D"/>
    <w:rsid w:val="00071D3C"/>
    <w:rsid w:val="00071DF6"/>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64A"/>
    <w:rsid w:val="00074780"/>
    <w:rsid w:val="00074786"/>
    <w:rsid w:val="00074C28"/>
    <w:rsid w:val="000752FF"/>
    <w:rsid w:val="000756AC"/>
    <w:rsid w:val="00075879"/>
    <w:rsid w:val="00075941"/>
    <w:rsid w:val="00075AFF"/>
    <w:rsid w:val="00075BC6"/>
    <w:rsid w:val="00075C77"/>
    <w:rsid w:val="00076259"/>
    <w:rsid w:val="0007662D"/>
    <w:rsid w:val="00076D3D"/>
    <w:rsid w:val="00076E3C"/>
    <w:rsid w:val="00076E8A"/>
    <w:rsid w:val="00076EFF"/>
    <w:rsid w:val="00076FDA"/>
    <w:rsid w:val="00077079"/>
    <w:rsid w:val="000770B3"/>
    <w:rsid w:val="00077705"/>
    <w:rsid w:val="000778B7"/>
    <w:rsid w:val="00077A02"/>
    <w:rsid w:val="00077C79"/>
    <w:rsid w:val="00077D3D"/>
    <w:rsid w:val="00077FE5"/>
    <w:rsid w:val="000801CC"/>
    <w:rsid w:val="00080289"/>
    <w:rsid w:val="00080443"/>
    <w:rsid w:val="000805BC"/>
    <w:rsid w:val="00080608"/>
    <w:rsid w:val="00080982"/>
    <w:rsid w:val="000809DF"/>
    <w:rsid w:val="00080C51"/>
    <w:rsid w:val="0008131C"/>
    <w:rsid w:val="00081713"/>
    <w:rsid w:val="000817A1"/>
    <w:rsid w:val="00081948"/>
    <w:rsid w:val="00081952"/>
    <w:rsid w:val="00081CDE"/>
    <w:rsid w:val="00082322"/>
    <w:rsid w:val="0008234E"/>
    <w:rsid w:val="00082377"/>
    <w:rsid w:val="00082994"/>
    <w:rsid w:val="000832F9"/>
    <w:rsid w:val="00083393"/>
    <w:rsid w:val="00083626"/>
    <w:rsid w:val="000836B3"/>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C03"/>
    <w:rsid w:val="00086EFE"/>
    <w:rsid w:val="00087282"/>
    <w:rsid w:val="00087C66"/>
    <w:rsid w:val="00087D11"/>
    <w:rsid w:val="00087DE9"/>
    <w:rsid w:val="00087FB2"/>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4A"/>
    <w:rsid w:val="0009206B"/>
    <w:rsid w:val="0009213E"/>
    <w:rsid w:val="00092413"/>
    <w:rsid w:val="000925EE"/>
    <w:rsid w:val="000927C4"/>
    <w:rsid w:val="00092C18"/>
    <w:rsid w:val="00092EA1"/>
    <w:rsid w:val="00093073"/>
    <w:rsid w:val="00093464"/>
    <w:rsid w:val="000935DA"/>
    <w:rsid w:val="00093680"/>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B92"/>
    <w:rsid w:val="00095D63"/>
    <w:rsid w:val="00096012"/>
    <w:rsid w:val="00096244"/>
    <w:rsid w:val="00096251"/>
    <w:rsid w:val="0009672F"/>
    <w:rsid w:val="000967EC"/>
    <w:rsid w:val="00096822"/>
    <w:rsid w:val="00096835"/>
    <w:rsid w:val="00096851"/>
    <w:rsid w:val="00096BFF"/>
    <w:rsid w:val="00096C99"/>
    <w:rsid w:val="00096CA2"/>
    <w:rsid w:val="00096CBB"/>
    <w:rsid w:val="00096CE7"/>
    <w:rsid w:val="00096F57"/>
    <w:rsid w:val="000974EB"/>
    <w:rsid w:val="0009757F"/>
    <w:rsid w:val="000975C7"/>
    <w:rsid w:val="000976D2"/>
    <w:rsid w:val="000978BE"/>
    <w:rsid w:val="000979E2"/>
    <w:rsid w:val="00097DD0"/>
    <w:rsid w:val="000A0203"/>
    <w:rsid w:val="000A022B"/>
    <w:rsid w:val="000A06D5"/>
    <w:rsid w:val="000A08FB"/>
    <w:rsid w:val="000A0C74"/>
    <w:rsid w:val="000A0CC1"/>
    <w:rsid w:val="000A0CE8"/>
    <w:rsid w:val="000A0D6C"/>
    <w:rsid w:val="000A0F92"/>
    <w:rsid w:val="000A1016"/>
    <w:rsid w:val="000A1125"/>
    <w:rsid w:val="000A1172"/>
    <w:rsid w:val="000A1189"/>
    <w:rsid w:val="000A13AE"/>
    <w:rsid w:val="000A1480"/>
    <w:rsid w:val="000A173F"/>
    <w:rsid w:val="000A186E"/>
    <w:rsid w:val="000A1897"/>
    <w:rsid w:val="000A1902"/>
    <w:rsid w:val="000A1A1F"/>
    <w:rsid w:val="000A1A94"/>
    <w:rsid w:val="000A1C46"/>
    <w:rsid w:val="000A1F58"/>
    <w:rsid w:val="000A204E"/>
    <w:rsid w:val="000A2051"/>
    <w:rsid w:val="000A2497"/>
    <w:rsid w:val="000A2DA2"/>
    <w:rsid w:val="000A2DAE"/>
    <w:rsid w:val="000A2E01"/>
    <w:rsid w:val="000A30C7"/>
    <w:rsid w:val="000A34BA"/>
    <w:rsid w:val="000A34F3"/>
    <w:rsid w:val="000A38B4"/>
    <w:rsid w:val="000A3D00"/>
    <w:rsid w:val="000A3FFB"/>
    <w:rsid w:val="000A40DA"/>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5DC"/>
    <w:rsid w:val="000B2E06"/>
    <w:rsid w:val="000B2E78"/>
    <w:rsid w:val="000B2F43"/>
    <w:rsid w:val="000B330A"/>
    <w:rsid w:val="000B3883"/>
    <w:rsid w:val="000B394D"/>
    <w:rsid w:val="000B3B3B"/>
    <w:rsid w:val="000B3FFC"/>
    <w:rsid w:val="000B3FF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41AB"/>
    <w:rsid w:val="000C4314"/>
    <w:rsid w:val="000C43DE"/>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A69"/>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A9D"/>
    <w:rsid w:val="000D4BAD"/>
    <w:rsid w:val="000D4CDB"/>
    <w:rsid w:val="000D4EA5"/>
    <w:rsid w:val="000D4F97"/>
    <w:rsid w:val="000D524E"/>
    <w:rsid w:val="000D54BA"/>
    <w:rsid w:val="000D5B64"/>
    <w:rsid w:val="000D5C3A"/>
    <w:rsid w:val="000D6209"/>
    <w:rsid w:val="000D643C"/>
    <w:rsid w:val="000D64DD"/>
    <w:rsid w:val="000D6AEB"/>
    <w:rsid w:val="000D6C0B"/>
    <w:rsid w:val="000D6C2E"/>
    <w:rsid w:val="000D7460"/>
    <w:rsid w:val="000D7971"/>
    <w:rsid w:val="000D79DB"/>
    <w:rsid w:val="000D7D7F"/>
    <w:rsid w:val="000D7D9A"/>
    <w:rsid w:val="000D7E52"/>
    <w:rsid w:val="000D7EEC"/>
    <w:rsid w:val="000E0249"/>
    <w:rsid w:val="000E0865"/>
    <w:rsid w:val="000E0994"/>
    <w:rsid w:val="000E09FF"/>
    <w:rsid w:val="000E10BC"/>
    <w:rsid w:val="000E11BF"/>
    <w:rsid w:val="000E1232"/>
    <w:rsid w:val="000E1253"/>
    <w:rsid w:val="000E12D6"/>
    <w:rsid w:val="000E1590"/>
    <w:rsid w:val="000E1859"/>
    <w:rsid w:val="000E1C30"/>
    <w:rsid w:val="000E1CCF"/>
    <w:rsid w:val="000E208B"/>
    <w:rsid w:val="000E2595"/>
    <w:rsid w:val="000E2961"/>
    <w:rsid w:val="000E2A71"/>
    <w:rsid w:val="000E2C27"/>
    <w:rsid w:val="000E2D24"/>
    <w:rsid w:val="000E2F58"/>
    <w:rsid w:val="000E2F7A"/>
    <w:rsid w:val="000E321B"/>
    <w:rsid w:val="000E3359"/>
    <w:rsid w:val="000E346C"/>
    <w:rsid w:val="000E371C"/>
    <w:rsid w:val="000E37B4"/>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06C"/>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518"/>
    <w:rsid w:val="000F37A3"/>
    <w:rsid w:val="000F3843"/>
    <w:rsid w:val="000F385E"/>
    <w:rsid w:val="000F3C18"/>
    <w:rsid w:val="000F3C91"/>
    <w:rsid w:val="000F3D72"/>
    <w:rsid w:val="000F42A6"/>
    <w:rsid w:val="000F4378"/>
    <w:rsid w:val="000F43EF"/>
    <w:rsid w:val="000F44ED"/>
    <w:rsid w:val="000F470E"/>
    <w:rsid w:val="000F4813"/>
    <w:rsid w:val="000F4DBC"/>
    <w:rsid w:val="000F4F02"/>
    <w:rsid w:val="000F4F39"/>
    <w:rsid w:val="000F4FC2"/>
    <w:rsid w:val="000F50E7"/>
    <w:rsid w:val="000F512F"/>
    <w:rsid w:val="000F5225"/>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6A1"/>
    <w:rsid w:val="000F67F0"/>
    <w:rsid w:val="000F6CE4"/>
    <w:rsid w:val="000F72E1"/>
    <w:rsid w:val="000F736E"/>
    <w:rsid w:val="000F738E"/>
    <w:rsid w:val="000F74AB"/>
    <w:rsid w:val="000F74D5"/>
    <w:rsid w:val="000F763C"/>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4B0"/>
    <w:rsid w:val="00102653"/>
    <w:rsid w:val="00102833"/>
    <w:rsid w:val="001028FF"/>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F33"/>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4C4"/>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02"/>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1FC"/>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22D"/>
    <w:rsid w:val="001206A9"/>
    <w:rsid w:val="0012074E"/>
    <w:rsid w:val="001207FD"/>
    <w:rsid w:val="00120AFC"/>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8ED"/>
    <w:rsid w:val="00127B3D"/>
    <w:rsid w:val="00127B9E"/>
    <w:rsid w:val="00127CA2"/>
    <w:rsid w:val="00127CA5"/>
    <w:rsid w:val="00127D7F"/>
    <w:rsid w:val="00127EBF"/>
    <w:rsid w:val="00127FC5"/>
    <w:rsid w:val="001301E6"/>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1ED2"/>
    <w:rsid w:val="00132024"/>
    <w:rsid w:val="00132696"/>
    <w:rsid w:val="001328EB"/>
    <w:rsid w:val="00132D5E"/>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A86"/>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76"/>
    <w:rsid w:val="001508A9"/>
    <w:rsid w:val="001509F7"/>
    <w:rsid w:val="00150A8E"/>
    <w:rsid w:val="00150B20"/>
    <w:rsid w:val="00150B66"/>
    <w:rsid w:val="00150CBA"/>
    <w:rsid w:val="00150DF3"/>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4FC"/>
    <w:rsid w:val="00156D28"/>
    <w:rsid w:val="00156D64"/>
    <w:rsid w:val="00156EF9"/>
    <w:rsid w:val="00157375"/>
    <w:rsid w:val="00157500"/>
    <w:rsid w:val="00157721"/>
    <w:rsid w:val="00157952"/>
    <w:rsid w:val="00157A47"/>
    <w:rsid w:val="001602B3"/>
    <w:rsid w:val="0016040C"/>
    <w:rsid w:val="001604C3"/>
    <w:rsid w:val="0016050D"/>
    <w:rsid w:val="0016079C"/>
    <w:rsid w:val="0016086E"/>
    <w:rsid w:val="001609D0"/>
    <w:rsid w:val="00160A0C"/>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8EA"/>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B61"/>
    <w:rsid w:val="001664DB"/>
    <w:rsid w:val="0016655E"/>
    <w:rsid w:val="00166A93"/>
    <w:rsid w:val="00166C93"/>
    <w:rsid w:val="00166E60"/>
    <w:rsid w:val="00166F3F"/>
    <w:rsid w:val="001670EA"/>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195"/>
    <w:rsid w:val="00175843"/>
    <w:rsid w:val="001759C5"/>
    <w:rsid w:val="00175AFE"/>
    <w:rsid w:val="00175BBF"/>
    <w:rsid w:val="0017603C"/>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960"/>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171"/>
    <w:rsid w:val="00184298"/>
    <w:rsid w:val="001846ED"/>
    <w:rsid w:val="001849ED"/>
    <w:rsid w:val="00184B0F"/>
    <w:rsid w:val="00184BC3"/>
    <w:rsid w:val="00184DC3"/>
    <w:rsid w:val="00184F04"/>
    <w:rsid w:val="00184FA0"/>
    <w:rsid w:val="00185367"/>
    <w:rsid w:val="0018542F"/>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96"/>
    <w:rsid w:val="00196AA1"/>
    <w:rsid w:val="00196C4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0DDD"/>
    <w:rsid w:val="001A0FE8"/>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CCC"/>
    <w:rsid w:val="001A4045"/>
    <w:rsid w:val="001A40CF"/>
    <w:rsid w:val="001A4877"/>
    <w:rsid w:val="001A4A0B"/>
    <w:rsid w:val="001A52A6"/>
    <w:rsid w:val="001A5496"/>
    <w:rsid w:val="001A5595"/>
    <w:rsid w:val="001A55F7"/>
    <w:rsid w:val="001A570C"/>
    <w:rsid w:val="001A57B9"/>
    <w:rsid w:val="001A5FC1"/>
    <w:rsid w:val="001A5FF0"/>
    <w:rsid w:val="001A62AF"/>
    <w:rsid w:val="001A63B1"/>
    <w:rsid w:val="001A6701"/>
    <w:rsid w:val="001A6762"/>
    <w:rsid w:val="001A6862"/>
    <w:rsid w:val="001A68CC"/>
    <w:rsid w:val="001A6996"/>
    <w:rsid w:val="001A6BD3"/>
    <w:rsid w:val="001A6D7F"/>
    <w:rsid w:val="001A6F08"/>
    <w:rsid w:val="001A7040"/>
    <w:rsid w:val="001A7042"/>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EB9"/>
    <w:rsid w:val="001B2FD0"/>
    <w:rsid w:val="001B302C"/>
    <w:rsid w:val="001B30FE"/>
    <w:rsid w:val="001B3159"/>
    <w:rsid w:val="001B3793"/>
    <w:rsid w:val="001B38ED"/>
    <w:rsid w:val="001B39CE"/>
    <w:rsid w:val="001B39DF"/>
    <w:rsid w:val="001B3B2F"/>
    <w:rsid w:val="001B3B3A"/>
    <w:rsid w:val="001B3B98"/>
    <w:rsid w:val="001B3BBA"/>
    <w:rsid w:val="001B3EF9"/>
    <w:rsid w:val="001B40C8"/>
    <w:rsid w:val="001B40F1"/>
    <w:rsid w:val="001B43B1"/>
    <w:rsid w:val="001B4499"/>
    <w:rsid w:val="001B49F0"/>
    <w:rsid w:val="001B504D"/>
    <w:rsid w:val="001B5307"/>
    <w:rsid w:val="001B53EE"/>
    <w:rsid w:val="001B5452"/>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61"/>
    <w:rsid w:val="001C0191"/>
    <w:rsid w:val="001C029F"/>
    <w:rsid w:val="001C0666"/>
    <w:rsid w:val="001C0850"/>
    <w:rsid w:val="001C0AB3"/>
    <w:rsid w:val="001C1461"/>
    <w:rsid w:val="001C167B"/>
    <w:rsid w:val="001C172A"/>
    <w:rsid w:val="001C1A12"/>
    <w:rsid w:val="001C1AE9"/>
    <w:rsid w:val="001C1B8B"/>
    <w:rsid w:val="001C1E53"/>
    <w:rsid w:val="001C2145"/>
    <w:rsid w:val="001C22BB"/>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7A0"/>
    <w:rsid w:val="001C47E6"/>
    <w:rsid w:val="001C4E97"/>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2B4"/>
    <w:rsid w:val="001C6412"/>
    <w:rsid w:val="001C660A"/>
    <w:rsid w:val="001C6732"/>
    <w:rsid w:val="001C6AAB"/>
    <w:rsid w:val="001C6AE0"/>
    <w:rsid w:val="001C6B50"/>
    <w:rsid w:val="001C6C55"/>
    <w:rsid w:val="001C70EB"/>
    <w:rsid w:val="001C7330"/>
    <w:rsid w:val="001C7368"/>
    <w:rsid w:val="001C778F"/>
    <w:rsid w:val="001C7909"/>
    <w:rsid w:val="001C7A23"/>
    <w:rsid w:val="001C7A82"/>
    <w:rsid w:val="001C7AE7"/>
    <w:rsid w:val="001C7C91"/>
    <w:rsid w:val="001C7E5E"/>
    <w:rsid w:val="001C7F13"/>
    <w:rsid w:val="001D0140"/>
    <w:rsid w:val="001D021A"/>
    <w:rsid w:val="001D03AD"/>
    <w:rsid w:val="001D046C"/>
    <w:rsid w:val="001D0778"/>
    <w:rsid w:val="001D07CF"/>
    <w:rsid w:val="001D0985"/>
    <w:rsid w:val="001D0BEB"/>
    <w:rsid w:val="001D0C91"/>
    <w:rsid w:val="001D112C"/>
    <w:rsid w:val="001D165E"/>
    <w:rsid w:val="001D1689"/>
    <w:rsid w:val="001D1980"/>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8A8"/>
    <w:rsid w:val="001D5E02"/>
    <w:rsid w:val="001D6001"/>
    <w:rsid w:val="001D606E"/>
    <w:rsid w:val="001D614E"/>
    <w:rsid w:val="001D6399"/>
    <w:rsid w:val="001D6496"/>
    <w:rsid w:val="001D66FE"/>
    <w:rsid w:val="001D6988"/>
    <w:rsid w:val="001D7003"/>
    <w:rsid w:val="001D709A"/>
    <w:rsid w:val="001D73D2"/>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8C"/>
    <w:rsid w:val="001E3DFC"/>
    <w:rsid w:val="001E4118"/>
    <w:rsid w:val="001E437E"/>
    <w:rsid w:val="001E43E2"/>
    <w:rsid w:val="001E447D"/>
    <w:rsid w:val="001E4950"/>
    <w:rsid w:val="001E4ED1"/>
    <w:rsid w:val="001E5295"/>
    <w:rsid w:val="001E54DC"/>
    <w:rsid w:val="001E5BED"/>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2D4E"/>
    <w:rsid w:val="001F306D"/>
    <w:rsid w:val="001F3246"/>
    <w:rsid w:val="001F3530"/>
    <w:rsid w:val="001F3673"/>
    <w:rsid w:val="001F36AF"/>
    <w:rsid w:val="001F385D"/>
    <w:rsid w:val="001F3C79"/>
    <w:rsid w:val="001F3D72"/>
    <w:rsid w:val="001F3FA4"/>
    <w:rsid w:val="001F3FAF"/>
    <w:rsid w:val="001F4141"/>
    <w:rsid w:val="001F437A"/>
    <w:rsid w:val="001F4382"/>
    <w:rsid w:val="001F443D"/>
    <w:rsid w:val="001F446B"/>
    <w:rsid w:val="001F448E"/>
    <w:rsid w:val="001F4559"/>
    <w:rsid w:val="001F4C73"/>
    <w:rsid w:val="001F5147"/>
    <w:rsid w:val="001F5191"/>
    <w:rsid w:val="001F5251"/>
    <w:rsid w:val="001F52D4"/>
    <w:rsid w:val="001F5318"/>
    <w:rsid w:val="001F536F"/>
    <w:rsid w:val="001F5482"/>
    <w:rsid w:val="001F5484"/>
    <w:rsid w:val="001F584C"/>
    <w:rsid w:val="001F5D74"/>
    <w:rsid w:val="001F6084"/>
    <w:rsid w:val="001F61FB"/>
    <w:rsid w:val="001F6337"/>
    <w:rsid w:val="001F6533"/>
    <w:rsid w:val="001F68EE"/>
    <w:rsid w:val="001F68FD"/>
    <w:rsid w:val="001F6946"/>
    <w:rsid w:val="001F6CEE"/>
    <w:rsid w:val="001F6F41"/>
    <w:rsid w:val="001F705A"/>
    <w:rsid w:val="001F70CA"/>
    <w:rsid w:val="001F71D8"/>
    <w:rsid w:val="001F7249"/>
    <w:rsid w:val="001F7495"/>
    <w:rsid w:val="001F75CA"/>
    <w:rsid w:val="001F76B3"/>
    <w:rsid w:val="001F76CF"/>
    <w:rsid w:val="001F76EC"/>
    <w:rsid w:val="001F77FE"/>
    <w:rsid w:val="001F78C7"/>
    <w:rsid w:val="001F7959"/>
    <w:rsid w:val="001F7A9B"/>
    <w:rsid w:val="001F7B35"/>
    <w:rsid w:val="001F7D75"/>
    <w:rsid w:val="001F7E2B"/>
    <w:rsid w:val="0020047F"/>
    <w:rsid w:val="0020059F"/>
    <w:rsid w:val="002005BB"/>
    <w:rsid w:val="00200896"/>
    <w:rsid w:val="002008C8"/>
    <w:rsid w:val="00200FFD"/>
    <w:rsid w:val="00201195"/>
    <w:rsid w:val="002013FB"/>
    <w:rsid w:val="0020150D"/>
    <w:rsid w:val="00201870"/>
    <w:rsid w:val="002019EA"/>
    <w:rsid w:val="002021B4"/>
    <w:rsid w:val="00202316"/>
    <w:rsid w:val="002023D4"/>
    <w:rsid w:val="00202B06"/>
    <w:rsid w:val="00202B44"/>
    <w:rsid w:val="00203009"/>
    <w:rsid w:val="00203118"/>
    <w:rsid w:val="00203153"/>
    <w:rsid w:val="002033CB"/>
    <w:rsid w:val="002034C2"/>
    <w:rsid w:val="00203726"/>
    <w:rsid w:val="00203A4A"/>
    <w:rsid w:val="00203BF8"/>
    <w:rsid w:val="00203DAD"/>
    <w:rsid w:val="00203E7F"/>
    <w:rsid w:val="002042EA"/>
    <w:rsid w:val="00204728"/>
    <w:rsid w:val="00204761"/>
    <w:rsid w:val="002047C4"/>
    <w:rsid w:val="00204865"/>
    <w:rsid w:val="00204E72"/>
    <w:rsid w:val="00204FA5"/>
    <w:rsid w:val="00205CED"/>
    <w:rsid w:val="00205D16"/>
    <w:rsid w:val="00205F4E"/>
    <w:rsid w:val="00205F94"/>
    <w:rsid w:val="00206410"/>
    <w:rsid w:val="00206722"/>
    <w:rsid w:val="00206A04"/>
    <w:rsid w:val="00206BE4"/>
    <w:rsid w:val="00206D3E"/>
    <w:rsid w:val="00206D5B"/>
    <w:rsid w:val="002074D2"/>
    <w:rsid w:val="0020761E"/>
    <w:rsid w:val="002077D3"/>
    <w:rsid w:val="002078ED"/>
    <w:rsid w:val="00207913"/>
    <w:rsid w:val="002079D2"/>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701"/>
    <w:rsid w:val="002139C6"/>
    <w:rsid w:val="00213B0D"/>
    <w:rsid w:val="00213B31"/>
    <w:rsid w:val="00213EC0"/>
    <w:rsid w:val="00213EE0"/>
    <w:rsid w:val="00213EE5"/>
    <w:rsid w:val="00214137"/>
    <w:rsid w:val="002141E2"/>
    <w:rsid w:val="00214368"/>
    <w:rsid w:val="00214B2B"/>
    <w:rsid w:val="00214F86"/>
    <w:rsid w:val="00214FA6"/>
    <w:rsid w:val="0021509C"/>
    <w:rsid w:val="002152AD"/>
    <w:rsid w:val="00215476"/>
    <w:rsid w:val="0021554A"/>
    <w:rsid w:val="0021565E"/>
    <w:rsid w:val="00215797"/>
    <w:rsid w:val="00215ADF"/>
    <w:rsid w:val="00215E8C"/>
    <w:rsid w:val="0021618E"/>
    <w:rsid w:val="002161B4"/>
    <w:rsid w:val="00216642"/>
    <w:rsid w:val="002166AF"/>
    <w:rsid w:val="002167D9"/>
    <w:rsid w:val="00216A22"/>
    <w:rsid w:val="00216E53"/>
    <w:rsid w:val="00216EEC"/>
    <w:rsid w:val="0021703E"/>
    <w:rsid w:val="00217445"/>
    <w:rsid w:val="0021798F"/>
    <w:rsid w:val="00217C37"/>
    <w:rsid w:val="00217CB8"/>
    <w:rsid w:val="00217E13"/>
    <w:rsid w:val="00217E62"/>
    <w:rsid w:val="00217EA8"/>
    <w:rsid w:val="0022004D"/>
    <w:rsid w:val="002202FE"/>
    <w:rsid w:val="00220349"/>
    <w:rsid w:val="00220562"/>
    <w:rsid w:val="0022057E"/>
    <w:rsid w:val="002205C8"/>
    <w:rsid w:val="0022063E"/>
    <w:rsid w:val="00220796"/>
    <w:rsid w:val="002207A1"/>
    <w:rsid w:val="002209DC"/>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D2A"/>
    <w:rsid w:val="00221E82"/>
    <w:rsid w:val="00221EA7"/>
    <w:rsid w:val="00222202"/>
    <w:rsid w:val="00222706"/>
    <w:rsid w:val="0022274D"/>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62C"/>
    <w:rsid w:val="002256A6"/>
    <w:rsid w:val="00225CC1"/>
    <w:rsid w:val="00225D5A"/>
    <w:rsid w:val="00225D96"/>
    <w:rsid w:val="00225DBE"/>
    <w:rsid w:val="0022619D"/>
    <w:rsid w:val="00226217"/>
    <w:rsid w:val="0022656B"/>
    <w:rsid w:val="00226831"/>
    <w:rsid w:val="00226BA4"/>
    <w:rsid w:val="00226CDA"/>
    <w:rsid w:val="00226E2D"/>
    <w:rsid w:val="00226F38"/>
    <w:rsid w:val="00226FD1"/>
    <w:rsid w:val="0022737E"/>
    <w:rsid w:val="00227679"/>
    <w:rsid w:val="00227B21"/>
    <w:rsid w:val="00227BC9"/>
    <w:rsid w:val="0023086D"/>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A0B"/>
    <w:rsid w:val="00232EAF"/>
    <w:rsid w:val="0023302F"/>
    <w:rsid w:val="002332CE"/>
    <w:rsid w:val="002334AF"/>
    <w:rsid w:val="0023385B"/>
    <w:rsid w:val="002339B5"/>
    <w:rsid w:val="00233BE4"/>
    <w:rsid w:val="00233CFD"/>
    <w:rsid w:val="00233DA6"/>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612"/>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60"/>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76F"/>
    <w:rsid w:val="00244840"/>
    <w:rsid w:val="00244CC6"/>
    <w:rsid w:val="00244D86"/>
    <w:rsid w:val="00244E3D"/>
    <w:rsid w:val="00245223"/>
    <w:rsid w:val="0024539F"/>
    <w:rsid w:val="002454AE"/>
    <w:rsid w:val="00245564"/>
    <w:rsid w:val="002455C7"/>
    <w:rsid w:val="00245972"/>
    <w:rsid w:val="00245BAA"/>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1B7"/>
    <w:rsid w:val="00256234"/>
    <w:rsid w:val="00256587"/>
    <w:rsid w:val="002565FB"/>
    <w:rsid w:val="0025662A"/>
    <w:rsid w:val="00256B21"/>
    <w:rsid w:val="00256DC3"/>
    <w:rsid w:val="00256FCA"/>
    <w:rsid w:val="002570CA"/>
    <w:rsid w:val="0025735E"/>
    <w:rsid w:val="00257615"/>
    <w:rsid w:val="0025784D"/>
    <w:rsid w:val="0025796D"/>
    <w:rsid w:val="00257BBD"/>
    <w:rsid w:val="00257E67"/>
    <w:rsid w:val="00257EAF"/>
    <w:rsid w:val="00257EC6"/>
    <w:rsid w:val="00257ED6"/>
    <w:rsid w:val="00260201"/>
    <w:rsid w:val="00260264"/>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8C6"/>
    <w:rsid w:val="0026296A"/>
    <w:rsid w:val="00262A15"/>
    <w:rsid w:val="00262CA4"/>
    <w:rsid w:val="00262D30"/>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7FD"/>
    <w:rsid w:val="00266A1C"/>
    <w:rsid w:val="00266BF6"/>
    <w:rsid w:val="0026712C"/>
    <w:rsid w:val="00267217"/>
    <w:rsid w:val="00267471"/>
    <w:rsid w:val="002674BB"/>
    <w:rsid w:val="002675BA"/>
    <w:rsid w:val="00267698"/>
    <w:rsid w:val="0026796B"/>
    <w:rsid w:val="00267CFA"/>
    <w:rsid w:val="00267E37"/>
    <w:rsid w:val="00267E98"/>
    <w:rsid w:val="002701E5"/>
    <w:rsid w:val="0027033A"/>
    <w:rsid w:val="0027037A"/>
    <w:rsid w:val="00270464"/>
    <w:rsid w:val="002708B8"/>
    <w:rsid w:val="00270954"/>
    <w:rsid w:val="00270AA7"/>
    <w:rsid w:val="00270B6C"/>
    <w:rsid w:val="00270EDE"/>
    <w:rsid w:val="00270F10"/>
    <w:rsid w:val="0027143A"/>
    <w:rsid w:val="00271927"/>
    <w:rsid w:val="00271B76"/>
    <w:rsid w:val="00271DC6"/>
    <w:rsid w:val="00271E9A"/>
    <w:rsid w:val="002720D3"/>
    <w:rsid w:val="0027225F"/>
    <w:rsid w:val="00272537"/>
    <w:rsid w:val="00272769"/>
    <w:rsid w:val="00272E7F"/>
    <w:rsid w:val="00273108"/>
    <w:rsid w:val="002731C8"/>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DC"/>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D8"/>
    <w:rsid w:val="002777C0"/>
    <w:rsid w:val="002777D6"/>
    <w:rsid w:val="00277856"/>
    <w:rsid w:val="00277AC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1EF"/>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79A"/>
    <w:rsid w:val="0028584C"/>
    <w:rsid w:val="0028596A"/>
    <w:rsid w:val="00285A13"/>
    <w:rsid w:val="00285C35"/>
    <w:rsid w:val="002860FB"/>
    <w:rsid w:val="002864B2"/>
    <w:rsid w:val="0028658C"/>
    <w:rsid w:val="002865ED"/>
    <w:rsid w:val="00286725"/>
    <w:rsid w:val="0028686B"/>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7F"/>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11"/>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247"/>
    <w:rsid w:val="00293497"/>
    <w:rsid w:val="00293919"/>
    <w:rsid w:val="002939AF"/>
    <w:rsid w:val="00293BA4"/>
    <w:rsid w:val="00293D57"/>
    <w:rsid w:val="00293F96"/>
    <w:rsid w:val="0029467E"/>
    <w:rsid w:val="00294B02"/>
    <w:rsid w:val="00294EEB"/>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B6E"/>
    <w:rsid w:val="00297C57"/>
    <w:rsid w:val="00297D32"/>
    <w:rsid w:val="002A00A1"/>
    <w:rsid w:val="002A01EE"/>
    <w:rsid w:val="002A0456"/>
    <w:rsid w:val="002A066E"/>
    <w:rsid w:val="002A084B"/>
    <w:rsid w:val="002A09EF"/>
    <w:rsid w:val="002A0D46"/>
    <w:rsid w:val="002A0E83"/>
    <w:rsid w:val="002A1511"/>
    <w:rsid w:val="002A158A"/>
    <w:rsid w:val="002A1691"/>
    <w:rsid w:val="002A17AF"/>
    <w:rsid w:val="002A1875"/>
    <w:rsid w:val="002A19C7"/>
    <w:rsid w:val="002A1DEE"/>
    <w:rsid w:val="002A20F8"/>
    <w:rsid w:val="002A22A7"/>
    <w:rsid w:val="002A2380"/>
    <w:rsid w:val="002A2416"/>
    <w:rsid w:val="002A24E2"/>
    <w:rsid w:val="002A24F2"/>
    <w:rsid w:val="002A285F"/>
    <w:rsid w:val="002A2FCD"/>
    <w:rsid w:val="002A30A1"/>
    <w:rsid w:val="002A3686"/>
    <w:rsid w:val="002A368A"/>
    <w:rsid w:val="002A39F2"/>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767"/>
    <w:rsid w:val="002A6B4C"/>
    <w:rsid w:val="002A6C81"/>
    <w:rsid w:val="002A6CB1"/>
    <w:rsid w:val="002A6CBC"/>
    <w:rsid w:val="002A6CFE"/>
    <w:rsid w:val="002A71C9"/>
    <w:rsid w:val="002A7544"/>
    <w:rsid w:val="002A77D7"/>
    <w:rsid w:val="002A7A0F"/>
    <w:rsid w:val="002A7A18"/>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D"/>
    <w:rsid w:val="002B2F36"/>
    <w:rsid w:val="002B3141"/>
    <w:rsid w:val="002B3228"/>
    <w:rsid w:val="002B3318"/>
    <w:rsid w:val="002B3342"/>
    <w:rsid w:val="002B3438"/>
    <w:rsid w:val="002B3532"/>
    <w:rsid w:val="002B3571"/>
    <w:rsid w:val="002B36C4"/>
    <w:rsid w:val="002B37A2"/>
    <w:rsid w:val="002B380B"/>
    <w:rsid w:val="002B389E"/>
    <w:rsid w:val="002B38E4"/>
    <w:rsid w:val="002B3C62"/>
    <w:rsid w:val="002B3DB6"/>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632"/>
    <w:rsid w:val="002B597F"/>
    <w:rsid w:val="002B59FD"/>
    <w:rsid w:val="002B5CEC"/>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7B"/>
    <w:rsid w:val="002C4310"/>
    <w:rsid w:val="002C43B0"/>
    <w:rsid w:val="002C4B7F"/>
    <w:rsid w:val="002C4DED"/>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513"/>
    <w:rsid w:val="002C6639"/>
    <w:rsid w:val="002C6EB7"/>
    <w:rsid w:val="002C7061"/>
    <w:rsid w:val="002C7161"/>
    <w:rsid w:val="002C7612"/>
    <w:rsid w:val="002C7638"/>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4C0"/>
    <w:rsid w:val="002D159C"/>
    <w:rsid w:val="002D18BC"/>
    <w:rsid w:val="002D19F8"/>
    <w:rsid w:val="002D1A90"/>
    <w:rsid w:val="002D1C06"/>
    <w:rsid w:val="002D20B0"/>
    <w:rsid w:val="002D2146"/>
    <w:rsid w:val="002D21DF"/>
    <w:rsid w:val="002D29D1"/>
    <w:rsid w:val="002D2ADC"/>
    <w:rsid w:val="002D2C1E"/>
    <w:rsid w:val="002D2EDC"/>
    <w:rsid w:val="002D32D9"/>
    <w:rsid w:val="002D336F"/>
    <w:rsid w:val="002D3492"/>
    <w:rsid w:val="002D34C5"/>
    <w:rsid w:val="002D35AE"/>
    <w:rsid w:val="002D35E1"/>
    <w:rsid w:val="002D3617"/>
    <w:rsid w:val="002D36E6"/>
    <w:rsid w:val="002D38EE"/>
    <w:rsid w:val="002D3A4F"/>
    <w:rsid w:val="002D3C77"/>
    <w:rsid w:val="002D3CD6"/>
    <w:rsid w:val="002D3D98"/>
    <w:rsid w:val="002D3EC4"/>
    <w:rsid w:val="002D4101"/>
    <w:rsid w:val="002D42B7"/>
    <w:rsid w:val="002D4461"/>
    <w:rsid w:val="002D451D"/>
    <w:rsid w:val="002D480F"/>
    <w:rsid w:val="002D4A67"/>
    <w:rsid w:val="002D4A89"/>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4190"/>
    <w:rsid w:val="002E421F"/>
    <w:rsid w:val="002E4257"/>
    <w:rsid w:val="002E4723"/>
    <w:rsid w:val="002E4E06"/>
    <w:rsid w:val="002E4E8F"/>
    <w:rsid w:val="002E51A3"/>
    <w:rsid w:val="002E54A1"/>
    <w:rsid w:val="002E5586"/>
    <w:rsid w:val="002E5875"/>
    <w:rsid w:val="002E58BE"/>
    <w:rsid w:val="002E59B7"/>
    <w:rsid w:val="002E5B88"/>
    <w:rsid w:val="002E5CB0"/>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332"/>
    <w:rsid w:val="002F0A22"/>
    <w:rsid w:val="002F0B08"/>
    <w:rsid w:val="002F0C1C"/>
    <w:rsid w:val="002F0C94"/>
    <w:rsid w:val="002F0D4F"/>
    <w:rsid w:val="002F0DBD"/>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35"/>
    <w:rsid w:val="002F5CD4"/>
    <w:rsid w:val="002F5E41"/>
    <w:rsid w:val="002F5E52"/>
    <w:rsid w:val="002F5F34"/>
    <w:rsid w:val="002F5FDE"/>
    <w:rsid w:val="002F608B"/>
    <w:rsid w:val="002F621F"/>
    <w:rsid w:val="002F633C"/>
    <w:rsid w:val="002F6691"/>
    <w:rsid w:val="002F6743"/>
    <w:rsid w:val="002F6802"/>
    <w:rsid w:val="002F68F5"/>
    <w:rsid w:val="002F6D58"/>
    <w:rsid w:val="002F6DD1"/>
    <w:rsid w:val="002F707C"/>
    <w:rsid w:val="002F736A"/>
    <w:rsid w:val="002F736E"/>
    <w:rsid w:val="002F75A3"/>
    <w:rsid w:val="002F7639"/>
    <w:rsid w:val="002F764A"/>
    <w:rsid w:val="002F7664"/>
    <w:rsid w:val="002F77D1"/>
    <w:rsid w:val="002F77EC"/>
    <w:rsid w:val="002F7B45"/>
    <w:rsid w:val="002F7B4D"/>
    <w:rsid w:val="002F7EEB"/>
    <w:rsid w:val="002F7F33"/>
    <w:rsid w:val="002F7F95"/>
    <w:rsid w:val="003003E9"/>
    <w:rsid w:val="00300607"/>
    <w:rsid w:val="00300BFC"/>
    <w:rsid w:val="00300CAB"/>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495"/>
    <w:rsid w:val="0030260C"/>
    <w:rsid w:val="00302672"/>
    <w:rsid w:val="00302810"/>
    <w:rsid w:val="00302A19"/>
    <w:rsid w:val="00302ABD"/>
    <w:rsid w:val="00302B9C"/>
    <w:rsid w:val="00302C70"/>
    <w:rsid w:val="00302D01"/>
    <w:rsid w:val="00302E86"/>
    <w:rsid w:val="00302EE2"/>
    <w:rsid w:val="003032C7"/>
    <w:rsid w:val="003034FA"/>
    <w:rsid w:val="0030370E"/>
    <w:rsid w:val="003037A4"/>
    <w:rsid w:val="003039E6"/>
    <w:rsid w:val="00303A1D"/>
    <w:rsid w:val="00303AB7"/>
    <w:rsid w:val="00303E6A"/>
    <w:rsid w:val="00304335"/>
    <w:rsid w:val="0030441F"/>
    <w:rsid w:val="00304454"/>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E92"/>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81D"/>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642"/>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8"/>
    <w:rsid w:val="00330D71"/>
    <w:rsid w:val="00330E85"/>
    <w:rsid w:val="003315DC"/>
    <w:rsid w:val="00331758"/>
    <w:rsid w:val="00331C19"/>
    <w:rsid w:val="00331F7B"/>
    <w:rsid w:val="00332228"/>
    <w:rsid w:val="003322B4"/>
    <w:rsid w:val="003322E8"/>
    <w:rsid w:val="003325BF"/>
    <w:rsid w:val="003325EB"/>
    <w:rsid w:val="003325F4"/>
    <w:rsid w:val="003327DF"/>
    <w:rsid w:val="00332908"/>
    <w:rsid w:val="00332A0B"/>
    <w:rsid w:val="00332B3E"/>
    <w:rsid w:val="00332B90"/>
    <w:rsid w:val="00332FC3"/>
    <w:rsid w:val="00333157"/>
    <w:rsid w:val="00333502"/>
    <w:rsid w:val="00333541"/>
    <w:rsid w:val="00333553"/>
    <w:rsid w:val="00333681"/>
    <w:rsid w:val="003336C3"/>
    <w:rsid w:val="0033386E"/>
    <w:rsid w:val="00333914"/>
    <w:rsid w:val="003339D6"/>
    <w:rsid w:val="00333F89"/>
    <w:rsid w:val="00333FB1"/>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D2D"/>
    <w:rsid w:val="00336E3F"/>
    <w:rsid w:val="00336F09"/>
    <w:rsid w:val="00336F39"/>
    <w:rsid w:val="00337009"/>
    <w:rsid w:val="00337349"/>
    <w:rsid w:val="00337354"/>
    <w:rsid w:val="00337785"/>
    <w:rsid w:val="00337934"/>
    <w:rsid w:val="00337B5A"/>
    <w:rsid w:val="00337C7B"/>
    <w:rsid w:val="00337D1D"/>
    <w:rsid w:val="00337FC4"/>
    <w:rsid w:val="00340245"/>
    <w:rsid w:val="0034060B"/>
    <w:rsid w:val="0034065D"/>
    <w:rsid w:val="00340888"/>
    <w:rsid w:val="00340B47"/>
    <w:rsid w:val="00341185"/>
    <w:rsid w:val="0034179B"/>
    <w:rsid w:val="00341A17"/>
    <w:rsid w:val="00341A8B"/>
    <w:rsid w:val="00341CFB"/>
    <w:rsid w:val="00341E81"/>
    <w:rsid w:val="003421D1"/>
    <w:rsid w:val="0034225D"/>
    <w:rsid w:val="003426DD"/>
    <w:rsid w:val="00342785"/>
    <w:rsid w:val="003428E8"/>
    <w:rsid w:val="00342B67"/>
    <w:rsid w:val="00342C1D"/>
    <w:rsid w:val="00343098"/>
    <w:rsid w:val="00343567"/>
    <w:rsid w:val="003435AD"/>
    <w:rsid w:val="0034386E"/>
    <w:rsid w:val="00343CCD"/>
    <w:rsid w:val="00343EB4"/>
    <w:rsid w:val="00343F1C"/>
    <w:rsid w:val="00344001"/>
    <w:rsid w:val="0034434F"/>
    <w:rsid w:val="003445C2"/>
    <w:rsid w:val="003445D6"/>
    <w:rsid w:val="00344893"/>
    <w:rsid w:val="00344CA2"/>
    <w:rsid w:val="00344E50"/>
    <w:rsid w:val="003453C4"/>
    <w:rsid w:val="00345469"/>
    <w:rsid w:val="0034581F"/>
    <w:rsid w:val="00345A10"/>
    <w:rsid w:val="00345F57"/>
    <w:rsid w:val="003460FF"/>
    <w:rsid w:val="00346218"/>
    <w:rsid w:val="00346850"/>
    <w:rsid w:val="003469F1"/>
    <w:rsid w:val="00346B32"/>
    <w:rsid w:val="00346C45"/>
    <w:rsid w:val="00346CDC"/>
    <w:rsid w:val="00346D1A"/>
    <w:rsid w:val="00346E2B"/>
    <w:rsid w:val="00346FDB"/>
    <w:rsid w:val="00347095"/>
    <w:rsid w:val="0034761D"/>
    <w:rsid w:val="00347954"/>
    <w:rsid w:val="00347ACA"/>
    <w:rsid w:val="00347BB1"/>
    <w:rsid w:val="00347D36"/>
    <w:rsid w:val="00347D5F"/>
    <w:rsid w:val="00347FF3"/>
    <w:rsid w:val="003500E9"/>
    <w:rsid w:val="00350101"/>
    <w:rsid w:val="00350290"/>
    <w:rsid w:val="003503B3"/>
    <w:rsid w:val="003504AD"/>
    <w:rsid w:val="00350504"/>
    <w:rsid w:val="00350663"/>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22"/>
    <w:rsid w:val="00352DC3"/>
    <w:rsid w:val="00352DF4"/>
    <w:rsid w:val="00352E5C"/>
    <w:rsid w:val="0035318F"/>
    <w:rsid w:val="003531A5"/>
    <w:rsid w:val="00353263"/>
    <w:rsid w:val="003532EF"/>
    <w:rsid w:val="003533C1"/>
    <w:rsid w:val="00353486"/>
    <w:rsid w:val="00353578"/>
    <w:rsid w:val="0035376A"/>
    <w:rsid w:val="00353953"/>
    <w:rsid w:val="003539D4"/>
    <w:rsid w:val="00353B20"/>
    <w:rsid w:val="00353B47"/>
    <w:rsid w:val="00353BBB"/>
    <w:rsid w:val="00353E92"/>
    <w:rsid w:val="00353FA0"/>
    <w:rsid w:val="00354029"/>
    <w:rsid w:val="00354272"/>
    <w:rsid w:val="00354532"/>
    <w:rsid w:val="00354759"/>
    <w:rsid w:val="003550CA"/>
    <w:rsid w:val="00355184"/>
    <w:rsid w:val="003552A4"/>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ED"/>
    <w:rsid w:val="003610BA"/>
    <w:rsid w:val="003611CD"/>
    <w:rsid w:val="003611D0"/>
    <w:rsid w:val="003611EB"/>
    <w:rsid w:val="00361229"/>
    <w:rsid w:val="0036146B"/>
    <w:rsid w:val="00361558"/>
    <w:rsid w:val="00361674"/>
    <w:rsid w:val="003616CD"/>
    <w:rsid w:val="003617D6"/>
    <w:rsid w:val="00361A16"/>
    <w:rsid w:val="00361B86"/>
    <w:rsid w:val="00361D07"/>
    <w:rsid w:val="00361E23"/>
    <w:rsid w:val="00361F38"/>
    <w:rsid w:val="00361FDF"/>
    <w:rsid w:val="003622AC"/>
    <w:rsid w:val="00362303"/>
    <w:rsid w:val="0036251F"/>
    <w:rsid w:val="00362BEA"/>
    <w:rsid w:val="00362DBD"/>
    <w:rsid w:val="00362F4E"/>
    <w:rsid w:val="00362F81"/>
    <w:rsid w:val="0036303C"/>
    <w:rsid w:val="00363098"/>
    <w:rsid w:val="0036320F"/>
    <w:rsid w:val="00363307"/>
    <w:rsid w:val="0036371D"/>
    <w:rsid w:val="00363886"/>
    <w:rsid w:val="003648EB"/>
    <w:rsid w:val="00364CF8"/>
    <w:rsid w:val="00364DBC"/>
    <w:rsid w:val="00364EE4"/>
    <w:rsid w:val="003650DB"/>
    <w:rsid w:val="003650E4"/>
    <w:rsid w:val="00365318"/>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65"/>
    <w:rsid w:val="003723CB"/>
    <w:rsid w:val="0037249A"/>
    <w:rsid w:val="003725BC"/>
    <w:rsid w:val="003729BC"/>
    <w:rsid w:val="00372A01"/>
    <w:rsid w:val="003732B2"/>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6D2"/>
    <w:rsid w:val="00374704"/>
    <w:rsid w:val="0037470C"/>
    <w:rsid w:val="0037474E"/>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EDB"/>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7EF"/>
    <w:rsid w:val="00377AA4"/>
    <w:rsid w:val="00377AC7"/>
    <w:rsid w:val="00377DE5"/>
    <w:rsid w:val="00377E36"/>
    <w:rsid w:val="00377F4C"/>
    <w:rsid w:val="00377F7E"/>
    <w:rsid w:val="00380483"/>
    <w:rsid w:val="00380501"/>
    <w:rsid w:val="0038054E"/>
    <w:rsid w:val="00380689"/>
    <w:rsid w:val="00380837"/>
    <w:rsid w:val="00380873"/>
    <w:rsid w:val="003808E4"/>
    <w:rsid w:val="00380CB6"/>
    <w:rsid w:val="00380D14"/>
    <w:rsid w:val="00380D52"/>
    <w:rsid w:val="0038130C"/>
    <w:rsid w:val="003818E3"/>
    <w:rsid w:val="00381A9B"/>
    <w:rsid w:val="00381AF0"/>
    <w:rsid w:val="00381F0C"/>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609"/>
    <w:rsid w:val="00384959"/>
    <w:rsid w:val="00384B20"/>
    <w:rsid w:val="00384BD4"/>
    <w:rsid w:val="00384EB1"/>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32"/>
    <w:rsid w:val="00386B70"/>
    <w:rsid w:val="00386F4D"/>
    <w:rsid w:val="003871C9"/>
    <w:rsid w:val="003872CF"/>
    <w:rsid w:val="00387658"/>
    <w:rsid w:val="00387682"/>
    <w:rsid w:val="00387694"/>
    <w:rsid w:val="003877C9"/>
    <w:rsid w:val="00387A89"/>
    <w:rsid w:val="00387CD7"/>
    <w:rsid w:val="00390019"/>
    <w:rsid w:val="0039043F"/>
    <w:rsid w:val="00390A07"/>
    <w:rsid w:val="00390AB5"/>
    <w:rsid w:val="00390C2B"/>
    <w:rsid w:val="00390E48"/>
    <w:rsid w:val="00390FD1"/>
    <w:rsid w:val="00391086"/>
    <w:rsid w:val="0039118A"/>
    <w:rsid w:val="0039132D"/>
    <w:rsid w:val="00391638"/>
    <w:rsid w:val="00391779"/>
    <w:rsid w:val="003917E3"/>
    <w:rsid w:val="00391CA6"/>
    <w:rsid w:val="003920CB"/>
    <w:rsid w:val="0039213A"/>
    <w:rsid w:val="003921D2"/>
    <w:rsid w:val="0039230A"/>
    <w:rsid w:val="00392327"/>
    <w:rsid w:val="00392353"/>
    <w:rsid w:val="0039239D"/>
    <w:rsid w:val="003924B2"/>
    <w:rsid w:val="003926DC"/>
    <w:rsid w:val="00392A9A"/>
    <w:rsid w:val="00392ABD"/>
    <w:rsid w:val="00392FB8"/>
    <w:rsid w:val="0039307C"/>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C2D"/>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9BD"/>
    <w:rsid w:val="003B7A48"/>
    <w:rsid w:val="003B7B10"/>
    <w:rsid w:val="003B7C00"/>
    <w:rsid w:val="003B7C13"/>
    <w:rsid w:val="003B7FC9"/>
    <w:rsid w:val="003C00E2"/>
    <w:rsid w:val="003C02EC"/>
    <w:rsid w:val="003C04AB"/>
    <w:rsid w:val="003C04B8"/>
    <w:rsid w:val="003C052A"/>
    <w:rsid w:val="003C0915"/>
    <w:rsid w:val="003C0D7F"/>
    <w:rsid w:val="003C0E4E"/>
    <w:rsid w:val="003C12A0"/>
    <w:rsid w:val="003C1550"/>
    <w:rsid w:val="003C159E"/>
    <w:rsid w:val="003C169B"/>
    <w:rsid w:val="003C19B8"/>
    <w:rsid w:val="003C19E0"/>
    <w:rsid w:val="003C1CAF"/>
    <w:rsid w:val="003C23D6"/>
    <w:rsid w:val="003C23E4"/>
    <w:rsid w:val="003C2415"/>
    <w:rsid w:val="003C248A"/>
    <w:rsid w:val="003C264D"/>
    <w:rsid w:val="003C2A7B"/>
    <w:rsid w:val="003C2B3C"/>
    <w:rsid w:val="003C3747"/>
    <w:rsid w:val="003C3B28"/>
    <w:rsid w:val="003C40BF"/>
    <w:rsid w:val="003C412E"/>
    <w:rsid w:val="003C417A"/>
    <w:rsid w:val="003C43A6"/>
    <w:rsid w:val="003C43D1"/>
    <w:rsid w:val="003C4515"/>
    <w:rsid w:val="003C4AD7"/>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397"/>
    <w:rsid w:val="003D13BC"/>
    <w:rsid w:val="003D1419"/>
    <w:rsid w:val="003D17A4"/>
    <w:rsid w:val="003D1835"/>
    <w:rsid w:val="003D1C9B"/>
    <w:rsid w:val="003D1CAC"/>
    <w:rsid w:val="003D1DAB"/>
    <w:rsid w:val="003D1F1E"/>
    <w:rsid w:val="003D1FF0"/>
    <w:rsid w:val="003D20F2"/>
    <w:rsid w:val="003D222C"/>
    <w:rsid w:val="003D26A9"/>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CD3"/>
    <w:rsid w:val="003D3CF9"/>
    <w:rsid w:val="003D3D3D"/>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389"/>
    <w:rsid w:val="003D575F"/>
    <w:rsid w:val="003D5875"/>
    <w:rsid w:val="003D58D6"/>
    <w:rsid w:val="003D59FB"/>
    <w:rsid w:val="003D5ABC"/>
    <w:rsid w:val="003D5AE6"/>
    <w:rsid w:val="003D5DEC"/>
    <w:rsid w:val="003D5FE3"/>
    <w:rsid w:val="003D6498"/>
    <w:rsid w:val="003D6899"/>
    <w:rsid w:val="003D6984"/>
    <w:rsid w:val="003D6B8C"/>
    <w:rsid w:val="003D6C7D"/>
    <w:rsid w:val="003D7368"/>
    <w:rsid w:val="003D7589"/>
    <w:rsid w:val="003D775F"/>
    <w:rsid w:val="003D7A34"/>
    <w:rsid w:val="003D7A93"/>
    <w:rsid w:val="003D7AB7"/>
    <w:rsid w:val="003D7BA7"/>
    <w:rsid w:val="003E0153"/>
    <w:rsid w:val="003E051D"/>
    <w:rsid w:val="003E05FE"/>
    <w:rsid w:val="003E0641"/>
    <w:rsid w:val="003E0645"/>
    <w:rsid w:val="003E06E1"/>
    <w:rsid w:val="003E0902"/>
    <w:rsid w:val="003E119D"/>
    <w:rsid w:val="003E1223"/>
    <w:rsid w:val="003E12C2"/>
    <w:rsid w:val="003E135D"/>
    <w:rsid w:val="003E1520"/>
    <w:rsid w:val="003E17E4"/>
    <w:rsid w:val="003E1DC8"/>
    <w:rsid w:val="003E21A8"/>
    <w:rsid w:val="003E22EF"/>
    <w:rsid w:val="003E281C"/>
    <w:rsid w:val="003E292E"/>
    <w:rsid w:val="003E2A2E"/>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5FC"/>
    <w:rsid w:val="003E778B"/>
    <w:rsid w:val="003E78F0"/>
    <w:rsid w:val="003E792A"/>
    <w:rsid w:val="003E7BD4"/>
    <w:rsid w:val="003F0228"/>
    <w:rsid w:val="003F022F"/>
    <w:rsid w:val="003F0461"/>
    <w:rsid w:val="003F071F"/>
    <w:rsid w:val="003F0781"/>
    <w:rsid w:val="003F07E2"/>
    <w:rsid w:val="003F0A92"/>
    <w:rsid w:val="003F0C88"/>
    <w:rsid w:val="003F0D04"/>
    <w:rsid w:val="003F122D"/>
    <w:rsid w:val="003F14D8"/>
    <w:rsid w:val="003F158D"/>
    <w:rsid w:val="003F1718"/>
    <w:rsid w:val="003F2191"/>
    <w:rsid w:val="003F21E4"/>
    <w:rsid w:val="003F2AAB"/>
    <w:rsid w:val="003F2BC0"/>
    <w:rsid w:val="003F2D0B"/>
    <w:rsid w:val="003F2E4F"/>
    <w:rsid w:val="003F306A"/>
    <w:rsid w:val="003F3126"/>
    <w:rsid w:val="003F31C1"/>
    <w:rsid w:val="003F3204"/>
    <w:rsid w:val="003F34D0"/>
    <w:rsid w:val="003F3583"/>
    <w:rsid w:val="003F35C9"/>
    <w:rsid w:val="003F36A6"/>
    <w:rsid w:val="003F3847"/>
    <w:rsid w:val="003F3888"/>
    <w:rsid w:val="003F3DC8"/>
    <w:rsid w:val="003F3F77"/>
    <w:rsid w:val="003F4362"/>
    <w:rsid w:val="003F479B"/>
    <w:rsid w:val="003F4827"/>
    <w:rsid w:val="003F4839"/>
    <w:rsid w:val="003F4843"/>
    <w:rsid w:val="003F4950"/>
    <w:rsid w:val="003F4AF4"/>
    <w:rsid w:val="003F4BC8"/>
    <w:rsid w:val="003F4E62"/>
    <w:rsid w:val="003F4F42"/>
    <w:rsid w:val="003F5537"/>
    <w:rsid w:val="003F55BE"/>
    <w:rsid w:val="003F583E"/>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C82"/>
    <w:rsid w:val="00406D6D"/>
    <w:rsid w:val="00406DB3"/>
    <w:rsid w:val="004072D4"/>
    <w:rsid w:val="0040762C"/>
    <w:rsid w:val="004076C9"/>
    <w:rsid w:val="00407728"/>
    <w:rsid w:val="00407796"/>
    <w:rsid w:val="00407A48"/>
    <w:rsid w:val="00407B86"/>
    <w:rsid w:val="004100CC"/>
    <w:rsid w:val="004100F9"/>
    <w:rsid w:val="00410544"/>
    <w:rsid w:val="0041090A"/>
    <w:rsid w:val="004109BA"/>
    <w:rsid w:val="00410B05"/>
    <w:rsid w:val="00410C20"/>
    <w:rsid w:val="00410CEA"/>
    <w:rsid w:val="00410E28"/>
    <w:rsid w:val="004111AB"/>
    <w:rsid w:val="004112C2"/>
    <w:rsid w:val="0041152A"/>
    <w:rsid w:val="004117C1"/>
    <w:rsid w:val="00411897"/>
    <w:rsid w:val="004118CE"/>
    <w:rsid w:val="004119FE"/>
    <w:rsid w:val="00411C38"/>
    <w:rsid w:val="00411E61"/>
    <w:rsid w:val="00411EE0"/>
    <w:rsid w:val="0041230E"/>
    <w:rsid w:val="00412715"/>
    <w:rsid w:val="00412768"/>
    <w:rsid w:val="00412CAE"/>
    <w:rsid w:val="0041333F"/>
    <w:rsid w:val="00413352"/>
    <w:rsid w:val="0041350D"/>
    <w:rsid w:val="00413546"/>
    <w:rsid w:val="00413562"/>
    <w:rsid w:val="00413AD8"/>
    <w:rsid w:val="00413EE1"/>
    <w:rsid w:val="00413FF3"/>
    <w:rsid w:val="0041402C"/>
    <w:rsid w:val="00414511"/>
    <w:rsid w:val="00414A6F"/>
    <w:rsid w:val="00414AEE"/>
    <w:rsid w:val="00414C26"/>
    <w:rsid w:val="00415122"/>
    <w:rsid w:val="004153BF"/>
    <w:rsid w:val="0041569A"/>
    <w:rsid w:val="004159FC"/>
    <w:rsid w:val="00415A6D"/>
    <w:rsid w:val="00415A87"/>
    <w:rsid w:val="00416492"/>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DC6"/>
    <w:rsid w:val="00420F35"/>
    <w:rsid w:val="00420FE6"/>
    <w:rsid w:val="004211D6"/>
    <w:rsid w:val="0042128D"/>
    <w:rsid w:val="00421484"/>
    <w:rsid w:val="004214DB"/>
    <w:rsid w:val="004215B8"/>
    <w:rsid w:val="00421BFB"/>
    <w:rsid w:val="00421D59"/>
    <w:rsid w:val="00421EB3"/>
    <w:rsid w:val="00422424"/>
    <w:rsid w:val="004226C2"/>
    <w:rsid w:val="004226E7"/>
    <w:rsid w:val="0042301A"/>
    <w:rsid w:val="00423170"/>
    <w:rsid w:val="004232CD"/>
    <w:rsid w:val="00423597"/>
    <w:rsid w:val="00423600"/>
    <w:rsid w:val="0042374E"/>
    <w:rsid w:val="004237FD"/>
    <w:rsid w:val="00423886"/>
    <w:rsid w:val="004239D8"/>
    <w:rsid w:val="00423B69"/>
    <w:rsid w:val="00423DA1"/>
    <w:rsid w:val="00424063"/>
    <w:rsid w:val="00424126"/>
    <w:rsid w:val="004241FD"/>
    <w:rsid w:val="004244C4"/>
    <w:rsid w:val="00424855"/>
    <w:rsid w:val="00424975"/>
    <w:rsid w:val="00424A5B"/>
    <w:rsid w:val="00424E92"/>
    <w:rsid w:val="004250B7"/>
    <w:rsid w:val="0042512C"/>
    <w:rsid w:val="00425318"/>
    <w:rsid w:val="00425693"/>
    <w:rsid w:val="004257F4"/>
    <w:rsid w:val="00425A07"/>
    <w:rsid w:val="00425A93"/>
    <w:rsid w:val="00425AF3"/>
    <w:rsid w:val="00425C32"/>
    <w:rsid w:val="00425E34"/>
    <w:rsid w:val="0042603B"/>
    <w:rsid w:val="0042619A"/>
    <w:rsid w:val="00426255"/>
    <w:rsid w:val="004262D9"/>
    <w:rsid w:val="004263FE"/>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2BA"/>
    <w:rsid w:val="004304C5"/>
    <w:rsid w:val="004305CC"/>
    <w:rsid w:val="004306C8"/>
    <w:rsid w:val="004306F8"/>
    <w:rsid w:val="00430815"/>
    <w:rsid w:val="00430BC1"/>
    <w:rsid w:val="00430BDB"/>
    <w:rsid w:val="004310B5"/>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C1"/>
    <w:rsid w:val="004336DF"/>
    <w:rsid w:val="00433978"/>
    <w:rsid w:val="00433B4F"/>
    <w:rsid w:val="00433CDD"/>
    <w:rsid w:val="00433E0B"/>
    <w:rsid w:val="0043405B"/>
    <w:rsid w:val="004340E0"/>
    <w:rsid w:val="004344B7"/>
    <w:rsid w:val="00434840"/>
    <w:rsid w:val="004348A3"/>
    <w:rsid w:val="0043498E"/>
    <w:rsid w:val="004349BF"/>
    <w:rsid w:val="004349CA"/>
    <w:rsid w:val="00434D74"/>
    <w:rsid w:val="0043505E"/>
    <w:rsid w:val="00435337"/>
    <w:rsid w:val="004353C7"/>
    <w:rsid w:val="00435536"/>
    <w:rsid w:val="0043555B"/>
    <w:rsid w:val="00435890"/>
    <w:rsid w:val="00435F99"/>
    <w:rsid w:val="00436013"/>
    <w:rsid w:val="004364B0"/>
    <w:rsid w:val="0043666B"/>
    <w:rsid w:val="004369BA"/>
    <w:rsid w:val="00436B53"/>
    <w:rsid w:val="00436BFB"/>
    <w:rsid w:val="00437070"/>
    <w:rsid w:val="00437083"/>
    <w:rsid w:val="004370F8"/>
    <w:rsid w:val="00437575"/>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405"/>
    <w:rsid w:val="00441490"/>
    <w:rsid w:val="00441AAC"/>
    <w:rsid w:val="00441B3D"/>
    <w:rsid w:val="00441BFB"/>
    <w:rsid w:val="004421E8"/>
    <w:rsid w:val="00442243"/>
    <w:rsid w:val="004423DE"/>
    <w:rsid w:val="004423F4"/>
    <w:rsid w:val="0044240E"/>
    <w:rsid w:val="00442543"/>
    <w:rsid w:val="00442A84"/>
    <w:rsid w:val="00442BC6"/>
    <w:rsid w:val="00442FAE"/>
    <w:rsid w:val="004430BB"/>
    <w:rsid w:val="004431A7"/>
    <w:rsid w:val="00443636"/>
    <w:rsid w:val="0044365F"/>
    <w:rsid w:val="0044383B"/>
    <w:rsid w:val="00443B3F"/>
    <w:rsid w:val="00443B9B"/>
    <w:rsid w:val="00443BD1"/>
    <w:rsid w:val="00443CE7"/>
    <w:rsid w:val="0044400F"/>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69"/>
    <w:rsid w:val="00446E59"/>
    <w:rsid w:val="004473B1"/>
    <w:rsid w:val="00447477"/>
    <w:rsid w:val="00447D56"/>
    <w:rsid w:val="00447E53"/>
    <w:rsid w:val="00447EB6"/>
    <w:rsid w:val="00447F16"/>
    <w:rsid w:val="004504F0"/>
    <w:rsid w:val="004504FE"/>
    <w:rsid w:val="00450C7D"/>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98E"/>
    <w:rsid w:val="00452A61"/>
    <w:rsid w:val="00452A6C"/>
    <w:rsid w:val="00452BB8"/>
    <w:rsid w:val="00452CDE"/>
    <w:rsid w:val="00452D68"/>
    <w:rsid w:val="00452F19"/>
    <w:rsid w:val="00453050"/>
    <w:rsid w:val="00453126"/>
    <w:rsid w:val="004531F7"/>
    <w:rsid w:val="00453259"/>
    <w:rsid w:val="00453E11"/>
    <w:rsid w:val="00453E33"/>
    <w:rsid w:val="00454330"/>
    <w:rsid w:val="00454349"/>
    <w:rsid w:val="0045438B"/>
    <w:rsid w:val="0045446D"/>
    <w:rsid w:val="004546D5"/>
    <w:rsid w:val="004546EB"/>
    <w:rsid w:val="0045475C"/>
    <w:rsid w:val="004548F0"/>
    <w:rsid w:val="00454DA3"/>
    <w:rsid w:val="00455273"/>
    <w:rsid w:val="004553A0"/>
    <w:rsid w:val="004553BC"/>
    <w:rsid w:val="00455458"/>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43"/>
    <w:rsid w:val="00460089"/>
    <w:rsid w:val="00460158"/>
    <w:rsid w:val="00460601"/>
    <w:rsid w:val="00460657"/>
    <w:rsid w:val="00460E55"/>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C6"/>
    <w:rsid w:val="00461C1B"/>
    <w:rsid w:val="00461E28"/>
    <w:rsid w:val="00461F9B"/>
    <w:rsid w:val="00461FFD"/>
    <w:rsid w:val="00462C10"/>
    <w:rsid w:val="00462CC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352"/>
    <w:rsid w:val="004646E9"/>
    <w:rsid w:val="0046488C"/>
    <w:rsid w:val="0046489E"/>
    <w:rsid w:val="00464A4E"/>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F0"/>
    <w:rsid w:val="00466608"/>
    <w:rsid w:val="0046667A"/>
    <w:rsid w:val="00466735"/>
    <w:rsid w:val="0046698F"/>
    <w:rsid w:val="00466FCB"/>
    <w:rsid w:val="004671AE"/>
    <w:rsid w:val="004672B1"/>
    <w:rsid w:val="004672EF"/>
    <w:rsid w:val="0046732E"/>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355"/>
    <w:rsid w:val="00472384"/>
    <w:rsid w:val="00472423"/>
    <w:rsid w:val="004728DE"/>
    <w:rsid w:val="0047297D"/>
    <w:rsid w:val="00472C48"/>
    <w:rsid w:val="00472EB7"/>
    <w:rsid w:val="004730D6"/>
    <w:rsid w:val="0047351A"/>
    <w:rsid w:val="004736AF"/>
    <w:rsid w:val="00473B52"/>
    <w:rsid w:val="00473BCA"/>
    <w:rsid w:val="00473E75"/>
    <w:rsid w:val="00473F03"/>
    <w:rsid w:val="00473F20"/>
    <w:rsid w:val="00473F99"/>
    <w:rsid w:val="00474059"/>
    <w:rsid w:val="00474153"/>
    <w:rsid w:val="004741B0"/>
    <w:rsid w:val="004741ED"/>
    <w:rsid w:val="00474200"/>
    <w:rsid w:val="00474489"/>
    <w:rsid w:val="00474494"/>
    <w:rsid w:val="004747C0"/>
    <w:rsid w:val="00474901"/>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82A"/>
    <w:rsid w:val="00477B54"/>
    <w:rsid w:val="00477B57"/>
    <w:rsid w:val="00477BE8"/>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D90"/>
    <w:rsid w:val="00482FEF"/>
    <w:rsid w:val="0048309D"/>
    <w:rsid w:val="00483435"/>
    <w:rsid w:val="004835BB"/>
    <w:rsid w:val="00483716"/>
    <w:rsid w:val="004838AA"/>
    <w:rsid w:val="004838E5"/>
    <w:rsid w:val="00483929"/>
    <w:rsid w:val="00483A12"/>
    <w:rsid w:val="00483B99"/>
    <w:rsid w:val="00483CE8"/>
    <w:rsid w:val="00483CED"/>
    <w:rsid w:val="00483EA7"/>
    <w:rsid w:val="004844DB"/>
    <w:rsid w:val="00484762"/>
    <w:rsid w:val="0048479B"/>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EBA"/>
    <w:rsid w:val="00491F97"/>
    <w:rsid w:val="00491FAE"/>
    <w:rsid w:val="004920F3"/>
    <w:rsid w:val="004922E7"/>
    <w:rsid w:val="00492674"/>
    <w:rsid w:val="004928AB"/>
    <w:rsid w:val="00492C7F"/>
    <w:rsid w:val="00492CBA"/>
    <w:rsid w:val="00492E55"/>
    <w:rsid w:val="00493259"/>
    <w:rsid w:val="00493278"/>
    <w:rsid w:val="0049334B"/>
    <w:rsid w:val="004933AD"/>
    <w:rsid w:val="004936C0"/>
    <w:rsid w:val="004936FA"/>
    <w:rsid w:val="0049379C"/>
    <w:rsid w:val="00493956"/>
    <w:rsid w:val="00493D48"/>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A039F"/>
    <w:rsid w:val="004A053C"/>
    <w:rsid w:val="004A06C1"/>
    <w:rsid w:val="004A0B5A"/>
    <w:rsid w:val="004A0B66"/>
    <w:rsid w:val="004A1240"/>
    <w:rsid w:val="004A1346"/>
    <w:rsid w:val="004A1636"/>
    <w:rsid w:val="004A1C93"/>
    <w:rsid w:val="004A1F90"/>
    <w:rsid w:val="004A24C2"/>
    <w:rsid w:val="004A2661"/>
    <w:rsid w:val="004A273A"/>
    <w:rsid w:val="004A2810"/>
    <w:rsid w:val="004A2945"/>
    <w:rsid w:val="004A2C49"/>
    <w:rsid w:val="004A30E8"/>
    <w:rsid w:val="004A3218"/>
    <w:rsid w:val="004A35D1"/>
    <w:rsid w:val="004A3719"/>
    <w:rsid w:val="004A3941"/>
    <w:rsid w:val="004A3DB8"/>
    <w:rsid w:val="004A3E15"/>
    <w:rsid w:val="004A3FA4"/>
    <w:rsid w:val="004A406D"/>
    <w:rsid w:val="004A40A3"/>
    <w:rsid w:val="004A40C0"/>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18B"/>
    <w:rsid w:val="004B14FA"/>
    <w:rsid w:val="004B1565"/>
    <w:rsid w:val="004B1D68"/>
    <w:rsid w:val="004B1FD7"/>
    <w:rsid w:val="004B2032"/>
    <w:rsid w:val="004B2764"/>
    <w:rsid w:val="004B2C16"/>
    <w:rsid w:val="004B2C7A"/>
    <w:rsid w:val="004B2EF7"/>
    <w:rsid w:val="004B2FC6"/>
    <w:rsid w:val="004B350E"/>
    <w:rsid w:val="004B3630"/>
    <w:rsid w:val="004B39DB"/>
    <w:rsid w:val="004B3B77"/>
    <w:rsid w:val="004B3B99"/>
    <w:rsid w:val="004B3D57"/>
    <w:rsid w:val="004B4245"/>
    <w:rsid w:val="004B42B4"/>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E15"/>
    <w:rsid w:val="004B5E50"/>
    <w:rsid w:val="004B6079"/>
    <w:rsid w:val="004B6107"/>
    <w:rsid w:val="004B6150"/>
    <w:rsid w:val="004B6486"/>
    <w:rsid w:val="004B65C1"/>
    <w:rsid w:val="004B662A"/>
    <w:rsid w:val="004B6E3A"/>
    <w:rsid w:val="004B6FF5"/>
    <w:rsid w:val="004B7233"/>
    <w:rsid w:val="004B724D"/>
    <w:rsid w:val="004B72B9"/>
    <w:rsid w:val="004B7300"/>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D9"/>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F53"/>
    <w:rsid w:val="004C2F6C"/>
    <w:rsid w:val="004C306D"/>
    <w:rsid w:val="004C325D"/>
    <w:rsid w:val="004C32FF"/>
    <w:rsid w:val="004C3317"/>
    <w:rsid w:val="004C36AD"/>
    <w:rsid w:val="004C36B4"/>
    <w:rsid w:val="004C3976"/>
    <w:rsid w:val="004C39EC"/>
    <w:rsid w:val="004C3D8B"/>
    <w:rsid w:val="004C3DB9"/>
    <w:rsid w:val="004C3DCE"/>
    <w:rsid w:val="004C3E06"/>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704C"/>
    <w:rsid w:val="004C7211"/>
    <w:rsid w:val="004C7D3A"/>
    <w:rsid w:val="004D036F"/>
    <w:rsid w:val="004D03CC"/>
    <w:rsid w:val="004D053C"/>
    <w:rsid w:val="004D05FF"/>
    <w:rsid w:val="004D074C"/>
    <w:rsid w:val="004D0872"/>
    <w:rsid w:val="004D0CF5"/>
    <w:rsid w:val="004D0E23"/>
    <w:rsid w:val="004D0FEC"/>
    <w:rsid w:val="004D10AC"/>
    <w:rsid w:val="004D10FD"/>
    <w:rsid w:val="004D1154"/>
    <w:rsid w:val="004D1757"/>
    <w:rsid w:val="004D1811"/>
    <w:rsid w:val="004D1857"/>
    <w:rsid w:val="004D1A6D"/>
    <w:rsid w:val="004D1B15"/>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AFA"/>
    <w:rsid w:val="004D3D09"/>
    <w:rsid w:val="004D3D3C"/>
    <w:rsid w:val="004D3DF9"/>
    <w:rsid w:val="004D4132"/>
    <w:rsid w:val="004D45AA"/>
    <w:rsid w:val="004D46C5"/>
    <w:rsid w:val="004D49B1"/>
    <w:rsid w:val="004D4C89"/>
    <w:rsid w:val="004D4F45"/>
    <w:rsid w:val="004D5082"/>
    <w:rsid w:val="004D526C"/>
    <w:rsid w:val="004D52F3"/>
    <w:rsid w:val="004D543A"/>
    <w:rsid w:val="004D5590"/>
    <w:rsid w:val="004D55D0"/>
    <w:rsid w:val="004D57ED"/>
    <w:rsid w:val="004D598D"/>
    <w:rsid w:val="004D5BE8"/>
    <w:rsid w:val="004D5E46"/>
    <w:rsid w:val="004D64B2"/>
    <w:rsid w:val="004D66D9"/>
    <w:rsid w:val="004D6765"/>
    <w:rsid w:val="004D679C"/>
    <w:rsid w:val="004D6B60"/>
    <w:rsid w:val="004D6FC1"/>
    <w:rsid w:val="004D7442"/>
    <w:rsid w:val="004D7568"/>
    <w:rsid w:val="004D78AA"/>
    <w:rsid w:val="004D79C6"/>
    <w:rsid w:val="004D7EDE"/>
    <w:rsid w:val="004D7FA6"/>
    <w:rsid w:val="004E00B0"/>
    <w:rsid w:val="004E0375"/>
    <w:rsid w:val="004E053E"/>
    <w:rsid w:val="004E081B"/>
    <w:rsid w:val="004E0A30"/>
    <w:rsid w:val="004E0A50"/>
    <w:rsid w:val="004E0D8B"/>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952"/>
    <w:rsid w:val="004E4AAB"/>
    <w:rsid w:val="004E4D48"/>
    <w:rsid w:val="004E4F1C"/>
    <w:rsid w:val="004E5271"/>
    <w:rsid w:val="004E5312"/>
    <w:rsid w:val="004E567F"/>
    <w:rsid w:val="004E572A"/>
    <w:rsid w:val="004E5870"/>
    <w:rsid w:val="004E59DD"/>
    <w:rsid w:val="004E5D39"/>
    <w:rsid w:val="004E5E8F"/>
    <w:rsid w:val="004E5F14"/>
    <w:rsid w:val="004E6220"/>
    <w:rsid w:val="004E6330"/>
    <w:rsid w:val="004E6474"/>
    <w:rsid w:val="004E6487"/>
    <w:rsid w:val="004E651E"/>
    <w:rsid w:val="004E6729"/>
    <w:rsid w:val="004E6857"/>
    <w:rsid w:val="004E69DB"/>
    <w:rsid w:val="004E6B94"/>
    <w:rsid w:val="004E6E66"/>
    <w:rsid w:val="004E6FF2"/>
    <w:rsid w:val="004E7095"/>
    <w:rsid w:val="004E70BF"/>
    <w:rsid w:val="004E75E3"/>
    <w:rsid w:val="004E7627"/>
    <w:rsid w:val="004E7761"/>
    <w:rsid w:val="004E783E"/>
    <w:rsid w:val="004E79D9"/>
    <w:rsid w:val="004E7A13"/>
    <w:rsid w:val="004E7AAD"/>
    <w:rsid w:val="004E7ADD"/>
    <w:rsid w:val="004E7D16"/>
    <w:rsid w:val="004F0319"/>
    <w:rsid w:val="004F0731"/>
    <w:rsid w:val="004F0747"/>
    <w:rsid w:val="004F0ACD"/>
    <w:rsid w:val="004F0E5A"/>
    <w:rsid w:val="004F0F71"/>
    <w:rsid w:val="004F0FD2"/>
    <w:rsid w:val="004F104B"/>
    <w:rsid w:val="004F1073"/>
    <w:rsid w:val="004F128F"/>
    <w:rsid w:val="004F1420"/>
    <w:rsid w:val="004F15DE"/>
    <w:rsid w:val="004F1A6A"/>
    <w:rsid w:val="004F1DDB"/>
    <w:rsid w:val="004F1F4D"/>
    <w:rsid w:val="004F2217"/>
    <w:rsid w:val="004F22E1"/>
    <w:rsid w:val="004F2607"/>
    <w:rsid w:val="004F276B"/>
    <w:rsid w:val="004F292C"/>
    <w:rsid w:val="004F2A6D"/>
    <w:rsid w:val="004F2BAB"/>
    <w:rsid w:val="004F2BDE"/>
    <w:rsid w:val="004F2FE5"/>
    <w:rsid w:val="004F31F3"/>
    <w:rsid w:val="004F3230"/>
    <w:rsid w:val="004F3261"/>
    <w:rsid w:val="004F3352"/>
    <w:rsid w:val="004F3644"/>
    <w:rsid w:val="004F374E"/>
    <w:rsid w:val="004F37F5"/>
    <w:rsid w:val="004F3B34"/>
    <w:rsid w:val="004F3B6F"/>
    <w:rsid w:val="004F3D77"/>
    <w:rsid w:val="004F3F39"/>
    <w:rsid w:val="004F3F7B"/>
    <w:rsid w:val="004F3FC4"/>
    <w:rsid w:val="004F41DC"/>
    <w:rsid w:val="004F4217"/>
    <w:rsid w:val="004F42C0"/>
    <w:rsid w:val="004F44B1"/>
    <w:rsid w:val="004F469A"/>
    <w:rsid w:val="004F4752"/>
    <w:rsid w:val="004F4870"/>
    <w:rsid w:val="004F4990"/>
    <w:rsid w:val="004F4FDD"/>
    <w:rsid w:val="004F50AD"/>
    <w:rsid w:val="004F535D"/>
    <w:rsid w:val="004F54BD"/>
    <w:rsid w:val="004F599C"/>
    <w:rsid w:val="004F6066"/>
    <w:rsid w:val="004F6349"/>
    <w:rsid w:val="004F639C"/>
    <w:rsid w:val="004F6435"/>
    <w:rsid w:val="004F66C8"/>
    <w:rsid w:val="004F670B"/>
    <w:rsid w:val="004F68E3"/>
    <w:rsid w:val="004F6B36"/>
    <w:rsid w:val="004F6DC6"/>
    <w:rsid w:val="004F6E67"/>
    <w:rsid w:val="004F70B5"/>
    <w:rsid w:val="004F75F7"/>
    <w:rsid w:val="004F7691"/>
    <w:rsid w:val="004F7716"/>
    <w:rsid w:val="004F78C8"/>
    <w:rsid w:val="004F79A5"/>
    <w:rsid w:val="004F7A5D"/>
    <w:rsid w:val="004F7B83"/>
    <w:rsid w:val="004F7D30"/>
    <w:rsid w:val="004F7DAE"/>
    <w:rsid w:val="0050023C"/>
    <w:rsid w:val="00500AC9"/>
    <w:rsid w:val="00500DA9"/>
    <w:rsid w:val="00500FA8"/>
    <w:rsid w:val="005013E9"/>
    <w:rsid w:val="00501649"/>
    <w:rsid w:val="00501682"/>
    <w:rsid w:val="005016C9"/>
    <w:rsid w:val="005017FC"/>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E78"/>
    <w:rsid w:val="00504F60"/>
    <w:rsid w:val="0050573F"/>
    <w:rsid w:val="0050579B"/>
    <w:rsid w:val="00505928"/>
    <w:rsid w:val="00505A38"/>
    <w:rsid w:val="00505A79"/>
    <w:rsid w:val="00505AA5"/>
    <w:rsid w:val="00505B78"/>
    <w:rsid w:val="00505D60"/>
    <w:rsid w:val="00506015"/>
    <w:rsid w:val="00506167"/>
    <w:rsid w:val="005061B4"/>
    <w:rsid w:val="00506252"/>
    <w:rsid w:val="005063C6"/>
    <w:rsid w:val="005064D8"/>
    <w:rsid w:val="00506763"/>
    <w:rsid w:val="0050693D"/>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D1"/>
    <w:rsid w:val="00507EC6"/>
    <w:rsid w:val="00507F47"/>
    <w:rsid w:val="005100D9"/>
    <w:rsid w:val="0051058D"/>
    <w:rsid w:val="0051066B"/>
    <w:rsid w:val="00510766"/>
    <w:rsid w:val="0051082E"/>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BD"/>
    <w:rsid w:val="005135E5"/>
    <w:rsid w:val="005139BE"/>
    <w:rsid w:val="00513B7A"/>
    <w:rsid w:val="00513CC8"/>
    <w:rsid w:val="00514436"/>
    <w:rsid w:val="005145E2"/>
    <w:rsid w:val="00514A01"/>
    <w:rsid w:val="00514AC6"/>
    <w:rsid w:val="00514B4F"/>
    <w:rsid w:val="00514F2F"/>
    <w:rsid w:val="005151AE"/>
    <w:rsid w:val="00515238"/>
    <w:rsid w:val="0051557F"/>
    <w:rsid w:val="005156C8"/>
    <w:rsid w:val="00515A8D"/>
    <w:rsid w:val="00515C94"/>
    <w:rsid w:val="00515DEB"/>
    <w:rsid w:val="00515E1A"/>
    <w:rsid w:val="005161C1"/>
    <w:rsid w:val="005167F0"/>
    <w:rsid w:val="0051687D"/>
    <w:rsid w:val="00516B04"/>
    <w:rsid w:val="00517139"/>
    <w:rsid w:val="0051713F"/>
    <w:rsid w:val="00517299"/>
    <w:rsid w:val="005176F7"/>
    <w:rsid w:val="005177DB"/>
    <w:rsid w:val="00517871"/>
    <w:rsid w:val="005178D8"/>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24FF"/>
    <w:rsid w:val="005226C2"/>
    <w:rsid w:val="0052276E"/>
    <w:rsid w:val="005227C6"/>
    <w:rsid w:val="00522C96"/>
    <w:rsid w:val="00523026"/>
    <w:rsid w:val="0052311F"/>
    <w:rsid w:val="00523423"/>
    <w:rsid w:val="00523489"/>
    <w:rsid w:val="005236A9"/>
    <w:rsid w:val="00523A6C"/>
    <w:rsid w:val="00523AFF"/>
    <w:rsid w:val="00523B93"/>
    <w:rsid w:val="00523CE4"/>
    <w:rsid w:val="00523E4B"/>
    <w:rsid w:val="0052410F"/>
    <w:rsid w:val="0052411F"/>
    <w:rsid w:val="005242D1"/>
    <w:rsid w:val="005242D2"/>
    <w:rsid w:val="00524475"/>
    <w:rsid w:val="005244CF"/>
    <w:rsid w:val="005245EB"/>
    <w:rsid w:val="0052471D"/>
    <w:rsid w:val="00524CBD"/>
    <w:rsid w:val="005251CE"/>
    <w:rsid w:val="005251EB"/>
    <w:rsid w:val="005253DB"/>
    <w:rsid w:val="005259A9"/>
    <w:rsid w:val="00525C6E"/>
    <w:rsid w:val="00525D60"/>
    <w:rsid w:val="005262A1"/>
    <w:rsid w:val="005264CD"/>
    <w:rsid w:val="005266ED"/>
    <w:rsid w:val="0052698C"/>
    <w:rsid w:val="00526B6B"/>
    <w:rsid w:val="00526C8F"/>
    <w:rsid w:val="00526E75"/>
    <w:rsid w:val="005270DF"/>
    <w:rsid w:val="005275CB"/>
    <w:rsid w:val="005276BF"/>
    <w:rsid w:val="00527726"/>
    <w:rsid w:val="00527825"/>
    <w:rsid w:val="00527B13"/>
    <w:rsid w:val="00527DF6"/>
    <w:rsid w:val="00530095"/>
    <w:rsid w:val="00530183"/>
    <w:rsid w:val="00530578"/>
    <w:rsid w:val="00530842"/>
    <w:rsid w:val="005309FA"/>
    <w:rsid w:val="00531011"/>
    <w:rsid w:val="005311EE"/>
    <w:rsid w:val="00531258"/>
    <w:rsid w:val="005315AC"/>
    <w:rsid w:val="005315F7"/>
    <w:rsid w:val="00531660"/>
    <w:rsid w:val="00531696"/>
    <w:rsid w:val="00531746"/>
    <w:rsid w:val="00531919"/>
    <w:rsid w:val="00531A60"/>
    <w:rsid w:val="00531AA2"/>
    <w:rsid w:val="00531CAC"/>
    <w:rsid w:val="00531D5E"/>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59"/>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5DA"/>
    <w:rsid w:val="00541AD3"/>
    <w:rsid w:val="00541B36"/>
    <w:rsid w:val="00541CD1"/>
    <w:rsid w:val="00541DC9"/>
    <w:rsid w:val="00541E06"/>
    <w:rsid w:val="00541FCC"/>
    <w:rsid w:val="00542053"/>
    <w:rsid w:val="0054209A"/>
    <w:rsid w:val="005420E4"/>
    <w:rsid w:val="005421B1"/>
    <w:rsid w:val="00542212"/>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1FB"/>
    <w:rsid w:val="005503D2"/>
    <w:rsid w:val="005505D4"/>
    <w:rsid w:val="005506ED"/>
    <w:rsid w:val="00550771"/>
    <w:rsid w:val="005507E7"/>
    <w:rsid w:val="00550833"/>
    <w:rsid w:val="0055095F"/>
    <w:rsid w:val="0055098E"/>
    <w:rsid w:val="0055099D"/>
    <w:rsid w:val="005509B9"/>
    <w:rsid w:val="005509D8"/>
    <w:rsid w:val="00550CCA"/>
    <w:rsid w:val="00550D2B"/>
    <w:rsid w:val="00550D55"/>
    <w:rsid w:val="00550DE2"/>
    <w:rsid w:val="00551159"/>
    <w:rsid w:val="005518BE"/>
    <w:rsid w:val="00551941"/>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FE7"/>
    <w:rsid w:val="0055508D"/>
    <w:rsid w:val="005550F2"/>
    <w:rsid w:val="00555341"/>
    <w:rsid w:val="00555A5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847"/>
    <w:rsid w:val="00557D30"/>
    <w:rsid w:val="00560344"/>
    <w:rsid w:val="005603D9"/>
    <w:rsid w:val="00560420"/>
    <w:rsid w:val="0056044E"/>
    <w:rsid w:val="0056055F"/>
    <w:rsid w:val="005607CA"/>
    <w:rsid w:val="005608DB"/>
    <w:rsid w:val="00561038"/>
    <w:rsid w:val="00561075"/>
    <w:rsid w:val="00561329"/>
    <w:rsid w:val="0056144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18F"/>
    <w:rsid w:val="00563370"/>
    <w:rsid w:val="0056349C"/>
    <w:rsid w:val="005636B6"/>
    <w:rsid w:val="00563980"/>
    <w:rsid w:val="005639BD"/>
    <w:rsid w:val="00563AD0"/>
    <w:rsid w:val="00563B27"/>
    <w:rsid w:val="00563D54"/>
    <w:rsid w:val="00563FCF"/>
    <w:rsid w:val="005640FA"/>
    <w:rsid w:val="00564116"/>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323"/>
    <w:rsid w:val="00566418"/>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0EDA"/>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E57"/>
    <w:rsid w:val="0057601E"/>
    <w:rsid w:val="005760AC"/>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04"/>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D9D"/>
    <w:rsid w:val="00584EAC"/>
    <w:rsid w:val="00585427"/>
    <w:rsid w:val="0058555E"/>
    <w:rsid w:val="0058561C"/>
    <w:rsid w:val="00585CE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900BF"/>
    <w:rsid w:val="005902D0"/>
    <w:rsid w:val="00590CA4"/>
    <w:rsid w:val="00590CA6"/>
    <w:rsid w:val="00590CB2"/>
    <w:rsid w:val="00590CFA"/>
    <w:rsid w:val="00590F63"/>
    <w:rsid w:val="005915BE"/>
    <w:rsid w:val="005917C0"/>
    <w:rsid w:val="0059195C"/>
    <w:rsid w:val="00591AE2"/>
    <w:rsid w:val="00591E64"/>
    <w:rsid w:val="0059216A"/>
    <w:rsid w:val="0059252E"/>
    <w:rsid w:val="0059260B"/>
    <w:rsid w:val="00592679"/>
    <w:rsid w:val="00592804"/>
    <w:rsid w:val="005929AA"/>
    <w:rsid w:val="00592C45"/>
    <w:rsid w:val="00592CAF"/>
    <w:rsid w:val="00592EE6"/>
    <w:rsid w:val="00592F4C"/>
    <w:rsid w:val="00592FF2"/>
    <w:rsid w:val="00593065"/>
    <w:rsid w:val="0059329B"/>
    <w:rsid w:val="00593350"/>
    <w:rsid w:val="0059389C"/>
    <w:rsid w:val="00593C7C"/>
    <w:rsid w:val="00593D33"/>
    <w:rsid w:val="00594208"/>
    <w:rsid w:val="00594506"/>
    <w:rsid w:val="00594523"/>
    <w:rsid w:val="005947B9"/>
    <w:rsid w:val="005947D3"/>
    <w:rsid w:val="00594B0A"/>
    <w:rsid w:val="00594DAE"/>
    <w:rsid w:val="00594F05"/>
    <w:rsid w:val="00595335"/>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3F7"/>
    <w:rsid w:val="005974B4"/>
    <w:rsid w:val="0059756C"/>
    <w:rsid w:val="005977E7"/>
    <w:rsid w:val="00597817"/>
    <w:rsid w:val="00597B38"/>
    <w:rsid w:val="00597E54"/>
    <w:rsid w:val="00597F93"/>
    <w:rsid w:val="005A0053"/>
    <w:rsid w:val="005A013D"/>
    <w:rsid w:val="005A02E7"/>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7EA"/>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BB0"/>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AF5"/>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9E2"/>
    <w:rsid w:val="005B3C99"/>
    <w:rsid w:val="005B3E7B"/>
    <w:rsid w:val="005B3EFF"/>
    <w:rsid w:val="005B404D"/>
    <w:rsid w:val="005B40C9"/>
    <w:rsid w:val="005B4888"/>
    <w:rsid w:val="005B49B4"/>
    <w:rsid w:val="005B4D05"/>
    <w:rsid w:val="005B5056"/>
    <w:rsid w:val="005B554E"/>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748"/>
    <w:rsid w:val="005B7BBC"/>
    <w:rsid w:val="005C0398"/>
    <w:rsid w:val="005C04CD"/>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911"/>
    <w:rsid w:val="005C5944"/>
    <w:rsid w:val="005C5A89"/>
    <w:rsid w:val="005C5B2A"/>
    <w:rsid w:val="005C5E5C"/>
    <w:rsid w:val="005C63CC"/>
    <w:rsid w:val="005C65F6"/>
    <w:rsid w:val="005C668A"/>
    <w:rsid w:val="005C68F2"/>
    <w:rsid w:val="005C6B27"/>
    <w:rsid w:val="005C6B7E"/>
    <w:rsid w:val="005C6BF1"/>
    <w:rsid w:val="005C6FAA"/>
    <w:rsid w:val="005C710E"/>
    <w:rsid w:val="005C7294"/>
    <w:rsid w:val="005C737F"/>
    <w:rsid w:val="005C7384"/>
    <w:rsid w:val="005C76C6"/>
    <w:rsid w:val="005C7811"/>
    <w:rsid w:val="005C7C45"/>
    <w:rsid w:val="005C7F60"/>
    <w:rsid w:val="005D0079"/>
    <w:rsid w:val="005D02EF"/>
    <w:rsid w:val="005D032D"/>
    <w:rsid w:val="005D0456"/>
    <w:rsid w:val="005D04B0"/>
    <w:rsid w:val="005D0859"/>
    <w:rsid w:val="005D088A"/>
    <w:rsid w:val="005D10FC"/>
    <w:rsid w:val="005D15F9"/>
    <w:rsid w:val="005D1BD8"/>
    <w:rsid w:val="005D1CE6"/>
    <w:rsid w:val="005D23E7"/>
    <w:rsid w:val="005D24D1"/>
    <w:rsid w:val="005D2975"/>
    <w:rsid w:val="005D2AB7"/>
    <w:rsid w:val="005D2CCA"/>
    <w:rsid w:val="005D2DE0"/>
    <w:rsid w:val="005D2FFC"/>
    <w:rsid w:val="005D302E"/>
    <w:rsid w:val="005D336D"/>
    <w:rsid w:val="005D35FD"/>
    <w:rsid w:val="005D36A2"/>
    <w:rsid w:val="005D3772"/>
    <w:rsid w:val="005D3842"/>
    <w:rsid w:val="005D396D"/>
    <w:rsid w:val="005D3A16"/>
    <w:rsid w:val="005D3B0D"/>
    <w:rsid w:val="005D3BC1"/>
    <w:rsid w:val="005D3D2C"/>
    <w:rsid w:val="005D3F21"/>
    <w:rsid w:val="005D44B3"/>
    <w:rsid w:val="005D4550"/>
    <w:rsid w:val="005D4579"/>
    <w:rsid w:val="005D45F8"/>
    <w:rsid w:val="005D48E9"/>
    <w:rsid w:val="005D4B6E"/>
    <w:rsid w:val="005D4C8B"/>
    <w:rsid w:val="005D5032"/>
    <w:rsid w:val="005D5389"/>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B26"/>
    <w:rsid w:val="005E1749"/>
    <w:rsid w:val="005E1C8A"/>
    <w:rsid w:val="005E1DA5"/>
    <w:rsid w:val="005E222A"/>
    <w:rsid w:val="005E23E1"/>
    <w:rsid w:val="005E291A"/>
    <w:rsid w:val="005E2B37"/>
    <w:rsid w:val="005E33C3"/>
    <w:rsid w:val="005E3679"/>
    <w:rsid w:val="005E3A8C"/>
    <w:rsid w:val="005E3DB2"/>
    <w:rsid w:val="005E41BD"/>
    <w:rsid w:val="005E4759"/>
    <w:rsid w:val="005E47C2"/>
    <w:rsid w:val="005E4A56"/>
    <w:rsid w:val="005E4AB6"/>
    <w:rsid w:val="005E4BD8"/>
    <w:rsid w:val="005E4F07"/>
    <w:rsid w:val="005E4FE1"/>
    <w:rsid w:val="005E5327"/>
    <w:rsid w:val="005E55F4"/>
    <w:rsid w:val="005E5605"/>
    <w:rsid w:val="005E58A9"/>
    <w:rsid w:val="005E5AC7"/>
    <w:rsid w:val="005E5B6D"/>
    <w:rsid w:val="005E5BE7"/>
    <w:rsid w:val="005E5D33"/>
    <w:rsid w:val="005E5E91"/>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39"/>
    <w:rsid w:val="005F0801"/>
    <w:rsid w:val="005F0F57"/>
    <w:rsid w:val="005F0FC1"/>
    <w:rsid w:val="005F0FD2"/>
    <w:rsid w:val="005F10F4"/>
    <w:rsid w:val="005F173C"/>
    <w:rsid w:val="005F18D0"/>
    <w:rsid w:val="005F1AED"/>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9D"/>
    <w:rsid w:val="005F451E"/>
    <w:rsid w:val="005F48CC"/>
    <w:rsid w:val="005F4AD8"/>
    <w:rsid w:val="005F4EB4"/>
    <w:rsid w:val="005F4EF9"/>
    <w:rsid w:val="005F4F45"/>
    <w:rsid w:val="005F4F5C"/>
    <w:rsid w:val="005F4FE9"/>
    <w:rsid w:val="005F50B6"/>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5F7FB9"/>
    <w:rsid w:val="00600076"/>
    <w:rsid w:val="00600132"/>
    <w:rsid w:val="006002C0"/>
    <w:rsid w:val="00600305"/>
    <w:rsid w:val="00600574"/>
    <w:rsid w:val="00600AC3"/>
    <w:rsid w:val="00600BA5"/>
    <w:rsid w:val="00600BE4"/>
    <w:rsid w:val="00600D25"/>
    <w:rsid w:val="006011AF"/>
    <w:rsid w:val="00601496"/>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FCD"/>
    <w:rsid w:val="0061202C"/>
    <w:rsid w:val="006122B0"/>
    <w:rsid w:val="00612417"/>
    <w:rsid w:val="006124AA"/>
    <w:rsid w:val="0061269E"/>
    <w:rsid w:val="006127AE"/>
    <w:rsid w:val="006129A2"/>
    <w:rsid w:val="00612A29"/>
    <w:rsid w:val="00612C09"/>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343"/>
    <w:rsid w:val="0062264A"/>
    <w:rsid w:val="006229EB"/>
    <w:rsid w:val="00622B52"/>
    <w:rsid w:val="00622BC5"/>
    <w:rsid w:val="00622F60"/>
    <w:rsid w:val="00623071"/>
    <w:rsid w:val="00623114"/>
    <w:rsid w:val="00623180"/>
    <w:rsid w:val="0062330E"/>
    <w:rsid w:val="00623327"/>
    <w:rsid w:val="0062335C"/>
    <w:rsid w:val="006236F1"/>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C94"/>
    <w:rsid w:val="00625E11"/>
    <w:rsid w:val="00626043"/>
    <w:rsid w:val="0062606A"/>
    <w:rsid w:val="006261EB"/>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BB"/>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42"/>
    <w:rsid w:val="00633BAA"/>
    <w:rsid w:val="00633C1F"/>
    <w:rsid w:val="00633D22"/>
    <w:rsid w:val="00634723"/>
    <w:rsid w:val="00634764"/>
    <w:rsid w:val="006347EB"/>
    <w:rsid w:val="00634AFC"/>
    <w:rsid w:val="00634B07"/>
    <w:rsid w:val="00635674"/>
    <w:rsid w:val="00635835"/>
    <w:rsid w:val="00635F69"/>
    <w:rsid w:val="006362B2"/>
    <w:rsid w:val="00636440"/>
    <w:rsid w:val="0063675D"/>
    <w:rsid w:val="0063676B"/>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D1D"/>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6E6"/>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393"/>
    <w:rsid w:val="0064443C"/>
    <w:rsid w:val="006444C4"/>
    <w:rsid w:val="006448CC"/>
    <w:rsid w:val="00644CBB"/>
    <w:rsid w:val="00644D6E"/>
    <w:rsid w:val="00644EBD"/>
    <w:rsid w:val="00645218"/>
    <w:rsid w:val="0064573F"/>
    <w:rsid w:val="00645AE4"/>
    <w:rsid w:val="00646072"/>
    <w:rsid w:val="006463DB"/>
    <w:rsid w:val="006464DA"/>
    <w:rsid w:val="006465F8"/>
    <w:rsid w:val="0064695D"/>
    <w:rsid w:val="00646A70"/>
    <w:rsid w:val="00646AB8"/>
    <w:rsid w:val="00646DFA"/>
    <w:rsid w:val="00646E0D"/>
    <w:rsid w:val="00646F0D"/>
    <w:rsid w:val="00646F40"/>
    <w:rsid w:val="0064725E"/>
    <w:rsid w:val="0064736E"/>
    <w:rsid w:val="00647402"/>
    <w:rsid w:val="00647B99"/>
    <w:rsid w:val="00647D06"/>
    <w:rsid w:val="00647E7B"/>
    <w:rsid w:val="00647ED1"/>
    <w:rsid w:val="00650002"/>
    <w:rsid w:val="006502FC"/>
    <w:rsid w:val="00650334"/>
    <w:rsid w:val="00650441"/>
    <w:rsid w:val="00650683"/>
    <w:rsid w:val="00650A9A"/>
    <w:rsid w:val="00650D13"/>
    <w:rsid w:val="00650D42"/>
    <w:rsid w:val="00650F31"/>
    <w:rsid w:val="00651076"/>
    <w:rsid w:val="00651223"/>
    <w:rsid w:val="00651373"/>
    <w:rsid w:val="00651490"/>
    <w:rsid w:val="006514DB"/>
    <w:rsid w:val="0065157A"/>
    <w:rsid w:val="00651918"/>
    <w:rsid w:val="00651A5C"/>
    <w:rsid w:val="00651D5F"/>
    <w:rsid w:val="00651D6E"/>
    <w:rsid w:val="00651E7E"/>
    <w:rsid w:val="00652258"/>
    <w:rsid w:val="006523E8"/>
    <w:rsid w:val="006525C5"/>
    <w:rsid w:val="006527C8"/>
    <w:rsid w:val="006528E9"/>
    <w:rsid w:val="00652BB4"/>
    <w:rsid w:val="00652FC4"/>
    <w:rsid w:val="00653144"/>
    <w:rsid w:val="0065319F"/>
    <w:rsid w:val="00653437"/>
    <w:rsid w:val="006534F4"/>
    <w:rsid w:val="006536C4"/>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F67"/>
    <w:rsid w:val="00656011"/>
    <w:rsid w:val="006563B4"/>
    <w:rsid w:val="006567CE"/>
    <w:rsid w:val="00656ACD"/>
    <w:rsid w:val="00656F51"/>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1A6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AF6"/>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1CB2"/>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C23"/>
    <w:rsid w:val="00674DAE"/>
    <w:rsid w:val="00674F95"/>
    <w:rsid w:val="00675379"/>
    <w:rsid w:val="0067561D"/>
    <w:rsid w:val="00675628"/>
    <w:rsid w:val="0067583A"/>
    <w:rsid w:val="00675B79"/>
    <w:rsid w:val="006761C4"/>
    <w:rsid w:val="006762A2"/>
    <w:rsid w:val="006762B9"/>
    <w:rsid w:val="006762FC"/>
    <w:rsid w:val="006763C0"/>
    <w:rsid w:val="006765E6"/>
    <w:rsid w:val="006768CA"/>
    <w:rsid w:val="006768CC"/>
    <w:rsid w:val="0067693D"/>
    <w:rsid w:val="006769FE"/>
    <w:rsid w:val="00676C29"/>
    <w:rsid w:val="00676E97"/>
    <w:rsid w:val="00676FD4"/>
    <w:rsid w:val="00677018"/>
    <w:rsid w:val="00677178"/>
    <w:rsid w:val="0067737E"/>
    <w:rsid w:val="006774DC"/>
    <w:rsid w:val="0067759C"/>
    <w:rsid w:val="00677761"/>
    <w:rsid w:val="00677785"/>
    <w:rsid w:val="00677CCA"/>
    <w:rsid w:val="00677DE9"/>
    <w:rsid w:val="00677F5C"/>
    <w:rsid w:val="006801B4"/>
    <w:rsid w:val="006801DA"/>
    <w:rsid w:val="006804A9"/>
    <w:rsid w:val="00680703"/>
    <w:rsid w:val="00680808"/>
    <w:rsid w:val="00680829"/>
    <w:rsid w:val="00680ABD"/>
    <w:rsid w:val="00680C81"/>
    <w:rsid w:val="00680DE6"/>
    <w:rsid w:val="0068106E"/>
    <w:rsid w:val="006810D3"/>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B80"/>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7E"/>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121A"/>
    <w:rsid w:val="006A15AB"/>
    <w:rsid w:val="006A1D19"/>
    <w:rsid w:val="006A1FFE"/>
    <w:rsid w:val="006A203D"/>
    <w:rsid w:val="006A20EF"/>
    <w:rsid w:val="006A233A"/>
    <w:rsid w:val="006A244D"/>
    <w:rsid w:val="006A2721"/>
    <w:rsid w:val="006A292C"/>
    <w:rsid w:val="006A2936"/>
    <w:rsid w:val="006A31E7"/>
    <w:rsid w:val="006A36D1"/>
    <w:rsid w:val="006A3AB6"/>
    <w:rsid w:val="006A3AF3"/>
    <w:rsid w:val="006A3E5A"/>
    <w:rsid w:val="006A401F"/>
    <w:rsid w:val="006A40CC"/>
    <w:rsid w:val="006A4128"/>
    <w:rsid w:val="006A4185"/>
    <w:rsid w:val="006A440E"/>
    <w:rsid w:val="006A4510"/>
    <w:rsid w:val="006A4732"/>
    <w:rsid w:val="006A492C"/>
    <w:rsid w:val="006A4ECD"/>
    <w:rsid w:val="006A50D4"/>
    <w:rsid w:val="006A50FD"/>
    <w:rsid w:val="006A560E"/>
    <w:rsid w:val="006A56AF"/>
    <w:rsid w:val="006A572F"/>
    <w:rsid w:val="006A59DB"/>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3054"/>
    <w:rsid w:val="006B314A"/>
    <w:rsid w:val="006B36AB"/>
    <w:rsid w:val="006B36B9"/>
    <w:rsid w:val="006B37B0"/>
    <w:rsid w:val="006B3809"/>
    <w:rsid w:val="006B398D"/>
    <w:rsid w:val="006B3B6C"/>
    <w:rsid w:val="006B3D55"/>
    <w:rsid w:val="006B3F75"/>
    <w:rsid w:val="006B401D"/>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28E"/>
    <w:rsid w:val="006B75C6"/>
    <w:rsid w:val="006B7AB6"/>
    <w:rsid w:val="006B7B20"/>
    <w:rsid w:val="006B7CB2"/>
    <w:rsid w:val="006B7DFB"/>
    <w:rsid w:val="006B7FA1"/>
    <w:rsid w:val="006C0012"/>
    <w:rsid w:val="006C008C"/>
    <w:rsid w:val="006C0294"/>
    <w:rsid w:val="006C0346"/>
    <w:rsid w:val="006C0471"/>
    <w:rsid w:val="006C0487"/>
    <w:rsid w:val="006C05BC"/>
    <w:rsid w:val="006C06CE"/>
    <w:rsid w:val="006C075E"/>
    <w:rsid w:val="006C0A79"/>
    <w:rsid w:val="006C0B2D"/>
    <w:rsid w:val="006C0C5B"/>
    <w:rsid w:val="006C0CC4"/>
    <w:rsid w:val="006C1241"/>
    <w:rsid w:val="006C128B"/>
    <w:rsid w:val="006C1325"/>
    <w:rsid w:val="006C15D6"/>
    <w:rsid w:val="006C1619"/>
    <w:rsid w:val="006C1723"/>
    <w:rsid w:val="006C181C"/>
    <w:rsid w:val="006C1BE9"/>
    <w:rsid w:val="006C2063"/>
    <w:rsid w:val="006C23A8"/>
    <w:rsid w:val="006C24B5"/>
    <w:rsid w:val="006C267A"/>
    <w:rsid w:val="006C280A"/>
    <w:rsid w:val="006C2986"/>
    <w:rsid w:val="006C2A0D"/>
    <w:rsid w:val="006C2AF2"/>
    <w:rsid w:val="006C2D2F"/>
    <w:rsid w:val="006C32F8"/>
    <w:rsid w:val="006C335A"/>
    <w:rsid w:val="006C363F"/>
    <w:rsid w:val="006C3ACC"/>
    <w:rsid w:val="006C3D37"/>
    <w:rsid w:val="006C3ED5"/>
    <w:rsid w:val="006C4171"/>
    <w:rsid w:val="006C42C2"/>
    <w:rsid w:val="006C44AB"/>
    <w:rsid w:val="006C44F0"/>
    <w:rsid w:val="006C453E"/>
    <w:rsid w:val="006C475C"/>
    <w:rsid w:val="006C4872"/>
    <w:rsid w:val="006C4980"/>
    <w:rsid w:val="006C4C23"/>
    <w:rsid w:val="006C4E9A"/>
    <w:rsid w:val="006C512C"/>
    <w:rsid w:val="006C52A4"/>
    <w:rsid w:val="006C55E2"/>
    <w:rsid w:val="006C5614"/>
    <w:rsid w:val="006C57DE"/>
    <w:rsid w:val="006C58ED"/>
    <w:rsid w:val="006C5E1A"/>
    <w:rsid w:val="006C61B4"/>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5BE"/>
    <w:rsid w:val="006D1725"/>
    <w:rsid w:val="006D191A"/>
    <w:rsid w:val="006D1935"/>
    <w:rsid w:val="006D19C7"/>
    <w:rsid w:val="006D19FF"/>
    <w:rsid w:val="006D1B3B"/>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47A"/>
    <w:rsid w:val="006D659B"/>
    <w:rsid w:val="006D679A"/>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8EA"/>
    <w:rsid w:val="006E1957"/>
    <w:rsid w:val="006E1B9A"/>
    <w:rsid w:val="006E1F38"/>
    <w:rsid w:val="006E202F"/>
    <w:rsid w:val="006E209F"/>
    <w:rsid w:val="006E227B"/>
    <w:rsid w:val="006E233C"/>
    <w:rsid w:val="006E24AB"/>
    <w:rsid w:val="006E2649"/>
    <w:rsid w:val="006E27AC"/>
    <w:rsid w:val="006E2B6F"/>
    <w:rsid w:val="006E3029"/>
    <w:rsid w:val="006E316F"/>
    <w:rsid w:val="006E3340"/>
    <w:rsid w:val="006E33DD"/>
    <w:rsid w:val="006E33F6"/>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684"/>
    <w:rsid w:val="006E7802"/>
    <w:rsid w:val="006E78AF"/>
    <w:rsid w:val="006E7C40"/>
    <w:rsid w:val="006F003B"/>
    <w:rsid w:val="006F00E8"/>
    <w:rsid w:val="006F0106"/>
    <w:rsid w:val="006F0193"/>
    <w:rsid w:val="006F0427"/>
    <w:rsid w:val="006F075E"/>
    <w:rsid w:val="006F087C"/>
    <w:rsid w:val="006F0AB6"/>
    <w:rsid w:val="006F0B68"/>
    <w:rsid w:val="006F0CF8"/>
    <w:rsid w:val="006F0D0B"/>
    <w:rsid w:val="006F0E75"/>
    <w:rsid w:val="006F1055"/>
    <w:rsid w:val="006F110F"/>
    <w:rsid w:val="006F1345"/>
    <w:rsid w:val="006F185B"/>
    <w:rsid w:val="006F1866"/>
    <w:rsid w:val="006F186C"/>
    <w:rsid w:val="006F1933"/>
    <w:rsid w:val="006F199F"/>
    <w:rsid w:val="006F1BB3"/>
    <w:rsid w:val="006F1C39"/>
    <w:rsid w:val="006F1C77"/>
    <w:rsid w:val="006F1D00"/>
    <w:rsid w:val="006F1D24"/>
    <w:rsid w:val="006F220D"/>
    <w:rsid w:val="006F243B"/>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AA0"/>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A8"/>
    <w:rsid w:val="006F6CD0"/>
    <w:rsid w:val="006F6EFC"/>
    <w:rsid w:val="006F716B"/>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9"/>
    <w:rsid w:val="00701108"/>
    <w:rsid w:val="007012FE"/>
    <w:rsid w:val="007013AD"/>
    <w:rsid w:val="00701675"/>
    <w:rsid w:val="0070179D"/>
    <w:rsid w:val="00701852"/>
    <w:rsid w:val="00702107"/>
    <w:rsid w:val="007025C2"/>
    <w:rsid w:val="007028AC"/>
    <w:rsid w:val="00702926"/>
    <w:rsid w:val="00702B46"/>
    <w:rsid w:val="007037AA"/>
    <w:rsid w:val="00703821"/>
    <w:rsid w:val="00703B32"/>
    <w:rsid w:val="00703C88"/>
    <w:rsid w:val="00703D1C"/>
    <w:rsid w:val="00703FA5"/>
    <w:rsid w:val="00704004"/>
    <w:rsid w:val="007040DA"/>
    <w:rsid w:val="00704330"/>
    <w:rsid w:val="0070435F"/>
    <w:rsid w:val="00704407"/>
    <w:rsid w:val="00704550"/>
    <w:rsid w:val="007049F8"/>
    <w:rsid w:val="00704A5A"/>
    <w:rsid w:val="00704AE1"/>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C3"/>
    <w:rsid w:val="007123E6"/>
    <w:rsid w:val="00712646"/>
    <w:rsid w:val="00712958"/>
    <w:rsid w:val="00712D21"/>
    <w:rsid w:val="00712ECA"/>
    <w:rsid w:val="00712EDE"/>
    <w:rsid w:val="0071356C"/>
    <w:rsid w:val="00713704"/>
    <w:rsid w:val="007137A2"/>
    <w:rsid w:val="00713823"/>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11"/>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76D"/>
    <w:rsid w:val="007207C8"/>
    <w:rsid w:val="007207E9"/>
    <w:rsid w:val="00720C4C"/>
    <w:rsid w:val="00720E64"/>
    <w:rsid w:val="00720EED"/>
    <w:rsid w:val="0072110E"/>
    <w:rsid w:val="0072118B"/>
    <w:rsid w:val="007212AB"/>
    <w:rsid w:val="007212F3"/>
    <w:rsid w:val="00721725"/>
    <w:rsid w:val="00721779"/>
    <w:rsid w:val="00721C43"/>
    <w:rsid w:val="00721C65"/>
    <w:rsid w:val="0072231C"/>
    <w:rsid w:val="0072236A"/>
    <w:rsid w:val="00722838"/>
    <w:rsid w:val="00722864"/>
    <w:rsid w:val="00722BBD"/>
    <w:rsid w:val="007230C8"/>
    <w:rsid w:val="00723202"/>
    <w:rsid w:val="0072323C"/>
    <w:rsid w:val="007237B7"/>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D4E"/>
    <w:rsid w:val="00726F74"/>
    <w:rsid w:val="00727520"/>
    <w:rsid w:val="00727552"/>
    <w:rsid w:val="007279B8"/>
    <w:rsid w:val="007279FC"/>
    <w:rsid w:val="00727AE6"/>
    <w:rsid w:val="00727BEE"/>
    <w:rsid w:val="0073000A"/>
    <w:rsid w:val="007300F6"/>
    <w:rsid w:val="0073016A"/>
    <w:rsid w:val="007301A7"/>
    <w:rsid w:val="00730A14"/>
    <w:rsid w:val="00730BB1"/>
    <w:rsid w:val="00730D35"/>
    <w:rsid w:val="00730DFE"/>
    <w:rsid w:val="00730F0E"/>
    <w:rsid w:val="00730FCE"/>
    <w:rsid w:val="007312F7"/>
    <w:rsid w:val="007313C9"/>
    <w:rsid w:val="00731485"/>
    <w:rsid w:val="007315B1"/>
    <w:rsid w:val="00731615"/>
    <w:rsid w:val="007316A1"/>
    <w:rsid w:val="00731A45"/>
    <w:rsid w:val="00731A7C"/>
    <w:rsid w:val="00731D9B"/>
    <w:rsid w:val="00731EF3"/>
    <w:rsid w:val="00732333"/>
    <w:rsid w:val="00732414"/>
    <w:rsid w:val="007325A8"/>
    <w:rsid w:val="007327A2"/>
    <w:rsid w:val="00732C13"/>
    <w:rsid w:val="00732C39"/>
    <w:rsid w:val="00732DFF"/>
    <w:rsid w:val="00732E65"/>
    <w:rsid w:val="00732FE9"/>
    <w:rsid w:val="00733064"/>
    <w:rsid w:val="007330A1"/>
    <w:rsid w:val="00733669"/>
    <w:rsid w:val="00733947"/>
    <w:rsid w:val="00733B74"/>
    <w:rsid w:val="00733CA9"/>
    <w:rsid w:val="00733E95"/>
    <w:rsid w:val="00733F91"/>
    <w:rsid w:val="00733FEF"/>
    <w:rsid w:val="00734062"/>
    <w:rsid w:val="00734121"/>
    <w:rsid w:val="0073414A"/>
    <w:rsid w:val="007343BA"/>
    <w:rsid w:val="0073465A"/>
    <w:rsid w:val="00734B38"/>
    <w:rsid w:val="00734B51"/>
    <w:rsid w:val="00734CDA"/>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C5"/>
    <w:rsid w:val="007370CD"/>
    <w:rsid w:val="00737278"/>
    <w:rsid w:val="007372F9"/>
    <w:rsid w:val="00737565"/>
    <w:rsid w:val="007378F8"/>
    <w:rsid w:val="00737906"/>
    <w:rsid w:val="0073796C"/>
    <w:rsid w:val="00737B1E"/>
    <w:rsid w:val="00737C15"/>
    <w:rsid w:val="00737C2E"/>
    <w:rsid w:val="00737F72"/>
    <w:rsid w:val="00737FFA"/>
    <w:rsid w:val="00740101"/>
    <w:rsid w:val="007401AA"/>
    <w:rsid w:val="007401F8"/>
    <w:rsid w:val="00740308"/>
    <w:rsid w:val="007405E1"/>
    <w:rsid w:val="007407DC"/>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757"/>
    <w:rsid w:val="0074395D"/>
    <w:rsid w:val="00743989"/>
    <w:rsid w:val="00743A5C"/>
    <w:rsid w:val="00743ADF"/>
    <w:rsid w:val="00743B72"/>
    <w:rsid w:val="00743C3F"/>
    <w:rsid w:val="00743F37"/>
    <w:rsid w:val="0074403A"/>
    <w:rsid w:val="00744040"/>
    <w:rsid w:val="00744091"/>
    <w:rsid w:val="00744295"/>
    <w:rsid w:val="007442B6"/>
    <w:rsid w:val="00744430"/>
    <w:rsid w:val="0074495E"/>
    <w:rsid w:val="00744B85"/>
    <w:rsid w:val="00744E0F"/>
    <w:rsid w:val="00745083"/>
    <w:rsid w:val="007451F9"/>
    <w:rsid w:val="007456F3"/>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5BE"/>
    <w:rsid w:val="0075161A"/>
    <w:rsid w:val="00751695"/>
    <w:rsid w:val="00751BEF"/>
    <w:rsid w:val="00751F9F"/>
    <w:rsid w:val="00752031"/>
    <w:rsid w:val="007521BC"/>
    <w:rsid w:val="007522FD"/>
    <w:rsid w:val="0075237B"/>
    <w:rsid w:val="00752532"/>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F3"/>
    <w:rsid w:val="00756774"/>
    <w:rsid w:val="00756828"/>
    <w:rsid w:val="007569C0"/>
    <w:rsid w:val="00756C43"/>
    <w:rsid w:val="00756C78"/>
    <w:rsid w:val="00756DD9"/>
    <w:rsid w:val="00756DEC"/>
    <w:rsid w:val="0075719C"/>
    <w:rsid w:val="007571DF"/>
    <w:rsid w:val="00757564"/>
    <w:rsid w:val="00757659"/>
    <w:rsid w:val="007577CB"/>
    <w:rsid w:val="007600FB"/>
    <w:rsid w:val="00760258"/>
    <w:rsid w:val="007602C9"/>
    <w:rsid w:val="00760816"/>
    <w:rsid w:val="00760C0D"/>
    <w:rsid w:val="00760FB1"/>
    <w:rsid w:val="007612CA"/>
    <w:rsid w:val="00761924"/>
    <w:rsid w:val="00761A15"/>
    <w:rsid w:val="00761A4D"/>
    <w:rsid w:val="00761ADD"/>
    <w:rsid w:val="00761B30"/>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3D1E"/>
    <w:rsid w:val="00764095"/>
    <w:rsid w:val="00764200"/>
    <w:rsid w:val="00764235"/>
    <w:rsid w:val="00764241"/>
    <w:rsid w:val="007643DD"/>
    <w:rsid w:val="0076449B"/>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20F"/>
    <w:rsid w:val="00767563"/>
    <w:rsid w:val="007677FF"/>
    <w:rsid w:val="00767818"/>
    <w:rsid w:val="00767B17"/>
    <w:rsid w:val="00767C00"/>
    <w:rsid w:val="00767C58"/>
    <w:rsid w:val="00767CCF"/>
    <w:rsid w:val="0077016F"/>
    <w:rsid w:val="00770319"/>
    <w:rsid w:val="00770725"/>
    <w:rsid w:val="0077084B"/>
    <w:rsid w:val="007708BE"/>
    <w:rsid w:val="00770927"/>
    <w:rsid w:val="00770AC4"/>
    <w:rsid w:val="00770BC7"/>
    <w:rsid w:val="00770CBA"/>
    <w:rsid w:val="00770F07"/>
    <w:rsid w:val="00770FA9"/>
    <w:rsid w:val="007712FD"/>
    <w:rsid w:val="00771366"/>
    <w:rsid w:val="00771A53"/>
    <w:rsid w:val="00771AAB"/>
    <w:rsid w:val="00771CDE"/>
    <w:rsid w:val="00772046"/>
    <w:rsid w:val="007722E4"/>
    <w:rsid w:val="007723D6"/>
    <w:rsid w:val="00772462"/>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73"/>
    <w:rsid w:val="0077459A"/>
    <w:rsid w:val="007745FD"/>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A7F"/>
    <w:rsid w:val="00776F56"/>
    <w:rsid w:val="0077709D"/>
    <w:rsid w:val="00777313"/>
    <w:rsid w:val="00777521"/>
    <w:rsid w:val="00777532"/>
    <w:rsid w:val="007777BD"/>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C42"/>
    <w:rsid w:val="00782DA3"/>
    <w:rsid w:val="00782F60"/>
    <w:rsid w:val="00782FD8"/>
    <w:rsid w:val="00783091"/>
    <w:rsid w:val="007831A8"/>
    <w:rsid w:val="00783302"/>
    <w:rsid w:val="0078339C"/>
    <w:rsid w:val="00783429"/>
    <w:rsid w:val="007835CC"/>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1DD"/>
    <w:rsid w:val="00791637"/>
    <w:rsid w:val="00791AE0"/>
    <w:rsid w:val="00791B18"/>
    <w:rsid w:val="00791C41"/>
    <w:rsid w:val="00791CCB"/>
    <w:rsid w:val="00791D9E"/>
    <w:rsid w:val="00791E00"/>
    <w:rsid w:val="007920F9"/>
    <w:rsid w:val="007926D5"/>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B9"/>
    <w:rsid w:val="00794B55"/>
    <w:rsid w:val="00794CC0"/>
    <w:rsid w:val="00794E05"/>
    <w:rsid w:val="00795104"/>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AB3"/>
    <w:rsid w:val="00796B09"/>
    <w:rsid w:val="00796BEB"/>
    <w:rsid w:val="00796E3D"/>
    <w:rsid w:val="0079766C"/>
    <w:rsid w:val="007976C5"/>
    <w:rsid w:val="00797773"/>
    <w:rsid w:val="00797B13"/>
    <w:rsid w:val="00797C4B"/>
    <w:rsid w:val="00797DF7"/>
    <w:rsid w:val="007A019B"/>
    <w:rsid w:val="007A0367"/>
    <w:rsid w:val="007A04BC"/>
    <w:rsid w:val="007A0599"/>
    <w:rsid w:val="007A082D"/>
    <w:rsid w:val="007A08DE"/>
    <w:rsid w:val="007A0D87"/>
    <w:rsid w:val="007A0EFA"/>
    <w:rsid w:val="007A0FD5"/>
    <w:rsid w:val="007A11B3"/>
    <w:rsid w:val="007A155E"/>
    <w:rsid w:val="007A157D"/>
    <w:rsid w:val="007A163F"/>
    <w:rsid w:val="007A167F"/>
    <w:rsid w:val="007A193C"/>
    <w:rsid w:val="007A1E12"/>
    <w:rsid w:val="007A1EE0"/>
    <w:rsid w:val="007A1EE3"/>
    <w:rsid w:val="007A2014"/>
    <w:rsid w:val="007A20DD"/>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7F"/>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DC0"/>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A4E"/>
    <w:rsid w:val="007A7A96"/>
    <w:rsid w:val="007A7BB8"/>
    <w:rsid w:val="007A7DF6"/>
    <w:rsid w:val="007A7ED7"/>
    <w:rsid w:val="007A7EF0"/>
    <w:rsid w:val="007B0082"/>
    <w:rsid w:val="007B023C"/>
    <w:rsid w:val="007B0350"/>
    <w:rsid w:val="007B0371"/>
    <w:rsid w:val="007B0434"/>
    <w:rsid w:val="007B0564"/>
    <w:rsid w:val="007B05F1"/>
    <w:rsid w:val="007B07F9"/>
    <w:rsid w:val="007B081C"/>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2E4"/>
    <w:rsid w:val="007B3324"/>
    <w:rsid w:val="007B3391"/>
    <w:rsid w:val="007B3654"/>
    <w:rsid w:val="007B38A0"/>
    <w:rsid w:val="007B39B8"/>
    <w:rsid w:val="007B3A95"/>
    <w:rsid w:val="007B3E21"/>
    <w:rsid w:val="007B3E31"/>
    <w:rsid w:val="007B40B6"/>
    <w:rsid w:val="007B4457"/>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A3A"/>
    <w:rsid w:val="007B7AE6"/>
    <w:rsid w:val="007C04B1"/>
    <w:rsid w:val="007C0B09"/>
    <w:rsid w:val="007C0DC3"/>
    <w:rsid w:val="007C1117"/>
    <w:rsid w:val="007C1443"/>
    <w:rsid w:val="007C156D"/>
    <w:rsid w:val="007C1981"/>
    <w:rsid w:val="007C1ADC"/>
    <w:rsid w:val="007C1FEA"/>
    <w:rsid w:val="007C212C"/>
    <w:rsid w:val="007C235B"/>
    <w:rsid w:val="007C271A"/>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FD"/>
    <w:rsid w:val="007C50A8"/>
    <w:rsid w:val="007C51A4"/>
    <w:rsid w:val="007C5514"/>
    <w:rsid w:val="007C55C2"/>
    <w:rsid w:val="007C59E7"/>
    <w:rsid w:val="007C5B04"/>
    <w:rsid w:val="007C5DE1"/>
    <w:rsid w:val="007C5F5F"/>
    <w:rsid w:val="007C6407"/>
    <w:rsid w:val="007C6835"/>
    <w:rsid w:val="007C688F"/>
    <w:rsid w:val="007C6D2A"/>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65"/>
    <w:rsid w:val="007D0F9D"/>
    <w:rsid w:val="007D1532"/>
    <w:rsid w:val="007D18E0"/>
    <w:rsid w:val="007D1947"/>
    <w:rsid w:val="007D1A2C"/>
    <w:rsid w:val="007D1E0D"/>
    <w:rsid w:val="007D2029"/>
    <w:rsid w:val="007D209A"/>
    <w:rsid w:val="007D240B"/>
    <w:rsid w:val="007D2B49"/>
    <w:rsid w:val="007D2BE7"/>
    <w:rsid w:val="007D2BEE"/>
    <w:rsid w:val="007D2E2E"/>
    <w:rsid w:val="007D2F09"/>
    <w:rsid w:val="007D2F96"/>
    <w:rsid w:val="007D3065"/>
    <w:rsid w:val="007D32FD"/>
    <w:rsid w:val="007D33B5"/>
    <w:rsid w:val="007D362D"/>
    <w:rsid w:val="007D38E5"/>
    <w:rsid w:val="007D3997"/>
    <w:rsid w:val="007D39AA"/>
    <w:rsid w:val="007D3B4D"/>
    <w:rsid w:val="007D3C15"/>
    <w:rsid w:val="007D3C76"/>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2FE"/>
    <w:rsid w:val="007E13A3"/>
    <w:rsid w:val="007E1435"/>
    <w:rsid w:val="007E14CF"/>
    <w:rsid w:val="007E1531"/>
    <w:rsid w:val="007E15CA"/>
    <w:rsid w:val="007E163E"/>
    <w:rsid w:val="007E167C"/>
    <w:rsid w:val="007E16CF"/>
    <w:rsid w:val="007E1815"/>
    <w:rsid w:val="007E1A3D"/>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4740"/>
    <w:rsid w:val="007E4760"/>
    <w:rsid w:val="007E4853"/>
    <w:rsid w:val="007E4AAA"/>
    <w:rsid w:val="007E4F14"/>
    <w:rsid w:val="007E5284"/>
    <w:rsid w:val="007E53A0"/>
    <w:rsid w:val="007E5E24"/>
    <w:rsid w:val="007E5F1A"/>
    <w:rsid w:val="007E60DE"/>
    <w:rsid w:val="007E6261"/>
    <w:rsid w:val="007E63F7"/>
    <w:rsid w:val="007E65E4"/>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864"/>
    <w:rsid w:val="007F6EFD"/>
    <w:rsid w:val="007F6F15"/>
    <w:rsid w:val="007F7080"/>
    <w:rsid w:val="007F70A1"/>
    <w:rsid w:val="007F72CE"/>
    <w:rsid w:val="007F74F9"/>
    <w:rsid w:val="007F7E55"/>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C03"/>
    <w:rsid w:val="00805D99"/>
    <w:rsid w:val="0080631D"/>
    <w:rsid w:val="0080668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83B"/>
    <w:rsid w:val="00816A26"/>
    <w:rsid w:val="00816BFB"/>
    <w:rsid w:val="00816C22"/>
    <w:rsid w:val="00816E17"/>
    <w:rsid w:val="0081721F"/>
    <w:rsid w:val="008172C2"/>
    <w:rsid w:val="008172DE"/>
    <w:rsid w:val="0081733D"/>
    <w:rsid w:val="0081746B"/>
    <w:rsid w:val="00817D68"/>
    <w:rsid w:val="00817EEC"/>
    <w:rsid w:val="00820288"/>
    <w:rsid w:val="008206CD"/>
    <w:rsid w:val="00821209"/>
    <w:rsid w:val="00821281"/>
    <w:rsid w:val="00821348"/>
    <w:rsid w:val="00821370"/>
    <w:rsid w:val="008214FC"/>
    <w:rsid w:val="0082174C"/>
    <w:rsid w:val="00821753"/>
    <w:rsid w:val="008218B4"/>
    <w:rsid w:val="00821B21"/>
    <w:rsid w:val="00821BF7"/>
    <w:rsid w:val="00821C3B"/>
    <w:rsid w:val="00821CA9"/>
    <w:rsid w:val="00821CFD"/>
    <w:rsid w:val="00822387"/>
    <w:rsid w:val="00822412"/>
    <w:rsid w:val="008226A5"/>
    <w:rsid w:val="00822A9E"/>
    <w:rsid w:val="00822C21"/>
    <w:rsid w:val="00822C7F"/>
    <w:rsid w:val="00822E76"/>
    <w:rsid w:val="0082325A"/>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3A00"/>
    <w:rsid w:val="00833D53"/>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58E"/>
    <w:rsid w:val="008417C2"/>
    <w:rsid w:val="00841801"/>
    <w:rsid w:val="008418D2"/>
    <w:rsid w:val="00841959"/>
    <w:rsid w:val="00841B0F"/>
    <w:rsid w:val="00841B5F"/>
    <w:rsid w:val="00841B7A"/>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9EF"/>
    <w:rsid w:val="00850AFA"/>
    <w:rsid w:val="00850B2A"/>
    <w:rsid w:val="00850C99"/>
    <w:rsid w:val="00850F7D"/>
    <w:rsid w:val="0085108B"/>
    <w:rsid w:val="008512C9"/>
    <w:rsid w:val="0085136E"/>
    <w:rsid w:val="00851455"/>
    <w:rsid w:val="00851468"/>
    <w:rsid w:val="008516AE"/>
    <w:rsid w:val="00851706"/>
    <w:rsid w:val="00851796"/>
    <w:rsid w:val="00851A1D"/>
    <w:rsid w:val="00851A88"/>
    <w:rsid w:val="00851D4F"/>
    <w:rsid w:val="0085247D"/>
    <w:rsid w:val="008527C5"/>
    <w:rsid w:val="00852842"/>
    <w:rsid w:val="0085291D"/>
    <w:rsid w:val="00852EA6"/>
    <w:rsid w:val="00852F47"/>
    <w:rsid w:val="0085329A"/>
    <w:rsid w:val="00853515"/>
    <w:rsid w:val="008536A0"/>
    <w:rsid w:val="0085385B"/>
    <w:rsid w:val="00853991"/>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6DC"/>
    <w:rsid w:val="008549BD"/>
    <w:rsid w:val="00854E63"/>
    <w:rsid w:val="00854F87"/>
    <w:rsid w:val="00855043"/>
    <w:rsid w:val="008550B8"/>
    <w:rsid w:val="00855168"/>
    <w:rsid w:val="0085557F"/>
    <w:rsid w:val="0085561F"/>
    <w:rsid w:val="0085562A"/>
    <w:rsid w:val="008558C7"/>
    <w:rsid w:val="0085590A"/>
    <w:rsid w:val="00855B2B"/>
    <w:rsid w:val="00855C17"/>
    <w:rsid w:val="00855E10"/>
    <w:rsid w:val="00856039"/>
    <w:rsid w:val="00856261"/>
    <w:rsid w:val="008564A8"/>
    <w:rsid w:val="00856753"/>
    <w:rsid w:val="008568E5"/>
    <w:rsid w:val="00856A89"/>
    <w:rsid w:val="0085703F"/>
    <w:rsid w:val="0085742E"/>
    <w:rsid w:val="00857749"/>
    <w:rsid w:val="00857889"/>
    <w:rsid w:val="0085793E"/>
    <w:rsid w:val="00857AF5"/>
    <w:rsid w:val="008600D4"/>
    <w:rsid w:val="00860211"/>
    <w:rsid w:val="00860614"/>
    <w:rsid w:val="0086081D"/>
    <w:rsid w:val="00860AE9"/>
    <w:rsid w:val="00860BD7"/>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44D0"/>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736"/>
    <w:rsid w:val="008668DC"/>
    <w:rsid w:val="008669AD"/>
    <w:rsid w:val="00866B7A"/>
    <w:rsid w:val="00866BFD"/>
    <w:rsid w:val="00866DC7"/>
    <w:rsid w:val="008674D3"/>
    <w:rsid w:val="00867712"/>
    <w:rsid w:val="00867D83"/>
    <w:rsid w:val="00867E81"/>
    <w:rsid w:val="00870274"/>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D4E"/>
    <w:rsid w:val="00871D7D"/>
    <w:rsid w:val="00871F01"/>
    <w:rsid w:val="00871FF7"/>
    <w:rsid w:val="008720C0"/>
    <w:rsid w:val="008727CF"/>
    <w:rsid w:val="008727D4"/>
    <w:rsid w:val="00872B33"/>
    <w:rsid w:val="00872CD4"/>
    <w:rsid w:val="00872CD5"/>
    <w:rsid w:val="00872F5A"/>
    <w:rsid w:val="00872FD8"/>
    <w:rsid w:val="0087306A"/>
    <w:rsid w:val="0087363C"/>
    <w:rsid w:val="0087393E"/>
    <w:rsid w:val="00873AF2"/>
    <w:rsid w:val="00873B8E"/>
    <w:rsid w:val="00873E87"/>
    <w:rsid w:val="00874044"/>
    <w:rsid w:val="0087444B"/>
    <w:rsid w:val="008745D8"/>
    <w:rsid w:val="00874CC2"/>
    <w:rsid w:val="00874E0E"/>
    <w:rsid w:val="00874F7B"/>
    <w:rsid w:val="00875025"/>
    <w:rsid w:val="00875344"/>
    <w:rsid w:val="008753BC"/>
    <w:rsid w:val="00875BA4"/>
    <w:rsid w:val="00875BA5"/>
    <w:rsid w:val="00875ED9"/>
    <w:rsid w:val="00875EEA"/>
    <w:rsid w:val="00875FAB"/>
    <w:rsid w:val="0087642E"/>
    <w:rsid w:val="008764A7"/>
    <w:rsid w:val="0087662B"/>
    <w:rsid w:val="00876676"/>
    <w:rsid w:val="0087694D"/>
    <w:rsid w:val="00876A5F"/>
    <w:rsid w:val="00876B89"/>
    <w:rsid w:val="00876C5A"/>
    <w:rsid w:val="00876C89"/>
    <w:rsid w:val="00876D44"/>
    <w:rsid w:val="00876F45"/>
    <w:rsid w:val="00876F7C"/>
    <w:rsid w:val="00877072"/>
    <w:rsid w:val="00877145"/>
    <w:rsid w:val="00877240"/>
    <w:rsid w:val="00877441"/>
    <w:rsid w:val="00877604"/>
    <w:rsid w:val="00877672"/>
    <w:rsid w:val="00877E6F"/>
    <w:rsid w:val="00877FAC"/>
    <w:rsid w:val="00880053"/>
    <w:rsid w:val="00880195"/>
    <w:rsid w:val="008802CD"/>
    <w:rsid w:val="008804DA"/>
    <w:rsid w:val="00880527"/>
    <w:rsid w:val="008806CA"/>
    <w:rsid w:val="008807C5"/>
    <w:rsid w:val="00880D8B"/>
    <w:rsid w:val="0088111C"/>
    <w:rsid w:val="00881261"/>
    <w:rsid w:val="00881275"/>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AA3"/>
    <w:rsid w:val="00890FAB"/>
    <w:rsid w:val="008911CC"/>
    <w:rsid w:val="0089125B"/>
    <w:rsid w:val="008912F8"/>
    <w:rsid w:val="0089130C"/>
    <w:rsid w:val="00891CB4"/>
    <w:rsid w:val="008923EF"/>
    <w:rsid w:val="00892554"/>
    <w:rsid w:val="008927ED"/>
    <w:rsid w:val="0089297A"/>
    <w:rsid w:val="00892A3A"/>
    <w:rsid w:val="00892A8C"/>
    <w:rsid w:val="00892DD0"/>
    <w:rsid w:val="00892DDB"/>
    <w:rsid w:val="00893391"/>
    <w:rsid w:val="008933EB"/>
    <w:rsid w:val="00893435"/>
    <w:rsid w:val="00893470"/>
    <w:rsid w:val="008939F8"/>
    <w:rsid w:val="00893B31"/>
    <w:rsid w:val="00893B56"/>
    <w:rsid w:val="00893BD4"/>
    <w:rsid w:val="00893C94"/>
    <w:rsid w:val="00893E6C"/>
    <w:rsid w:val="00893E73"/>
    <w:rsid w:val="00893F26"/>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4A6"/>
    <w:rsid w:val="0089762D"/>
    <w:rsid w:val="008978F0"/>
    <w:rsid w:val="008979A2"/>
    <w:rsid w:val="00897CD7"/>
    <w:rsid w:val="008A0463"/>
    <w:rsid w:val="008A069D"/>
    <w:rsid w:val="008A0767"/>
    <w:rsid w:val="008A0B3C"/>
    <w:rsid w:val="008A0F40"/>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3E5"/>
    <w:rsid w:val="008A4796"/>
    <w:rsid w:val="008A4A77"/>
    <w:rsid w:val="008A4B7E"/>
    <w:rsid w:val="008A4D9A"/>
    <w:rsid w:val="008A52CC"/>
    <w:rsid w:val="008A5883"/>
    <w:rsid w:val="008A5A2E"/>
    <w:rsid w:val="008A5A78"/>
    <w:rsid w:val="008A5EC5"/>
    <w:rsid w:val="008A5ED2"/>
    <w:rsid w:val="008A5F93"/>
    <w:rsid w:val="008A60B6"/>
    <w:rsid w:val="008A613D"/>
    <w:rsid w:val="008A632B"/>
    <w:rsid w:val="008A6693"/>
    <w:rsid w:val="008A66CE"/>
    <w:rsid w:val="008A6703"/>
    <w:rsid w:val="008A678E"/>
    <w:rsid w:val="008A6B15"/>
    <w:rsid w:val="008A6DC9"/>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37D"/>
    <w:rsid w:val="008B13EF"/>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70"/>
    <w:rsid w:val="008B5785"/>
    <w:rsid w:val="008B59C0"/>
    <w:rsid w:val="008B5AB2"/>
    <w:rsid w:val="008B5DD6"/>
    <w:rsid w:val="008B5FFB"/>
    <w:rsid w:val="008B63E5"/>
    <w:rsid w:val="008B645E"/>
    <w:rsid w:val="008B675D"/>
    <w:rsid w:val="008B6A03"/>
    <w:rsid w:val="008B6A3E"/>
    <w:rsid w:val="008B6AAE"/>
    <w:rsid w:val="008B6B85"/>
    <w:rsid w:val="008B7090"/>
    <w:rsid w:val="008B71F9"/>
    <w:rsid w:val="008B7214"/>
    <w:rsid w:val="008B7442"/>
    <w:rsid w:val="008B755E"/>
    <w:rsid w:val="008B7576"/>
    <w:rsid w:val="008B7587"/>
    <w:rsid w:val="008B7ADB"/>
    <w:rsid w:val="008B7E1A"/>
    <w:rsid w:val="008B7F6F"/>
    <w:rsid w:val="008B7F91"/>
    <w:rsid w:val="008C0075"/>
    <w:rsid w:val="008C009C"/>
    <w:rsid w:val="008C00FA"/>
    <w:rsid w:val="008C0263"/>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7BE"/>
    <w:rsid w:val="008C18B0"/>
    <w:rsid w:val="008C1B14"/>
    <w:rsid w:val="008C1E23"/>
    <w:rsid w:val="008C20AA"/>
    <w:rsid w:val="008C226E"/>
    <w:rsid w:val="008C228E"/>
    <w:rsid w:val="008C2431"/>
    <w:rsid w:val="008C245A"/>
    <w:rsid w:val="008C25BB"/>
    <w:rsid w:val="008C2847"/>
    <w:rsid w:val="008C29A0"/>
    <w:rsid w:val="008C2C38"/>
    <w:rsid w:val="008C2D87"/>
    <w:rsid w:val="008C2E0B"/>
    <w:rsid w:val="008C30E5"/>
    <w:rsid w:val="008C3214"/>
    <w:rsid w:val="008C3AB7"/>
    <w:rsid w:val="008C3C01"/>
    <w:rsid w:val="008C3F63"/>
    <w:rsid w:val="008C3FB4"/>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71C"/>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BD6"/>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C7A"/>
    <w:rsid w:val="008F0F1F"/>
    <w:rsid w:val="008F0FEA"/>
    <w:rsid w:val="008F13B1"/>
    <w:rsid w:val="008F13F7"/>
    <w:rsid w:val="008F179C"/>
    <w:rsid w:val="008F1957"/>
    <w:rsid w:val="008F19F6"/>
    <w:rsid w:val="008F1D28"/>
    <w:rsid w:val="008F22A6"/>
    <w:rsid w:val="008F2342"/>
    <w:rsid w:val="008F23EF"/>
    <w:rsid w:val="008F245D"/>
    <w:rsid w:val="008F24D9"/>
    <w:rsid w:val="008F2700"/>
    <w:rsid w:val="008F2982"/>
    <w:rsid w:val="008F298A"/>
    <w:rsid w:val="008F2A75"/>
    <w:rsid w:val="008F2F30"/>
    <w:rsid w:val="008F334F"/>
    <w:rsid w:val="008F3A24"/>
    <w:rsid w:val="008F3CB2"/>
    <w:rsid w:val="008F3DCB"/>
    <w:rsid w:val="008F40F9"/>
    <w:rsid w:val="008F475C"/>
    <w:rsid w:val="008F47BE"/>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C0D"/>
    <w:rsid w:val="008F7DFD"/>
    <w:rsid w:val="008F7E2C"/>
    <w:rsid w:val="008F7E8E"/>
    <w:rsid w:val="008F7F68"/>
    <w:rsid w:val="0090019F"/>
    <w:rsid w:val="00900489"/>
    <w:rsid w:val="009004F3"/>
    <w:rsid w:val="009005AD"/>
    <w:rsid w:val="00900AF3"/>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2A5"/>
    <w:rsid w:val="009075C0"/>
    <w:rsid w:val="00907B53"/>
    <w:rsid w:val="00907DC8"/>
    <w:rsid w:val="00910070"/>
    <w:rsid w:val="00910091"/>
    <w:rsid w:val="0091013C"/>
    <w:rsid w:val="00910647"/>
    <w:rsid w:val="00910933"/>
    <w:rsid w:val="00910B75"/>
    <w:rsid w:val="00910CD7"/>
    <w:rsid w:val="00910D1F"/>
    <w:rsid w:val="00910D9D"/>
    <w:rsid w:val="00910E48"/>
    <w:rsid w:val="00910EB3"/>
    <w:rsid w:val="00910EC8"/>
    <w:rsid w:val="00910ECD"/>
    <w:rsid w:val="00910F42"/>
    <w:rsid w:val="009114CB"/>
    <w:rsid w:val="009115D8"/>
    <w:rsid w:val="0091173A"/>
    <w:rsid w:val="009118CD"/>
    <w:rsid w:val="00911944"/>
    <w:rsid w:val="009119E4"/>
    <w:rsid w:val="00911B5B"/>
    <w:rsid w:val="00911C67"/>
    <w:rsid w:val="00911DB0"/>
    <w:rsid w:val="00911E9A"/>
    <w:rsid w:val="00911F43"/>
    <w:rsid w:val="00912218"/>
    <w:rsid w:val="009125E8"/>
    <w:rsid w:val="0091271A"/>
    <w:rsid w:val="0091285C"/>
    <w:rsid w:val="00912C4A"/>
    <w:rsid w:val="00913340"/>
    <w:rsid w:val="0091334E"/>
    <w:rsid w:val="0091366F"/>
    <w:rsid w:val="009137E6"/>
    <w:rsid w:val="009138AF"/>
    <w:rsid w:val="00913AB1"/>
    <w:rsid w:val="00913F2E"/>
    <w:rsid w:val="00913FB0"/>
    <w:rsid w:val="00914434"/>
    <w:rsid w:val="00914541"/>
    <w:rsid w:val="00914ADC"/>
    <w:rsid w:val="00914B9E"/>
    <w:rsid w:val="00914C92"/>
    <w:rsid w:val="00914CBD"/>
    <w:rsid w:val="00914CD6"/>
    <w:rsid w:val="00914E6A"/>
    <w:rsid w:val="00915CA8"/>
    <w:rsid w:val="0091609D"/>
    <w:rsid w:val="009160C5"/>
    <w:rsid w:val="0091610E"/>
    <w:rsid w:val="0091667B"/>
    <w:rsid w:val="00916843"/>
    <w:rsid w:val="009168CA"/>
    <w:rsid w:val="00916D71"/>
    <w:rsid w:val="00916F01"/>
    <w:rsid w:val="009170C8"/>
    <w:rsid w:val="00917156"/>
    <w:rsid w:val="0091717B"/>
    <w:rsid w:val="00917314"/>
    <w:rsid w:val="009173D9"/>
    <w:rsid w:val="009174B1"/>
    <w:rsid w:val="00917578"/>
    <w:rsid w:val="0091779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37F"/>
    <w:rsid w:val="00923842"/>
    <w:rsid w:val="009238E8"/>
    <w:rsid w:val="009239EC"/>
    <w:rsid w:val="00923C11"/>
    <w:rsid w:val="00923CEE"/>
    <w:rsid w:val="00923DA7"/>
    <w:rsid w:val="009245BA"/>
    <w:rsid w:val="009245BB"/>
    <w:rsid w:val="00924790"/>
    <w:rsid w:val="00924837"/>
    <w:rsid w:val="00924A63"/>
    <w:rsid w:val="00924B3F"/>
    <w:rsid w:val="00924C62"/>
    <w:rsid w:val="00924CB4"/>
    <w:rsid w:val="00924CE3"/>
    <w:rsid w:val="00924E2B"/>
    <w:rsid w:val="009250FE"/>
    <w:rsid w:val="009251DE"/>
    <w:rsid w:val="00925307"/>
    <w:rsid w:val="0092537D"/>
    <w:rsid w:val="009254B5"/>
    <w:rsid w:val="00925646"/>
    <w:rsid w:val="00925803"/>
    <w:rsid w:val="00925897"/>
    <w:rsid w:val="00925A28"/>
    <w:rsid w:val="00925ABA"/>
    <w:rsid w:val="00925AFA"/>
    <w:rsid w:val="00925C79"/>
    <w:rsid w:val="0092642B"/>
    <w:rsid w:val="00926670"/>
    <w:rsid w:val="00926964"/>
    <w:rsid w:val="0092697A"/>
    <w:rsid w:val="00926D1D"/>
    <w:rsid w:val="00926F49"/>
    <w:rsid w:val="00926F9E"/>
    <w:rsid w:val="0092726F"/>
    <w:rsid w:val="00927294"/>
    <w:rsid w:val="009273E6"/>
    <w:rsid w:val="009276BC"/>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795"/>
    <w:rsid w:val="00941BB2"/>
    <w:rsid w:val="00942284"/>
    <w:rsid w:val="009425D3"/>
    <w:rsid w:val="009426FB"/>
    <w:rsid w:val="009427D6"/>
    <w:rsid w:val="0094289F"/>
    <w:rsid w:val="00942A0D"/>
    <w:rsid w:val="00943170"/>
    <w:rsid w:val="00943325"/>
    <w:rsid w:val="009436D4"/>
    <w:rsid w:val="0094371D"/>
    <w:rsid w:val="00944482"/>
    <w:rsid w:val="0094449E"/>
    <w:rsid w:val="00944710"/>
    <w:rsid w:val="009447AE"/>
    <w:rsid w:val="00944A5E"/>
    <w:rsid w:val="00944AC7"/>
    <w:rsid w:val="00944B58"/>
    <w:rsid w:val="00944B82"/>
    <w:rsid w:val="00944CDC"/>
    <w:rsid w:val="00944FBB"/>
    <w:rsid w:val="00945102"/>
    <w:rsid w:val="00945400"/>
    <w:rsid w:val="0094548A"/>
    <w:rsid w:val="009454E9"/>
    <w:rsid w:val="009456A6"/>
    <w:rsid w:val="00945790"/>
    <w:rsid w:val="00945824"/>
    <w:rsid w:val="00945E6A"/>
    <w:rsid w:val="00945F83"/>
    <w:rsid w:val="00946254"/>
    <w:rsid w:val="009463F8"/>
    <w:rsid w:val="009465FF"/>
    <w:rsid w:val="00946666"/>
    <w:rsid w:val="009468A6"/>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D9"/>
    <w:rsid w:val="009519F3"/>
    <w:rsid w:val="00951D82"/>
    <w:rsid w:val="00951DE6"/>
    <w:rsid w:val="00952277"/>
    <w:rsid w:val="0095251F"/>
    <w:rsid w:val="009525DB"/>
    <w:rsid w:val="00952604"/>
    <w:rsid w:val="00952779"/>
    <w:rsid w:val="00952801"/>
    <w:rsid w:val="00952846"/>
    <w:rsid w:val="00952860"/>
    <w:rsid w:val="0095293C"/>
    <w:rsid w:val="00952AF8"/>
    <w:rsid w:val="00952DF4"/>
    <w:rsid w:val="00952F68"/>
    <w:rsid w:val="00952FDE"/>
    <w:rsid w:val="00952FF7"/>
    <w:rsid w:val="009533F0"/>
    <w:rsid w:val="0095370F"/>
    <w:rsid w:val="00953740"/>
    <w:rsid w:val="009538E8"/>
    <w:rsid w:val="00953904"/>
    <w:rsid w:val="00953A28"/>
    <w:rsid w:val="00953C20"/>
    <w:rsid w:val="00953EB0"/>
    <w:rsid w:val="00954128"/>
    <w:rsid w:val="009547A7"/>
    <w:rsid w:val="00954DB9"/>
    <w:rsid w:val="00954EF0"/>
    <w:rsid w:val="00954F12"/>
    <w:rsid w:val="00954FFE"/>
    <w:rsid w:val="0095502C"/>
    <w:rsid w:val="00955C13"/>
    <w:rsid w:val="00955DA2"/>
    <w:rsid w:val="00956060"/>
    <w:rsid w:val="009561D9"/>
    <w:rsid w:val="0095632F"/>
    <w:rsid w:val="0095634D"/>
    <w:rsid w:val="00956636"/>
    <w:rsid w:val="00956DAB"/>
    <w:rsid w:val="009576B3"/>
    <w:rsid w:val="00957747"/>
    <w:rsid w:val="009578F0"/>
    <w:rsid w:val="00957AE1"/>
    <w:rsid w:val="00957C00"/>
    <w:rsid w:val="00957C4E"/>
    <w:rsid w:val="00957CB5"/>
    <w:rsid w:val="009606DD"/>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E94"/>
    <w:rsid w:val="009620AB"/>
    <w:rsid w:val="009623CA"/>
    <w:rsid w:val="00962995"/>
    <w:rsid w:val="0096299A"/>
    <w:rsid w:val="00962B1A"/>
    <w:rsid w:val="00962B51"/>
    <w:rsid w:val="009632EE"/>
    <w:rsid w:val="009634DD"/>
    <w:rsid w:val="009636E9"/>
    <w:rsid w:val="00963710"/>
    <w:rsid w:val="009637A9"/>
    <w:rsid w:val="00963872"/>
    <w:rsid w:val="00963C5A"/>
    <w:rsid w:val="00963CC3"/>
    <w:rsid w:val="00963F36"/>
    <w:rsid w:val="00964293"/>
    <w:rsid w:val="00964A43"/>
    <w:rsid w:val="00964C01"/>
    <w:rsid w:val="00964C79"/>
    <w:rsid w:val="00964CEF"/>
    <w:rsid w:val="00964DC8"/>
    <w:rsid w:val="00964F8C"/>
    <w:rsid w:val="00965536"/>
    <w:rsid w:val="0096555E"/>
    <w:rsid w:val="0096572F"/>
    <w:rsid w:val="00965818"/>
    <w:rsid w:val="00965B06"/>
    <w:rsid w:val="00965D37"/>
    <w:rsid w:val="00965F96"/>
    <w:rsid w:val="00966189"/>
    <w:rsid w:val="00966A2D"/>
    <w:rsid w:val="00966D41"/>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EC"/>
    <w:rsid w:val="00975E83"/>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1009"/>
    <w:rsid w:val="00981129"/>
    <w:rsid w:val="0098138D"/>
    <w:rsid w:val="00981D34"/>
    <w:rsid w:val="00981DCC"/>
    <w:rsid w:val="00981F70"/>
    <w:rsid w:val="009820D0"/>
    <w:rsid w:val="0098229E"/>
    <w:rsid w:val="009825DF"/>
    <w:rsid w:val="00982649"/>
    <w:rsid w:val="009828C1"/>
    <w:rsid w:val="00982AB7"/>
    <w:rsid w:val="00982C2F"/>
    <w:rsid w:val="00982E88"/>
    <w:rsid w:val="009836AB"/>
    <w:rsid w:val="009836F3"/>
    <w:rsid w:val="009837E4"/>
    <w:rsid w:val="009839ED"/>
    <w:rsid w:val="00983DF4"/>
    <w:rsid w:val="009840B2"/>
    <w:rsid w:val="009841EB"/>
    <w:rsid w:val="0098446D"/>
    <w:rsid w:val="00984B72"/>
    <w:rsid w:val="00984D78"/>
    <w:rsid w:val="00984DB4"/>
    <w:rsid w:val="0098566D"/>
    <w:rsid w:val="00985747"/>
    <w:rsid w:val="00985935"/>
    <w:rsid w:val="009859F8"/>
    <w:rsid w:val="00985CDA"/>
    <w:rsid w:val="0098618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288"/>
    <w:rsid w:val="009A3307"/>
    <w:rsid w:val="009A348B"/>
    <w:rsid w:val="009A373A"/>
    <w:rsid w:val="009A3F6E"/>
    <w:rsid w:val="009A4086"/>
    <w:rsid w:val="009A496E"/>
    <w:rsid w:val="009A49FC"/>
    <w:rsid w:val="009A4B9A"/>
    <w:rsid w:val="009A4BFB"/>
    <w:rsid w:val="009A4C5A"/>
    <w:rsid w:val="009A4D1D"/>
    <w:rsid w:val="009A5244"/>
    <w:rsid w:val="009A534F"/>
    <w:rsid w:val="009A5375"/>
    <w:rsid w:val="009A5429"/>
    <w:rsid w:val="009A5515"/>
    <w:rsid w:val="009A5677"/>
    <w:rsid w:val="009A585D"/>
    <w:rsid w:val="009A59E9"/>
    <w:rsid w:val="009A5D2A"/>
    <w:rsid w:val="009A5E2B"/>
    <w:rsid w:val="009A5F82"/>
    <w:rsid w:val="009A6025"/>
    <w:rsid w:val="009A62D2"/>
    <w:rsid w:val="009A6737"/>
    <w:rsid w:val="009A6B12"/>
    <w:rsid w:val="009A6E3E"/>
    <w:rsid w:val="009A715B"/>
    <w:rsid w:val="009A720E"/>
    <w:rsid w:val="009A72D1"/>
    <w:rsid w:val="009A73D5"/>
    <w:rsid w:val="009A754F"/>
    <w:rsid w:val="009A75A1"/>
    <w:rsid w:val="009A76CA"/>
    <w:rsid w:val="009A7727"/>
    <w:rsid w:val="009A77B8"/>
    <w:rsid w:val="009A78B4"/>
    <w:rsid w:val="009A7D7B"/>
    <w:rsid w:val="009A7E5E"/>
    <w:rsid w:val="009B0014"/>
    <w:rsid w:val="009B0059"/>
    <w:rsid w:val="009B017F"/>
    <w:rsid w:val="009B03C2"/>
    <w:rsid w:val="009B0A64"/>
    <w:rsid w:val="009B0A8F"/>
    <w:rsid w:val="009B0AD7"/>
    <w:rsid w:val="009B0C7C"/>
    <w:rsid w:val="009B0D21"/>
    <w:rsid w:val="009B1488"/>
    <w:rsid w:val="009B1695"/>
    <w:rsid w:val="009B1905"/>
    <w:rsid w:val="009B2084"/>
    <w:rsid w:val="009B21D9"/>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D64"/>
    <w:rsid w:val="009B4DD2"/>
    <w:rsid w:val="009B4E95"/>
    <w:rsid w:val="009B50D4"/>
    <w:rsid w:val="009B511C"/>
    <w:rsid w:val="009B51FB"/>
    <w:rsid w:val="009B53FA"/>
    <w:rsid w:val="009B55F9"/>
    <w:rsid w:val="009B573E"/>
    <w:rsid w:val="009B5769"/>
    <w:rsid w:val="009B5B35"/>
    <w:rsid w:val="009B5D72"/>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9F8"/>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3F5D"/>
    <w:rsid w:val="009C406A"/>
    <w:rsid w:val="009C42EE"/>
    <w:rsid w:val="009C44CD"/>
    <w:rsid w:val="009C45C5"/>
    <w:rsid w:val="009C45EF"/>
    <w:rsid w:val="009C49DA"/>
    <w:rsid w:val="009C4B2A"/>
    <w:rsid w:val="009C4CA4"/>
    <w:rsid w:val="009C504B"/>
    <w:rsid w:val="009C51B7"/>
    <w:rsid w:val="009C51EC"/>
    <w:rsid w:val="009C5292"/>
    <w:rsid w:val="009C5545"/>
    <w:rsid w:val="009C56FA"/>
    <w:rsid w:val="009C5A5E"/>
    <w:rsid w:val="009C5AA1"/>
    <w:rsid w:val="009C5CBE"/>
    <w:rsid w:val="009C6149"/>
    <w:rsid w:val="009C6159"/>
    <w:rsid w:val="009C61AE"/>
    <w:rsid w:val="009C62AC"/>
    <w:rsid w:val="009C62D6"/>
    <w:rsid w:val="009C63AB"/>
    <w:rsid w:val="009C66AE"/>
    <w:rsid w:val="009C671A"/>
    <w:rsid w:val="009C6848"/>
    <w:rsid w:val="009C692B"/>
    <w:rsid w:val="009C6CAF"/>
    <w:rsid w:val="009C6CBB"/>
    <w:rsid w:val="009C6EF6"/>
    <w:rsid w:val="009C6F46"/>
    <w:rsid w:val="009C71EE"/>
    <w:rsid w:val="009C72A1"/>
    <w:rsid w:val="009C72D8"/>
    <w:rsid w:val="009C72E6"/>
    <w:rsid w:val="009C75A3"/>
    <w:rsid w:val="009C7C37"/>
    <w:rsid w:val="009D0003"/>
    <w:rsid w:val="009D0287"/>
    <w:rsid w:val="009D03DF"/>
    <w:rsid w:val="009D0423"/>
    <w:rsid w:val="009D0542"/>
    <w:rsid w:val="009D06BF"/>
    <w:rsid w:val="009D084E"/>
    <w:rsid w:val="009D08D0"/>
    <w:rsid w:val="009D0CCB"/>
    <w:rsid w:val="009D0CFE"/>
    <w:rsid w:val="009D0D6B"/>
    <w:rsid w:val="009D0F10"/>
    <w:rsid w:val="009D1098"/>
    <w:rsid w:val="009D11A5"/>
    <w:rsid w:val="009D132A"/>
    <w:rsid w:val="009D140C"/>
    <w:rsid w:val="009D167B"/>
    <w:rsid w:val="009D1818"/>
    <w:rsid w:val="009D1872"/>
    <w:rsid w:val="009D1A49"/>
    <w:rsid w:val="009D1A5E"/>
    <w:rsid w:val="009D1A89"/>
    <w:rsid w:val="009D1B60"/>
    <w:rsid w:val="009D1BD5"/>
    <w:rsid w:val="009D1F03"/>
    <w:rsid w:val="009D1F65"/>
    <w:rsid w:val="009D2101"/>
    <w:rsid w:val="009D21D3"/>
    <w:rsid w:val="009D2297"/>
    <w:rsid w:val="009D2349"/>
    <w:rsid w:val="009D2A80"/>
    <w:rsid w:val="009D2B5A"/>
    <w:rsid w:val="009D2B8F"/>
    <w:rsid w:val="009D2C18"/>
    <w:rsid w:val="009D2C19"/>
    <w:rsid w:val="009D3350"/>
    <w:rsid w:val="009D3412"/>
    <w:rsid w:val="009D38C5"/>
    <w:rsid w:val="009D3A8D"/>
    <w:rsid w:val="009D3B84"/>
    <w:rsid w:val="009D3C33"/>
    <w:rsid w:val="009D3CE6"/>
    <w:rsid w:val="009D3F41"/>
    <w:rsid w:val="009D403B"/>
    <w:rsid w:val="009D459C"/>
    <w:rsid w:val="009D470F"/>
    <w:rsid w:val="009D4A13"/>
    <w:rsid w:val="009D4BC6"/>
    <w:rsid w:val="009D4CB8"/>
    <w:rsid w:val="009D4DB0"/>
    <w:rsid w:val="009D4F5E"/>
    <w:rsid w:val="009D5015"/>
    <w:rsid w:val="009D53F1"/>
    <w:rsid w:val="009D5717"/>
    <w:rsid w:val="009D5827"/>
    <w:rsid w:val="009D5CDC"/>
    <w:rsid w:val="009D5D06"/>
    <w:rsid w:val="009D5D22"/>
    <w:rsid w:val="009D5F7E"/>
    <w:rsid w:val="009D600D"/>
    <w:rsid w:val="009D6740"/>
    <w:rsid w:val="009D69B3"/>
    <w:rsid w:val="009D6CAE"/>
    <w:rsid w:val="009D6CF1"/>
    <w:rsid w:val="009D6CFB"/>
    <w:rsid w:val="009D7188"/>
    <w:rsid w:val="009D73A2"/>
    <w:rsid w:val="009D74E9"/>
    <w:rsid w:val="009D75B6"/>
    <w:rsid w:val="009D75D6"/>
    <w:rsid w:val="009D7708"/>
    <w:rsid w:val="009D7C57"/>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8FB"/>
    <w:rsid w:val="009E302B"/>
    <w:rsid w:val="009E32C6"/>
    <w:rsid w:val="009E3533"/>
    <w:rsid w:val="009E398D"/>
    <w:rsid w:val="009E39AA"/>
    <w:rsid w:val="009E4A6A"/>
    <w:rsid w:val="009E505E"/>
    <w:rsid w:val="009E51F0"/>
    <w:rsid w:val="009E53B0"/>
    <w:rsid w:val="009E5427"/>
    <w:rsid w:val="009E55B5"/>
    <w:rsid w:val="009E5615"/>
    <w:rsid w:val="009E568E"/>
    <w:rsid w:val="009E56FE"/>
    <w:rsid w:val="009E57A0"/>
    <w:rsid w:val="009E5C9C"/>
    <w:rsid w:val="009E5E80"/>
    <w:rsid w:val="009E5E96"/>
    <w:rsid w:val="009E5EDD"/>
    <w:rsid w:val="009E6204"/>
    <w:rsid w:val="009E634C"/>
    <w:rsid w:val="009E63CD"/>
    <w:rsid w:val="009E6678"/>
    <w:rsid w:val="009E6783"/>
    <w:rsid w:val="009E688E"/>
    <w:rsid w:val="009E69D7"/>
    <w:rsid w:val="009E6A7A"/>
    <w:rsid w:val="009E6A9C"/>
    <w:rsid w:val="009E6B2A"/>
    <w:rsid w:val="009E6C6E"/>
    <w:rsid w:val="009E6F1A"/>
    <w:rsid w:val="009E6F4F"/>
    <w:rsid w:val="009E7A72"/>
    <w:rsid w:val="009E7DBB"/>
    <w:rsid w:val="009E7EC0"/>
    <w:rsid w:val="009F0011"/>
    <w:rsid w:val="009F062E"/>
    <w:rsid w:val="009F066D"/>
    <w:rsid w:val="009F06A9"/>
    <w:rsid w:val="009F071B"/>
    <w:rsid w:val="009F0D6F"/>
    <w:rsid w:val="009F0FFD"/>
    <w:rsid w:val="009F1428"/>
    <w:rsid w:val="009F152C"/>
    <w:rsid w:val="009F178C"/>
    <w:rsid w:val="009F1AAB"/>
    <w:rsid w:val="009F1B6E"/>
    <w:rsid w:val="009F1E22"/>
    <w:rsid w:val="009F1FA9"/>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76F"/>
    <w:rsid w:val="009F6825"/>
    <w:rsid w:val="009F6847"/>
    <w:rsid w:val="009F6B7C"/>
    <w:rsid w:val="009F6DF8"/>
    <w:rsid w:val="009F6E76"/>
    <w:rsid w:val="009F7088"/>
    <w:rsid w:val="009F70D1"/>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A3E"/>
    <w:rsid w:val="00A04C50"/>
    <w:rsid w:val="00A0511E"/>
    <w:rsid w:val="00A052ED"/>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7F2"/>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0C9"/>
    <w:rsid w:val="00A2035D"/>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CFD"/>
    <w:rsid w:val="00A21E42"/>
    <w:rsid w:val="00A21E7F"/>
    <w:rsid w:val="00A2204D"/>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C43"/>
    <w:rsid w:val="00A26D05"/>
    <w:rsid w:val="00A270AB"/>
    <w:rsid w:val="00A2723B"/>
    <w:rsid w:val="00A273B8"/>
    <w:rsid w:val="00A278A8"/>
    <w:rsid w:val="00A27C55"/>
    <w:rsid w:val="00A27D07"/>
    <w:rsid w:val="00A27E3F"/>
    <w:rsid w:val="00A27EE4"/>
    <w:rsid w:val="00A27F0F"/>
    <w:rsid w:val="00A300BA"/>
    <w:rsid w:val="00A30141"/>
    <w:rsid w:val="00A30292"/>
    <w:rsid w:val="00A302D6"/>
    <w:rsid w:val="00A30493"/>
    <w:rsid w:val="00A305DD"/>
    <w:rsid w:val="00A30B0B"/>
    <w:rsid w:val="00A30C76"/>
    <w:rsid w:val="00A30CDF"/>
    <w:rsid w:val="00A30F34"/>
    <w:rsid w:val="00A31059"/>
    <w:rsid w:val="00A31572"/>
    <w:rsid w:val="00A317A5"/>
    <w:rsid w:val="00A3190D"/>
    <w:rsid w:val="00A319E6"/>
    <w:rsid w:val="00A31B12"/>
    <w:rsid w:val="00A31BBD"/>
    <w:rsid w:val="00A31D41"/>
    <w:rsid w:val="00A3208A"/>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8FC"/>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1BA"/>
    <w:rsid w:val="00A50442"/>
    <w:rsid w:val="00A5083B"/>
    <w:rsid w:val="00A50851"/>
    <w:rsid w:val="00A50BEE"/>
    <w:rsid w:val="00A50C46"/>
    <w:rsid w:val="00A50F5C"/>
    <w:rsid w:val="00A50FC2"/>
    <w:rsid w:val="00A514E9"/>
    <w:rsid w:val="00A5162C"/>
    <w:rsid w:val="00A51DA9"/>
    <w:rsid w:val="00A521D5"/>
    <w:rsid w:val="00A5270C"/>
    <w:rsid w:val="00A5270F"/>
    <w:rsid w:val="00A528B6"/>
    <w:rsid w:val="00A52972"/>
    <w:rsid w:val="00A52B47"/>
    <w:rsid w:val="00A52C60"/>
    <w:rsid w:val="00A52C70"/>
    <w:rsid w:val="00A52EEF"/>
    <w:rsid w:val="00A52F72"/>
    <w:rsid w:val="00A53061"/>
    <w:rsid w:val="00A530F1"/>
    <w:rsid w:val="00A530FD"/>
    <w:rsid w:val="00A53276"/>
    <w:rsid w:val="00A5356F"/>
    <w:rsid w:val="00A53B53"/>
    <w:rsid w:val="00A53D3C"/>
    <w:rsid w:val="00A54038"/>
    <w:rsid w:val="00A54414"/>
    <w:rsid w:val="00A545D5"/>
    <w:rsid w:val="00A546C5"/>
    <w:rsid w:val="00A54B2F"/>
    <w:rsid w:val="00A54C74"/>
    <w:rsid w:val="00A54D26"/>
    <w:rsid w:val="00A54D4F"/>
    <w:rsid w:val="00A54E65"/>
    <w:rsid w:val="00A54E86"/>
    <w:rsid w:val="00A551E5"/>
    <w:rsid w:val="00A555C5"/>
    <w:rsid w:val="00A55B14"/>
    <w:rsid w:val="00A55DD1"/>
    <w:rsid w:val="00A55F56"/>
    <w:rsid w:val="00A55FEF"/>
    <w:rsid w:val="00A56309"/>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D5A"/>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B88"/>
    <w:rsid w:val="00A66CB2"/>
    <w:rsid w:val="00A66DDD"/>
    <w:rsid w:val="00A67120"/>
    <w:rsid w:val="00A6739E"/>
    <w:rsid w:val="00A676A8"/>
    <w:rsid w:val="00A67883"/>
    <w:rsid w:val="00A67886"/>
    <w:rsid w:val="00A678A4"/>
    <w:rsid w:val="00A67C35"/>
    <w:rsid w:val="00A70367"/>
    <w:rsid w:val="00A7040A"/>
    <w:rsid w:val="00A704A9"/>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CD"/>
    <w:rsid w:val="00A746E1"/>
    <w:rsid w:val="00A74A99"/>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79"/>
    <w:rsid w:val="00A85B24"/>
    <w:rsid w:val="00A85D22"/>
    <w:rsid w:val="00A85DB8"/>
    <w:rsid w:val="00A85DDA"/>
    <w:rsid w:val="00A85E33"/>
    <w:rsid w:val="00A860B6"/>
    <w:rsid w:val="00A86101"/>
    <w:rsid w:val="00A8630B"/>
    <w:rsid w:val="00A866B8"/>
    <w:rsid w:val="00A8680E"/>
    <w:rsid w:val="00A8689B"/>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DEA"/>
    <w:rsid w:val="00A90E6B"/>
    <w:rsid w:val="00A90E85"/>
    <w:rsid w:val="00A90FA1"/>
    <w:rsid w:val="00A90FA4"/>
    <w:rsid w:val="00A91174"/>
    <w:rsid w:val="00A91189"/>
    <w:rsid w:val="00A9174A"/>
    <w:rsid w:val="00A91A1C"/>
    <w:rsid w:val="00A91ACD"/>
    <w:rsid w:val="00A91EDF"/>
    <w:rsid w:val="00A92347"/>
    <w:rsid w:val="00A92407"/>
    <w:rsid w:val="00A9253B"/>
    <w:rsid w:val="00A925F3"/>
    <w:rsid w:val="00A92DAC"/>
    <w:rsid w:val="00A92DF9"/>
    <w:rsid w:val="00A92EF0"/>
    <w:rsid w:val="00A93101"/>
    <w:rsid w:val="00A9338F"/>
    <w:rsid w:val="00A935BD"/>
    <w:rsid w:val="00A93D0E"/>
    <w:rsid w:val="00A93F0B"/>
    <w:rsid w:val="00A93F4F"/>
    <w:rsid w:val="00A940DF"/>
    <w:rsid w:val="00A9421F"/>
    <w:rsid w:val="00A94354"/>
    <w:rsid w:val="00A94843"/>
    <w:rsid w:val="00A94BD7"/>
    <w:rsid w:val="00A94CA0"/>
    <w:rsid w:val="00A94DED"/>
    <w:rsid w:val="00A94EA5"/>
    <w:rsid w:val="00A94F39"/>
    <w:rsid w:val="00A950FC"/>
    <w:rsid w:val="00A95198"/>
    <w:rsid w:val="00A95962"/>
    <w:rsid w:val="00A95C7A"/>
    <w:rsid w:val="00A95CA5"/>
    <w:rsid w:val="00A95E7D"/>
    <w:rsid w:val="00A961B5"/>
    <w:rsid w:val="00A96605"/>
    <w:rsid w:val="00A96A05"/>
    <w:rsid w:val="00A96BAE"/>
    <w:rsid w:val="00A96C2C"/>
    <w:rsid w:val="00A96E7E"/>
    <w:rsid w:val="00A96F1A"/>
    <w:rsid w:val="00A97116"/>
    <w:rsid w:val="00A9715D"/>
    <w:rsid w:val="00A971CA"/>
    <w:rsid w:val="00A9730E"/>
    <w:rsid w:val="00A974D5"/>
    <w:rsid w:val="00A97536"/>
    <w:rsid w:val="00A97551"/>
    <w:rsid w:val="00A97581"/>
    <w:rsid w:val="00A9766F"/>
    <w:rsid w:val="00A977C6"/>
    <w:rsid w:val="00A97857"/>
    <w:rsid w:val="00A97E78"/>
    <w:rsid w:val="00A97FF2"/>
    <w:rsid w:val="00AA003E"/>
    <w:rsid w:val="00AA007C"/>
    <w:rsid w:val="00AA00EC"/>
    <w:rsid w:val="00AA02B1"/>
    <w:rsid w:val="00AA0746"/>
    <w:rsid w:val="00AA089A"/>
    <w:rsid w:val="00AA09A4"/>
    <w:rsid w:val="00AA0A27"/>
    <w:rsid w:val="00AA0AA9"/>
    <w:rsid w:val="00AA125A"/>
    <w:rsid w:val="00AA1285"/>
    <w:rsid w:val="00AA1692"/>
    <w:rsid w:val="00AA1718"/>
    <w:rsid w:val="00AA17CC"/>
    <w:rsid w:val="00AA191A"/>
    <w:rsid w:val="00AA1937"/>
    <w:rsid w:val="00AA1A34"/>
    <w:rsid w:val="00AA1AE8"/>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7D6"/>
    <w:rsid w:val="00AA480C"/>
    <w:rsid w:val="00AA4D54"/>
    <w:rsid w:val="00AA4E39"/>
    <w:rsid w:val="00AA54CD"/>
    <w:rsid w:val="00AA5555"/>
    <w:rsid w:val="00AA5760"/>
    <w:rsid w:val="00AA5B08"/>
    <w:rsid w:val="00AA5C8A"/>
    <w:rsid w:val="00AA5CD0"/>
    <w:rsid w:val="00AA60C0"/>
    <w:rsid w:val="00AA6193"/>
    <w:rsid w:val="00AA6619"/>
    <w:rsid w:val="00AA6802"/>
    <w:rsid w:val="00AA6883"/>
    <w:rsid w:val="00AA6A4A"/>
    <w:rsid w:val="00AA6BDE"/>
    <w:rsid w:val="00AA6C82"/>
    <w:rsid w:val="00AA6F9F"/>
    <w:rsid w:val="00AA7001"/>
    <w:rsid w:val="00AA7011"/>
    <w:rsid w:val="00AA72DA"/>
    <w:rsid w:val="00AA7944"/>
    <w:rsid w:val="00AA7B1B"/>
    <w:rsid w:val="00AA7BC6"/>
    <w:rsid w:val="00AB01F4"/>
    <w:rsid w:val="00AB02E6"/>
    <w:rsid w:val="00AB05B1"/>
    <w:rsid w:val="00AB0645"/>
    <w:rsid w:val="00AB0869"/>
    <w:rsid w:val="00AB0990"/>
    <w:rsid w:val="00AB0A9D"/>
    <w:rsid w:val="00AB0B8A"/>
    <w:rsid w:val="00AB1678"/>
    <w:rsid w:val="00AB16D4"/>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2"/>
    <w:rsid w:val="00AB5793"/>
    <w:rsid w:val="00AB57AE"/>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73C"/>
    <w:rsid w:val="00AB69CE"/>
    <w:rsid w:val="00AB6B08"/>
    <w:rsid w:val="00AB6B2B"/>
    <w:rsid w:val="00AB6BF7"/>
    <w:rsid w:val="00AB72AD"/>
    <w:rsid w:val="00AB7706"/>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CE"/>
    <w:rsid w:val="00AC1B93"/>
    <w:rsid w:val="00AC20E6"/>
    <w:rsid w:val="00AC210F"/>
    <w:rsid w:val="00AC23F5"/>
    <w:rsid w:val="00AC2CC1"/>
    <w:rsid w:val="00AC2D3F"/>
    <w:rsid w:val="00AC2DD6"/>
    <w:rsid w:val="00AC2E0C"/>
    <w:rsid w:val="00AC2E89"/>
    <w:rsid w:val="00AC2F2D"/>
    <w:rsid w:val="00AC31D1"/>
    <w:rsid w:val="00AC33F1"/>
    <w:rsid w:val="00AC3717"/>
    <w:rsid w:val="00AC39D0"/>
    <w:rsid w:val="00AC3A68"/>
    <w:rsid w:val="00AC3FBF"/>
    <w:rsid w:val="00AC4C08"/>
    <w:rsid w:val="00AC511C"/>
    <w:rsid w:val="00AC5357"/>
    <w:rsid w:val="00AC566A"/>
    <w:rsid w:val="00AC5D9D"/>
    <w:rsid w:val="00AC5DDE"/>
    <w:rsid w:val="00AC5F08"/>
    <w:rsid w:val="00AC614A"/>
    <w:rsid w:val="00AC62F8"/>
    <w:rsid w:val="00AC64A3"/>
    <w:rsid w:val="00AC6845"/>
    <w:rsid w:val="00AC6A5A"/>
    <w:rsid w:val="00AC6A9B"/>
    <w:rsid w:val="00AC6CA4"/>
    <w:rsid w:val="00AC6F11"/>
    <w:rsid w:val="00AC6F2E"/>
    <w:rsid w:val="00AC736F"/>
    <w:rsid w:val="00AC756F"/>
    <w:rsid w:val="00AC7D08"/>
    <w:rsid w:val="00AC7DAA"/>
    <w:rsid w:val="00AD0099"/>
    <w:rsid w:val="00AD0135"/>
    <w:rsid w:val="00AD06E3"/>
    <w:rsid w:val="00AD0AF2"/>
    <w:rsid w:val="00AD0D6E"/>
    <w:rsid w:val="00AD1124"/>
    <w:rsid w:val="00AD1174"/>
    <w:rsid w:val="00AD176A"/>
    <w:rsid w:val="00AD1808"/>
    <w:rsid w:val="00AD19BD"/>
    <w:rsid w:val="00AD1AFF"/>
    <w:rsid w:val="00AD209C"/>
    <w:rsid w:val="00AD235D"/>
    <w:rsid w:val="00AD2668"/>
    <w:rsid w:val="00AD293E"/>
    <w:rsid w:val="00AD2D43"/>
    <w:rsid w:val="00AD3383"/>
    <w:rsid w:val="00AD34AA"/>
    <w:rsid w:val="00AD351F"/>
    <w:rsid w:val="00AD36DC"/>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3B5"/>
    <w:rsid w:val="00AD65A4"/>
    <w:rsid w:val="00AD678D"/>
    <w:rsid w:val="00AD67CF"/>
    <w:rsid w:val="00AD6BDF"/>
    <w:rsid w:val="00AD70DA"/>
    <w:rsid w:val="00AD73C9"/>
    <w:rsid w:val="00AD7586"/>
    <w:rsid w:val="00AD75BF"/>
    <w:rsid w:val="00AD764F"/>
    <w:rsid w:val="00AD76AE"/>
    <w:rsid w:val="00AD76E3"/>
    <w:rsid w:val="00AD77CA"/>
    <w:rsid w:val="00AD78E8"/>
    <w:rsid w:val="00AD7A28"/>
    <w:rsid w:val="00AD7CE7"/>
    <w:rsid w:val="00AD7F1E"/>
    <w:rsid w:val="00AD7F21"/>
    <w:rsid w:val="00AD7F73"/>
    <w:rsid w:val="00AE0298"/>
    <w:rsid w:val="00AE038C"/>
    <w:rsid w:val="00AE047F"/>
    <w:rsid w:val="00AE072D"/>
    <w:rsid w:val="00AE075D"/>
    <w:rsid w:val="00AE08B3"/>
    <w:rsid w:val="00AE0B6E"/>
    <w:rsid w:val="00AE0C70"/>
    <w:rsid w:val="00AE0D0A"/>
    <w:rsid w:val="00AE0F81"/>
    <w:rsid w:val="00AE1330"/>
    <w:rsid w:val="00AE1634"/>
    <w:rsid w:val="00AE16FE"/>
    <w:rsid w:val="00AE1733"/>
    <w:rsid w:val="00AE17FC"/>
    <w:rsid w:val="00AE1A0B"/>
    <w:rsid w:val="00AE1FE4"/>
    <w:rsid w:val="00AE206E"/>
    <w:rsid w:val="00AE262B"/>
    <w:rsid w:val="00AE27F4"/>
    <w:rsid w:val="00AE27F9"/>
    <w:rsid w:val="00AE2C2B"/>
    <w:rsid w:val="00AE2F84"/>
    <w:rsid w:val="00AE3058"/>
    <w:rsid w:val="00AE3310"/>
    <w:rsid w:val="00AE354F"/>
    <w:rsid w:val="00AE37A1"/>
    <w:rsid w:val="00AE3956"/>
    <w:rsid w:val="00AE3A4F"/>
    <w:rsid w:val="00AE3C34"/>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AE6"/>
    <w:rsid w:val="00AF0B8F"/>
    <w:rsid w:val="00AF0C0E"/>
    <w:rsid w:val="00AF0F53"/>
    <w:rsid w:val="00AF15AF"/>
    <w:rsid w:val="00AF1672"/>
    <w:rsid w:val="00AF1CF7"/>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40A0"/>
    <w:rsid w:val="00AF44F8"/>
    <w:rsid w:val="00AF4514"/>
    <w:rsid w:val="00AF46C4"/>
    <w:rsid w:val="00AF46C7"/>
    <w:rsid w:val="00AF4717"/>
    <w:rsid w:val="00AF4956"/>
    <w:rsid w:val="00AF4F74"/>
    <w:rsid w:val="00AF53A4"/>
    <w:rsid w:val="00AF5798"/>
    <w:rsid w:val="00AF5815"/>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B19"/>
    <w:rsid w:val="00B00D80"/>
    <w:rsid w:val="00B00F03"/>
    <w:rsid w:val="00B012CC"/>
    <w:rsid w:val="00B014DC"/>
    <w:rsid w:val="00B0177D"/>
    <w:rsid w:val="00B01887"/>
    <w:rsid w:val="00B01E07"/>
    <w:rsid w:val="00B0237B"/>
    <w:rsid w:val="00B02BFB"/>
    <w:rsid w:val="00B030F8"/>
    <w:rsid w:val="00B03106"/>
    <w:rsid w:val="00B03253"/>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3D"/>
    <w:rsid w:val="00B11A60"/>
    <w:rsid w:val="00B11A88"/>
    <w:rsid w:val="00B11CB2"/>
    <w:rsid w:val="00B11DB8"/>
    <w:rsid w:val="00B12206"/>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880"/>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E2D"/>
    <w:rsid w:val="00B21494"/>
    <w:rsid w:val="00B21D08"/>
    <w:rsid w:val="00B21D2C"/>
    <w:rsid w:val="00B22269"/>
    <w:rsid w:val="00B222C8"/>
    <w:rsid w:val="00B2243C"/>
    <w:rsid w:val="00B225FE"/>
    <w:rsid w:val="00B226F2"/>
    <w:rsid w:val="00B2274E"/>
    <w:rsid w:val="00B227C5"/>
    <w:rsid w:val="00B22801"/>
    <w:rsid w:val="00B22829"/>
    <w:rsid w:val="00B22AC3"/>
    <w:rsid w:val="00B22C26"/>
    <w:rsid w:val="00B22FC1"/>
    <w:rsid w:val="00B230D5"/>
    <w:rsid w:val="00B23827"/>
    <w:rsid w:val="00B23932"/>
    <w:rsid w:val="00B23B32"/>
    <w:rsid w:val="00B23D98"/>
    <w:rsid w:val="00B23DCC"/>
    <w:rsid w:val="00B23F0D"/>
    <w:rsid w:val="00B23F89"/>
    <w:rsid w:val="00B2413F"/>
    <w:rsid w:val="00B246A8"/>
    <w:rsid w:val="00B24924"/>
    <w:rsid w:val="00B2492E"/>
    <w:rsid w:val="00B24C0A"/>
    <w:rsid w:val="00B24C8B"/>
    <w:rsid w:val="00B24E0C"/>
    <w:rsid w:val="00B24EB8"/>
    <w:rsid w:val="00B24EE1"/>
    <w:rsid w:val="00B253C9"/>
    <w:rsid w:val="00B257ED"/>
    <w:rsid w:val="00B258F6"/>
    <w:rsid w:val="00B25950"/>
    <w:rsid w:val="00B25A65"/>
    <w:rsid w:val="00B25B7D"/>
    <w:rsid w:val="00B25D02"/>
    <w:rsid w:val="00B25DA4"/>
    <w:rsid w:val="00B262F8"/>
    <w:rsid w:val="00B2660F"/>
    <w:rsid w:val="00B2669B"/>
    <w:rsid w:val="00B2681A"/>
    <w:rsid w:val="00B268AA"/>
    <w:rsid w:val="00B26ADC"/>
    <w:rsid w:val="00B26C56"/>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6F3"/>
    <w:rsid w:val="00B31982"/>
    <w:rsid w:val="00B31A2B"/>
    <w:rsid w:val="00B31A5C"/>
    <w:rsid w:val="00B31FDF"/>
    <w:rsid w:val="00B3227B"/>
    <w:rsid w:val="00B3235B"/>
    <w:rsid w:val="00B3261B"/>
    <w:rsid w:val="00B3269A"/>
    <w:rsid w:val="00B32BB0"/>
    <w:rsid w:val="00B33185"/>
    <w:rsid w:val="00B33196"/>
    <w:rsid w:val="00B331B4"/>
    <w:rsid w:val="00B3334F"/>
    <w:rsid w:val="00B333C6"/>
    <w:rsid w:val="00B341E3"/>
    <w:rsid w:val="00B3449D"/>
    <w:rsid w:val="00B34511"/>
    <w:rsid w:val="00B34768"/>
    <w:rsid w:val="00B34B78"/>
    <w:rsid w:val="00B34BD6"/>
    <w:rsid w:val="00B34D6A"/>
    <w:rsid w:val="00B34F23"/>
    <w:rsid w:val="00B34F3A"/>
    <w:rsid w:val="00B35083"/>
    <w:rsid w:val="00B35799"/>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935"/>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319D"/>
    <w:rsid w:val="00B44310"/>
    <w:rsid w:val="00B443C7"/>
    <w:rsid w:val="00B44697"/>
    <w:rsid w:val="00B446B0"/>
    <w:rsid w:val="00B446CA"/>
    <w:rsid w:val="00B447CE"/>
    <w:rsid w:val="00B447D6"/>
    <w:rsid w:val="00B4488D"/>
    <w:rsid w:val="00B449E8"/>
    <w:rsid w:val="00B44A4E"/>
    <w:rsid w:val="00B44AAD"/>
    <w:rsid w:val="00B44D2A"/>
    <w:rsid w:val="00B44F0C"/>
    <w:rsid w:val="00B45037"/>
    <w:rsid w:val="00B4511E"/>
    <w:rsid w:val="00B4536F"/>
    <w:rsid w:val="00B453FF"/>
    <w:rsid w:val="00B45BB7"/>
    <w:rsid w:val="00B45F88"/>
    <w:rsid w:val="00B4604D"/>
    <w:rsid w:val="00B46080"/>
    <w:rsid w:val="00B461B6"/>
    <w:rsid w:val="00B463FF"/>
    <w:rsid w:val="00B464EF"/>
    <w:rsid w:val="00B464F1"/>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711"/>
    <w:rsid w:val="00B50AB8"/>
    <w:rsid w:val="00B50C6A"/>
    <w:rsid w:val="00B50C8A"/>
    <w:rsid w:val="00B5149E"/>
    <w:rsid w:val="00B517F8"/>
    <w:rsid w:val="00B5183F"/>
    <w:rsid w:val="00B51979"/>
    <w:rsid w:val="00B51A65"/>
    <w:rsid w:val="00B51A6A"/>
    <w:rsid w:val="00B51C62"/>
    <w:rsid w:val="00B51DBB"/>
    <w:rsid w:val="00B51FF2"/>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EFA"/>
    <w:rsid w:val="00B55F8D"/>
    <w:rsid w:val="00B56297"/>
    <w:rsid w:val="00B5651D"/>
    <w:rsid w:val="00B56796"/>
    <w:rsid w:val="00B56AF7"/>
    <w:rsid w:val="00B56B9B"/>
    <w:rsid w:val="00B56B9D"/>
    <w:rsid w:val="00B56F47"/>
    <w:rsid w:val="00B57039"/>
    <w:rsid w:val="00B574D6"/>
    <w:rsid w:val="00B574DA"/>
    <w:rsid w:val="00B579C3"/>
    <w:rsid w:val="00B57A5C"/>
    <w:rsid w:val="00B57BB6"/>
    <w:rsid w:val="00B57DA4"/>
    <w:rsid w:val="00B57DFA"/>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9DF"/>
    <w:rsid w:val="00B64BC8"/>
    <w:rsid w:val="00B64D0E"/>
    <w:rsid w:val="00B654E9"/>
    <w:rsid w:val="00B656C5"/>
    <w:rsid w:val="00B656FE"/>
    <w:rsid w:val="00B65D77"/>
    <w:rsid w:val="00B66018"/>
    <w:rsid w:val="00B66127"/>
    <w:rsid w:val="00B6616E"/>
    <w:rsid w:val="00B663DD"/>
    <w:rsid w:val="00B6647A"/>
    <w:rsid w:val="00B6687A"/>
    <w:rsid w:val="00B66C15"/>
    <w:rsid w:val="00B66F68"/>
    <w:rsid w:val="00B67187"/>
    <w:rsid w:val="00B67286"/>
    <w:rsid w:val="00B6733A"/>
    <w:rsid w:val="00B6766B"/>
    <w:rsid w:val="00B67681"/>
    <w:rsid w:val="00B67741"/>
    <w:rsid w:val="00B6789A"/>
    <w:rsid w:val="00B67DD3"/>
    <w:rsid w:val="00B67FAD"/>
    <w:rsid w:val="00B7022A"/>
    <w:rsid w:val="00B7048E"/>
    <w:rsid w:val="00B705FC"/>
    <w:rsid w:val="00B70771"/>
    <w:rsid w:val="00B709B3"/>
    <w:rsid w:val="00B71188"/>
    <w:rsid w:val="00B71267"/>
    <w:rsid w:val="00B714AC"/>
    <w:rsid w:val="00B7153E"/>
    <w:rsid w:val="00B716A9"/>
    <w:rsid w:val="00B71881"/>
    <w:rsid w:val="00B71BFD"/>
    <w:rsid w:val="00B72081"/>
    <w:rsid w:val="00B7217B"/>
    <w:rsid w:val="00B721D9"/>
    <w:rsid w:val="00B7226F"/>
    <w:rsid w:val="00B72356"/>
    <w:rsid w:val="00B72639"/>
    <w:rsid w:val="00B72767"/>
    <w:rsid w:val="00B72948"/>
    <w:rsid w:val="00B72C26"/>
    <w:rsid w:val="00B72E2A"/>
    <w:rsid w:val="00B72F6D"/>
    <w:rsid w:val="00B72FA9"/>
    <w:rsid w:val="00B73062"/>
    <w:rsid w:val="00B732F6"/>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08E"/>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B95"/>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C4B"/>
    <w:rsid w:val="00B86EC0"/>
    <w:rsid w:val="00B86F6F"/>
    <w:rsid w:val="00B87083"/>
    <w:rsid w:val="00B87270"/>
    <w:rsid w:val="00B87385"/>
    <w:rsid w:val="00B879AB"/>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45C"/>
    <w:rsid w:val="00B93600"/>
    <w:rsid w:val="00B93637"/>
    <w:rsid w:val="00B93767"/>
    <w:rsid w:val="00B9388F"/>
    <w:rsid w:val="00B93B72"/>
    <w:rsid w:val="00B93F6C"/>
    <w:rsid w:val="00B94007"/>
    <w:rsid w:val="00B945FA"/>
    <w:rsid w:val="00B948DA"/>
    <w:rsid w:val="00B94CD2"/>
    <w:rsid w:val="00B95341"/>
    <w:rsid w:val="00B9536A"/>
    <w:rsid w:val="00B953FA"/>
    <w:rsid w:val="00B95AB0"/>
    <w:rsid w:val="00B95C70"/>
    <w:rsid w:val="00B95DBF"/>
    <w:rsid w:val="00B95E24"/>
    <w:rsid w:val="00B96224"/>
    <w:rsid w:val="00B9626C"/>
    <w:rsid w:val="00B962F3"/>
    <w:rsid w:val="00B96333"/>
    <w:rsid w:val="00B96418"/>
    <w:rsid w:val="00B9649D"/>
    <w:rsid w:val="00B96679"/>
    <w:rsid w:val="00B96C70"/>
    <w:rsid w:val="00B96D4F"/>
    <w:rsid w:val="00B96D54"/>
    <w:rsid w:val="00B96ED9"/>
    <w:rsid w:val="00B97104"/>
    <w:rsid w:val="00B977B6"/>
    <w:rsid w:val="00B977DA"/>
    <w:rsid w:val="00B97934"/>
    <w:rsid w:val="00B97A1F"/>
    <w:rsid w:val="00B97A26"/>
    <w:rsid w:val="00B97A7A"/>
    <w:rsid w:val="00B97D6A"/>
    <w:rsid w:val="00B97D76"/>
    <w:rsid w:val="00BA01F4"/>
    <w:rsid w:val="00BA0325"/>
    <w:rsid w:val="00BA03BD"/>
    <w:rsid w:val="00BA04CC"/>
    <w:rsid w:val="00BA0564"/>
    <w:rsid w:val="00BA070E"/>
    <w:rsid w:val="00BA083E"/>
    <w:rsid w:val="00BA08F2"/>
    <w:rsid w:val="00BA0A5E"/>
    <w:rsid w:val="00BA0BB1"/>
    <w:rsid w:val="00BA0D70"/>
    <w:rsid w:val="00BA1112"/>
    <w:rsid w:val="00BA12C3"/>
    <w:rsid w:val="00BA1432"/>
    <w:rsid w:val="00BA15B9"/>
    <w:rsid w:val="00BA1913"/>
    <w:rsid w:val="00BA198C"/>
    <w:rsid w:val="00BA1C33"/>
    <w:rsid w:val="00BA1DA0"/>
    <w:rsid w:val="00BA1DF1"/>
    <w:rsid w:val="00BA1F19"/>
    <w:rsid w:val="00BA1FBE"/>
    <w:rsid w:val="00BA23F6"/>
    <w:rsid w:val="00BA242D"/>
    <w:rsid w:val="00BA246A"/>
    <w:rsid w:val="00BA27FC"/>
    <w:rsid w:val="00BA3430"/>
    <w:rsid w:val="00BA388A"/>
    <w:rsid w:val="00BA3A40"/>
    <w:rsid w:val="00BA3FED"/>
    <w:rsid w:val="00BA401F"/>
    <w:rsid w:val="00BA424C"/>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9D"/>
    <w:rsid w:val="00BB24FC"/>
    <w:rsid w:val="00BB2559"/>
    <w:rsid w:val="00BB27C6"/>
    <w:rsid w:val="00BB2883"/>
    <w:rsid w:val="00BB29BF"/>
    <w:rsid w:val="00BB2B37"/>
    <w:rsid w:val="00BB2CC6"/>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53A"/>
    <w:rsid w:val="00BB5564"/>
    <w:rsid w:val="00BB5576"/>
    <w:rsid w:val="00BB55B4"/>
    <w:rsid w:val="00BB55E2"/>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C20"/>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05"/>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4F8A"/>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6E9E"/>
    <w:rsid w:val="00BC6ECA"/>
    <w:rsid w:val="00BC703D"/>
    <w:rsid w:val="00BC721C"/>
    <w:rsid w:val="00BC7362"/>
    <w:rsid w:val="00BC75DF"/>
    <w:rsid w:val="00BC7825"/>
    <w:rsid w:val="00BC7915"/>
    <w:rsid w:val="00BC79A7"/>
    <w:rsid w:val="00BC7A40"/>
    <w:rsid w:val="00BC7AE1"/>
    <w:rsid w:val="00BC7E8F"/>
    <w:rsid w:val="00BC7EA1"/>
    <w:rsid w:val="00BC7EC1"/>
    <w:rsid w:val="00BD0237"/>
    <w:rsid w:val="00BD031C"/>
    <w:rsid w:val="00BD03EE"/>
    <w:rsid w:val="00BD08EC"/>
    <w:rsid w:val="00BD0992"/>
    <w:rsid w:val="00BD0A98"/>
    <w:rsid w:val="00BD0ADB"/>
    <w:rsid w:val="00BD0B34"/>
    <w:rsid w:val="00BD0E5B"/>
    <w:rsid w:val="00BD0FFE"/>
    <w:rsid w:val="00BD123F"/>
    <w:rsid w:val="00BD133D"/>
    <w:rsid w:val="00BD1389"/>
    <w:rsid w:val="00BD1500"/>
    <w:rsid w:val="00BD1589"/>
    <w:rsid w:val="00BD172C"/>
    <w:rsid w:val="00BD1792"/>
    <w:rsid w:val="00BD1A29"/>
    <w:rsid w:val="00BD1ABB"/>
    <w:rsid w:val="00BD1AC4"/>
    <w:rsid w:val="00BD1B2D"/>
    <w:rsid w:val="00BD1C3D"/>
    <w:rsid w:val="00BD272A"/>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80C"/>
    <w:rsid w:val="00BD4B10"/>
    <w:rsid w:val="00BD4C67"/>
    <w:rsid w:val="00BD4CC2"/>
    <w:rsid w:val="00BD4CED"/>
    <w:rsid w:val="00BD4EE8"/>
    <w:rsid w:val="00BD4F99"/>
    <w:rsid w:val="00BD5101"/>
    <w:rsid w:val="00BD5375"/>
    <w:rsid w:val="00BD5397"/>
    <w:rsid w:val="00BD53A6"/>
    <w:rsid w:val="00BD58C0"/>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0B5"/>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A40"/>
    <w:rsid w:val="00BE53DF"/>
    <w:rsid w:val="00BE54CF"/>
    <w:rsid w:val="00BE5604"/>
    <w:rsid w:val="00BE5642"/>
    <w:rsid w:val="00BE5713"/>
    <w:rsid w:val="00BE58BD"/>
    <w:rsid w:val="00BE5911"/>
    <w:rsid w:val="00BE5B3A"/>
    <w:rsid w:val="00BE5BC0"/>
    <w:rsid w:val="00BE5D30"/>
    <w:rsid w:val="00BE5FB5"/>
    <w:rsid w:val="00BE601E"/>
    <w:rsid w:val="00BE6056"/>
    <w:rsid w:val="00BE61E0"/>
    <w:rsid w:val="00BE6434"/>
    <w:rsid w:val="00BE65A9"/>
    <w:rsid w:val="00BE66CD"/>
    <w:rsid w:val="00BE6749"/>
    <w:rsid w:val="00BE6796"/>
    <w:rsid w:val="00BE680A"/>
    <w:rsid w:val="00BE69C2"/>
    <w:rsid w:val="00BE6B3F"/>
    <w:rsid w:val="00BE6C29"/>
    <w:rsid w:val="00BE6EFA"/>
    <w:rsid w:val="00BE6F03"/>
    <w:rsid w:val="00BE70B9"/>
    <w:rsid w:val="00BE7245"/>
    <w:rsid w:val="00BE72C3"/>
    <w:rsid w:val="00BE72D3"/>
    <w:rsid w:val="00BE7360"/>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F6"/>
    <w:rsid w:val="00BF3CB2"/>
    <w:rsid w:val="00BF3EC6"/>
    <w:rsid w:val="00BF4030"/>
    <w:rsid w:val="00BF48F4"/>
    <w:rsid w:val="00BF4B98"/>
    <w:rsid w:val="00BF4DE8"/>
    <w:rsid w:val="00BF4FE8"/>
    <w:rsid w:val="00BF5088"/>
    <w:rsid w:val="00BF521E"/>
    <w:rsid w:val="00BF5268"/>
    <w:rsid w:val="00BF5342"/>
    <w:rsid w:val="00BF538E"/>
    <w:rsid w:val="00BF54EE"/>
    <w:rsid w:val="00BF55D6"/>
    <w:rsid w:val="00BF5702"/>
    <w:rsid w:val="00BF579F"/>
    <w:rsid w:val="00BF581D"/>
    <w:rsid w:val="00BF592D"/>
    <w:rsid w:val="00BF5A3F"/>
    <w:rsid w:val="00BF5E1D"/>
    <w:rsid w:val="00BF5EF0"/>
    <w:rsid w:val="00BF607A"/>
    <w:rsid w:val="00BF63C4"/>
    <w:rsid w:val="00BF659C"/>
    <w:rsid w:val="00BF67EF"/>
    <w:rsid w:val="00BF68A0"/>
    <w:rsid w:val="00BF68D9"/>
    <w:rsid w:val="00BF6B12"/>
    <w:rsid w:val="00BF6B85"/>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58B"/>
    <w:rsid w:val="00C05613"/>
    <w:rsid w:val="00C057EE"/>
    <w:rsid w:val="00C058D4"/>
    <w:rsid w:val="00C05A1B"/>
    <w:rsid w:val="00C05B9C"/>
    <w:rsid w:val="00C05BE5"/>
    <w:rsid w:val="00C05C4E"/>
    <w:rsid w:val="00C05CB8"/>
    <w:rsid w:val="00C05E55"/>
    <w:rsid w:val="00C0606C"/>
    <w:rsid w:val="00C06408"/>
    <w:rsid w:val="00C06416"/>
    <w:rsid w:val="00C064A7"/>
    <w:rsid w:val="00C06508"/>
    <w:rsid w:val="00C066D3"/>
    <w:rsid w:val="00C06CFA"/>
    <w:rsid w:val="00C06F4D"/>
    <w:rsid w:val="00C07150"/>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CBF"/>
    <w:rsid w:val="00C16E14"/>
    <w:rsid w:val="00C176E9"/>
    <w:rsid w:val="00C178E6"/>
    <w:rsid w:val="00C179EB"/>
    <w:rsid w:val="00C17EA5"/>
    <w:rsid w:val="00C17FC3"/>
    <w:rsid w:val="00C2012B"/>
    <w:rsid w:val="00C20570"/>
    <w:rsid w:val="00C206A9"/>
    <w:rsid w:val="00C20794"/>
    <w:rsid w:val="00C2081E"/>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40AF"/>
    <w:rsid w:val="00C245B1"/>
    <w:rsid w:val="00C24672"/>
    <w:rsid w:val="00C246EA"/>
    <w:rsid w:val="00C247C0"/>
    <w:rsid w:val="00C248A8"/>
    <w:rsid w:val="00C250CC"/>
    <w:rsid w:val="00C253D2"/>
    <w:rsid w:val="00C25881"/>
    <w:rsid w:val="00C25A2D"/>
    <w:rsid w:val="00C25EFB"/>
    <w:rsid w:val="00C26018"/>
    <w:rsid w:val="00C267F3"/>
    <w:rsid w:val="00C2684E"/>
    <w:rsid w:val="00C26B1C"/>
    <w:rsid w:val="00C26BBA"/>
    <w:rsid w:val="00C26D6D"/>
    <w:rsid w:val="00C26E34"/>
    <w:rsid w:val="00C27281"/>
    <w:rsid w:val="00C27591"/>
    <w:rsid w:val="00C27629"/>
    <w:rsid w:val="00C27709"/>
    <w:rsid w:val="00C2770E"/>
    <w:rsid w:val="00C27940"/>
    <w:rsid w:val="00C27991"/>
    <w:rsid w:val="00C27E1F"/>
    <w:rsid w:val="00C301EE"/>
    <w:rsid w:val="00C30210"/>
    <w:rsid w:val="00C302AB"/>
    <w:rsid w:val="00C3036C"/>
    <w:rsid w:val="00C3045E"/>
    <w:rsid w:val="00C3060C"/>
    <w:rsid w:val="00C308C7"/>
    <w:rsid w:val="00C309F2"/>
    <w:rsid w:val="00C30A20"/>
    <w:rsid w:val="00C30AE7"/>
    <w:rsid w:val="00C30C25"/>
    <w:rsid w:val="00C30D7D"/>
    <w:rsid w:val="00C30DE6"/>
    <w:rsid w:val="00C31173"/>
    <w:rsid w:val="00C312DF"/>
    <w:rsid w:val="00C3141B"/>
    <w:rsid w:val="00C31501"/>
    <w:rsid w:val="00C315AB"/>
    <w:rsid w:val="00C316DD"/>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4157"/>
    <w:rsid w:val="00C34406"/>
    <w:rsid w:val="00C34540"/>
    <w:rsid w:val="00C3457D"/>
    <w:rsid w:val="00C3459C"/>
    <w:rsid w:val="00C3494C"/>
    <w:rsid w:val="00C34ADF"/>
    <w:rsid w:val="00C34B1A"/>
    <w:rsid w:val="00C34B49"/>
    <w:rsid w:val="00C34BC4"/>
    <w:rsid w:val="00C35562"/>
    <w:rsid w:val="00C3571B"/>
    <w:rsid w:val="00C35744"/>
    <w:rsid w:val="00C35AA4"/>
    <w:rsid w:val="00C35B2C"/>
    <w:rsid w:val="00C35E70"/>
    <w:rsid w:val="00C360CA"/>
    <w:rsid w:val="00C36143"/>
    <w:rsid w:val="00C361B0"/>
    <w:rsid w:val="00C361B3"/>
    <w:rsid w:val="00C36550"/>
    <w:rsid w:val="00C367C7"/>
    <w:rsid w:val="00C367EC"/>
    <w:rsid w:val="00C36963"/>
    <w:rsid w:val="00C369A6"/>
    <w:rsid w:val="00C369AA"/>
    <w:rsid w:val="00C36A9A"/>
    <w:rsid w:val="00C36AD2"/>
    <w:rsid w:val="00C36B32"/>
    <w:rsid w:val="00C36C43"/>
    <w:rsid w:val="00C36CE4"/>
    <w:rsid w:val="00C36D31"/>
    <w:rsid w:val="00C37096"/>
    <w:rsid w:val="00C3709C"/>
    <w:rsid w:val="00C370AD"/>
    <w:rsid w:val="00C3715C"/>
    <w:rsid w:val="00C37397"/>
    <w:rsid w:val="00C3743B"/>
    <w:rsid w:val="00C374D6"/>
    <w:rsid w:val="00C37618"/>
    <w:rsid w:val="00C37689"/>
    <w:rsid w:val="00C37C3A"/>
    <w:rsid w:val="00C37D11"/>
    <w:rsid w:val="00C37D38"/>
    <w:rsid w:val="00C37FED"/>
    <w:rsid w:val="00C4059E"/>
    <w:rsid w:val="00C406A2"/>
    <w:rsid w:val="00C40A33"/>
    <w:rsid w:val="00C40B04"/>
    <w:rsid w:val="00C40C5C"/>
    <w:rsid w:val="00C40E4D"/>
    <w:rsid w:val="00C40E78"/>
    <w:rsid w:val="00C412CD"/>
    <w:rsid w:val="00C41407"/>
    <w:rsid w:val="00C41557"/>
    <w:rsid w:val="00C41A77"/>
    <w:rsid w:val="00C41F9B"/>
    <w:rsid w:val="00C42518"/>
    <w:rsid w:val="00C429B4"/>
    <w:rsid w:val="00C42A62"/>
    <w:rsid w:val="00C42B80"/>
    <w:rsid w:val="00C430A9"/>
    <w:rsid w:val="00C430C6"/>
    <w:rsid w:val="00C4389A"/>
    <w:rsid w:val="00C43ADE"/>
    <w:rsid w:val="00C445BE"/>
    <w:rsid w:val="00C44609"/>
    <w:rsid w:val="00C44C6E"/>
    <w:rsid w:val="00C44F9C"/>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B8"/>
    <w:rsid w:val="00C46D4F"/>
    <w:rsid w:val="00C470B9"/>
    <w:rsid w:val="00C47118"/>
    <w:rsid w:val="00C473FF"/>
    <w:rsid w:val="00C47432"/>
    <w:rsid w:val="00C4764A"/>
    <w:rsid w:val="00C47885"/>
    <w:rsid w:val="00C47A6F"/>
    <w:rsid w:val="00C47D7C"/>
    <w:rsid w:val="00C47F39"/>
    <w:rsid w:val="00C47FE6"/>
    <w:rsid w:val="00C50321"/>
    <w:rsid w:val="00C507C7"/>
    <w:rsid w:val="00C510DD"/>
    <w:rsid w:val="00C511E3"/>
    <w:rsid w:val="00C517F3"/>
    <w:rsid w:val="00C51E31"/>
    <w:rsid w:val="00C51E7E"/>
    <w:rsid w:val="00C51F7A"/>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34AD"/>
    <w:rsid w:val="00C53669"/>
    <w:rsid w:val="00C536D8"/>
    <w:rsid w:val="00C53937"/>
    <w:rsid w:val="00C53BD5"/>
    <w:rsid w:val="00C53D90"/>
    <w:rsid w:val="00C53DD8"/>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8D"/>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65A"/>
    <w:rsid w:val="00C62710"/>
    <w:rsid w:val="00C62C6C"/>
    <w:rsid w:val="00C63336"/>
    <w:rsid w:val="00C63370"/>
    <w:rsid w:val="00C636BA"/>
    <w:rsid w:val="00C638E0"/>
    <w:rsid w:val="00C63D0C"/>
    <w:rsid w:val="00C63D71"/>
    <w:rsid w:val="00C63DEE"/>
    <w:rsid w:val="00C63EE7"/>
    <w:rsid w:val="00C63F9C"/>
    <w:rsid w:val="00C64232"/>
    <w:rsid w:val="00C6452E"/>
    <w:rsid w:val="00C64994"/>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88C"/>
    <w:rsid w:val="00C66B29"/>
    <w:rsid w:val="00C6703C"/>
    <w:rsid w:val="00C676EE"/>
    <w:rsid w:val="00C67874"/>
    <w:rsid w:val="00C678F6"/>
    <w:rsid w:val="00C67E1C"/>
    <w:rsid w:val="00C67E40"/>
    <w:rsid w:val="00C67F10"/>
    <w:rsid w:val="00C70100"/>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4CEC"/>
    <w:rsid w:val="00C74EBE"/>
    <w:rsid w:val="00C751DF"/>
    <w:rsid w:val="00C753CF"/>
    <w:rsid w:val="00C75555"/>
    <w:rsid w:val="00C75657"/>
    <w:rsid w:val="00C75782"/>
    <w:rsid w:val="00C759F3"/>
    <w:rsid w:val="00C75A9D"/>
    <w:rsid w:val="00C75AA9"/>
    <w:rsid w:val="00C75CE8"/>
    <w:rsid w:val="00C7614A"/>
    <w:rsid w:val="00C761D5"/>
    <w:rsid w:val="00C764D9"/>
    <w:rsid w:val="00C76646"/>
    <w:rsid w:val="00C766E7"/>
    <w:rsid w:val="00C7671C"/>
    <w:rsid w:val="00C76AE3"/>
    <w:rsid w:val="00C76F18"/>
    <w:rsid w:val="00C77034"/>
    <w:rsid w:val="00C770D8"/>
    <w:rsid w:val="00C773E1"/>
    <w:rsid w:val="00C7764B"/>
    <w:rsid w:val="00C7765D"/>
    <w:rsid w:val="00C77763"/>
    <w:rsid w:val="00C77AA1"/>
    <w:rsid w:val="00C77CA0"/>
    <w:rsid w:val="00C77EAA"/>
    <w:rsid w:val="00C80530"/>
    <w:rsid w:val="00C8053D"/>
    <w:rsid w:val="00C805B9"/>
    <w:rsid w:val="00C80612"/>
    <w:rsid w:val="00C80766"/>
    <w:rsid w:val="00C80A18"/>
    <w:rsid w:val="00C80A98"/>
    <w:rsid w:val="00C80DE5"/>
    <w:rsid w:val="00C8116B"/>
    <w:rsid w:val="00C813CD"/>
    <w:rsid w:val="00C81487"/>
    <w:rsid w:val="00C81E70"/>
    <w:rsid w:val="00C8207F"/>
    <w:rsid w:val="00C8272D"/>
    <w:rsid w:val="00C82922"/>
    <w:rsid w:val="00C82968"/>
    <w:rsid w:val="00C82CCB"/>
    <w:rsid w:val="00C830FA"/>
    <w:rsid w:val="00C83280"/>
    <w:rsid w:val="00C834C2"/>
    <w:rsid w:val="00C83513"/>
    <w:rsid w:val="00C835F4"/>
    <w:rsid w:val="00C83711"/>
    <w:rsid w:val="00C83789"/>
    <w:rsid w:val="00C838DA"/>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50A4"/>
    <w:rsid w:val="00C85567"/>
    <w:rsid w:val="00C85753"/>
    <w:rsid w:val="00C857DF"/>
    <w:rsid w:val="00C85814"/>
    <w:rsid w:val="00C85816"/>
    <w:rsid w:val="00C85A0A"/>
    <w:rsid w:val="00C85D43"/>
    <w:rsid w:val="00C85FD2"/>
    <w:rsid w:val="00C85FD9"/>
    <w:rsid w:val="00C8609E"/>
    <w:rsid w:val="00C860A9"/>
    <w:rsid w:val="00C86277"/>
    <w:rsid w:val="00C862C8"/>
    <w:rsid w:val="00C8665D"/>
    <w:rsid w:val="00C8675E"/>
    <w:rsid w:val="00C86873"/>
    <w:rsid w:val="00C86B48"/>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4BC"/>
    <w:rsid w:val="00C9563E"/>
    <w:rsid w:val="00C95736"/>
    <w:rsid w:val="00C95A4F"/>
    <w:rsid w:val="00C95CAF"/>
    <w:rsid w:val="00C95DEE"/>
    <w:rsid w:val="00C95FD6"/>
    <w:rsid w:val="00C960C8"/>
    <w:rsid w:val="00C962B9"/>
    <w:rsid w:val="00C96474"/>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1D"/>
    <w:rsid w:val="00CA6EC9"/>
    <w:rsid w:val="00CA7115"/>
    <w:rsid w:val="00CA71A5"/>
    <w:rsid w:val="00CA7288"/>
    <w:rsid w:val="00CA72B1"/>
    <w:rsid w:val="00CA7420"/>
    <w:rsid w:val="00CA749E"/>
    <w:rsid w:val="00CA788C"/>
    <w:rsid w:val="00CA7B4B"/>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291"/>
    <w:rsid w:val="00CB15FD"/>
    <w:rsid w:val="00CB174A"/>
    <w:rsid w:val="00CB18DC"/>
    <w:rsid w:val="00CB1948"/>
    <w:rsid w:val="00CB20F0"/>
    <w:rsid w:val="00CB261E"/>
    <w:rsid w:val="00CB2954"/>
    <w:rsid w:val="00CB2A91"/>
    <w:rsid w:val="00CB2B45"/>
    <w:rsid w:val="00CB2CE6"/>
    <w:rsid w:val="00CB2D0A"/>
    <w:rsid w:val="00CB2D15"/>
    <w:rsid w:val="00CB2D3B"/>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15D"/>
    <w:rsid w:val="00CB5364"/>
    <w:rsid w:val="00CB53D8"/>
    <w:rsid w:val="00CB548D"/>
    <w:rsid w:val="00CB551A"/>
    <w:rsid w:val="00CB565E"/>
    <w:rsid w:val="00CB5661"/>
    <w:rsid w:val="00CB5A2F"/>
    <w:rsid w:val="00CB5AFE"/>
    <w:rsid w:val="00CB5B23"/>
    <w:rsid w:val="00CB5CA0"/>
    <w:rsid w:val="00CB5E12"/>
    <w:rsid w:val="00CB6036"/>
    <w:rsid w:val="00CB6416"/>
    <w:rsid w:val="00CB65C6"/>
    <w:rsid w:val="00CB6778"/>
    <w:rsid w:val="00CB69AA"/>
    <w:rsid w:val="00CB6A8E"/>
    <w:rsid w:val="00CB6B3A"/>
    <w:rsid w:val="00CB6FEF"/>
    <w:rsid w:val="00CB71D2"/>
    <w:rsid w:val="00CB738A"/>
    <w:rsid w:val="00CB758D"/>
    <w:rsid w:val="00CB7A89"/>
    <w:rsid w:val="00CB7E6B"/>
    <w:rsid w:val="00CC002D"/>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3F2"/>
    <w:rsid w:val="00CC250B"/>
    <w:rsid w:val="00CC259B"/>
    <w:rsid w:val="00CC2701"/>
    <w:rsid w:val="00CC2A27"/>
    <w:rsid w:val="00CC2DC0"/>
    <w:rsid w:val="00CC2E12"/>
    <w:rsid w:val="00CC2E8A"/>
    <w:rsid w:val="00CC3237"/>
    <w:rsid w:val="00CC35A9"/>
    <w:rsid w:val="00CC36DC"/>
    <w:rsid w:val="00CC3B57"/>
    <w:rsid w:val="00CC3CF5"/>
    <w:rsid w:val="00CC4179"/>
    <w:rsid w:val="00CC429D"/>
    <w:rsid w:val="00CC4382"/>
    <w:rsid w:val="00CC43EA"/>
    <w:rsid w:val="00CC4426"/>
    <w:rsid w:val="00CC48EF"/>
    <w:rsid w:val="00CC4D07"/>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EAE"/>
    <w:rsid w:val="00CD0F55"/>
    <w:rsid w:val="00CD1082"/>
    <w:rsid w:val="00CD10A8"/>
    <w:rsid w:val="00CD10E2"/>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301F"/>
    <w:rsid w:val="00CD31DE"/>
    <w:rsid w:val="00CD32E2"/>
    <w:rsid w:val="00CD32F1"/>
    <w:rsid w:val="00CD3392"/>
    <w:rsid w:val="00CD34ED"/>
    <w:rsid w:val="00CD3612"/>
    <w:rsid w:val="00CD3689"/>
    <w:rsid w:val="00CD3813"/>
    <w:rsid w:val="00CD3A83"/>
    <w:rsid w:val="00CD3AAD"/>
    <w:rsid w:val="00CD3BD5"/>
    <w:rsid w:val="00CD3D33"/>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0C4"/>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08E3"/>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60A"/>
    <w:rsid w:val="00CF669A"/>
    <w:rsid w:val="00CF66A1"/>
    <w:rsid w:val="00CF7137"/>
    <w:rsid w:val="00CF7201"/>
    <w:rsid w:val="00CF74E3"/>
    <w:rsid w:val="00CF76C2"/>
    <w:rsid w:val="00CF7AFF"/>
    <w:rsid w:val="00CF7CDC"/>
    <w:rsid w:val="00CF7E65"/>
    <w:rsid w:val="00D0041B"/>
    <w:rsid w:val="00D00C21"/>
    <w:rsid w:val="00D00FD7"/>
    <w:rsid w:val="00D012CB"/>
    <w:rsid w:val="00D0137F"/>
    <w:rsid w:val="00D01726"/>
    <w:rsid w:val="00D01B3A"/>
    <w:rsid w:val="00D01BC3"/>
    <w:rsid w:val="00D02470"/>
    <w:rsid w:val="00D0249C"/>
    <w:rsid w:val="00D024E0"/>
    <w:rsid w:val="00D0252E"/>
    <w:rsid w:val="00D026AB"/>
    <w:rsid w:val="00D027E7"/>
    <w:rsid w:val="00D0286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245"/>
    <w:rsid w:val="00D0652C"/>
    <w:rsid w:val="00D06785"/>
    <w:rsid w:val="00D06A3B"/>
    <w:rsid w:val="00D06C03"/>
    <w:rsid w:val="00D06ED5"/>
    <w:rsid w:val="00D06EED"/>
    <w:rsid w:val="00D0734A"/>
    <w:rsid w:val="00D0734B"/>
    <w:rsid w:val="00D073A2"/>
    <w:rsid w:val="00D07EB3"/>
    <w:rsid w:val="00D1008B"/>
    <w:rsid w:val="00D10096"/>
    <w:rsid w:val="00D106A0"/>
    <w:rsid w:val="00D10784"/>
    <w:rsid w:val="00D10D36"/>
    <w:rsid w:val="00D10D3B"/>
    <w:rsid w:val="00D10DD2"/>
    <w:rsid w:val="00D10EEB"/>
    <w:rsid w:val="00D111D2"/>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9AC"/>
    <w:rsid w:val="00D14B41"/>
    <w:rsid w:val="00D14B54"/>
    <w:rsid w:val="00D14CF3"/>
    <w:rsid w:val="00D14E2E"/>
    <w:rsid w:val="00D1520A"/>
    <w:rsid w:val="00D1542D"/>
    <w:rsid w:val="00D15649"/>
    <w:rsid w:val="00D1577A"/>
    <w:rsid w:val="00D15C5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746"/>
    <w:rsid w:val="00D26752"/>
    <w:rsid w:val="00D26ABB"/>
    <w:rsid w:val="00D26AF0"/>
    <w:rsid w:val="00D26BBE"/>
    <w:rsid w:val="00D26D28"/>
    <w:rsid w:val="00D27362"/>
    <w:rsid w:val="00D27423"/>
    <w:rsid w:val="00D27428"/>
    <w:rsid w:val="00D27497"/>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C96"/>
    <w:rsid w:val="00D33FB3"/>
    <w:rsid w:val="00D341CB"/>
    <w:rsid w:val="00D342A1"/>
    <w:rsid w:val="00D3431B"/>
    <w:rsid w:val="00D34F66"/>
    <w:rsid w:val="00D35333"/>
    <w:rsid w:val="00D3537C"/>
    <w:rsid w:val="00D353FB"/>
    <w:rsid w:val="00D35417"/>
    <w:rsid w:val="00D358EF"/>
    <w:rsid w:val="00D358F3"/>
    <w:rsid w:val="00D358FB"/>
    <w:rsid w:val="00D3595F"/>
    <w:rsid w:val="00D35963"/>
    <w:rsid w:val="00D3596D"/>
    <w:rsid w:val="00D35D1E"/>
    <w:rsid w:val="00D35D53"/>
    <w:rsid w:val="00D35D9C"/>
    <w:rsid w:val="00D35E78"/>
    <w:rsid w:val="00D3648B"/>
    <w:rsid w:val="00D36624"/>
    <w:rsid w:val="00D36736"/>
    <w:rsid w:val="00D36BDB"/>
    <w:rsid w:val="00D36DF4"/>
    <w:rsid w:val="00D36E5C"/>
    <w:rsid w:val="00D36F82"/>
    <w:rsid w:val="00D3727B"/>
    <w:rsid w:val="00D373F2"/>
    <w:rsid w:val="00D376B7"/>
    <w:rsid w:val="00D3793B"/>
    <w:rsid w:val="00D379A6"/>
    <w:rsid w:val="00D37EC3"/>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0D1"/>
    <w:rsid w:val="00D4422A"/>
    <w:rsid w:val="00D442EF"/>
    <w:rsid w:val="00D444EA"/>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7101"/>
    <w:rsid w:val="00D47755"/>
    <w:rsid w:val="00D4791C"/>
    <w:rsid w:val="00D479F7"/>
    <w:rsid w:val="00D47B6E"/>
    <w:rsid w:val="00D47D59"/>
    <w:rsid w:val="00D47DCD"/>
    <w:rsid w:val="00D47F5F"/>
    <w:rsid w:val="00D500FD"/>
    <w:rsid w:val="00D5044A"/>
    <w:rsid w:val="00D50805"/>
    <w:rsid w:val="00D50820"/>
    <w:rsid w:val="00D509E9"/>
    <w:rsid w:val="00D50E0F"/>
    <w:rsid w:val="00D50E2C"/>
    <w:rsid w:val="00D512E5"/>
    <w:rsid w:val="00D513FC"/>
    <w:rsid w:val="00D51E5C"/>
    <w:rsid w:val="00D520B1"/>
    <w:rsid w:val="00D52174"/>
    <w:rsid w:val="00D522C6"/>
    <w:rsid w:val="00D522EC"/>
    <w:rsid w:val="00D52643"/>
    <w:rsid w:val="00D5269C"/>
    <w:rsid w:val="00D52B21"/>
    <w:rsid w:val="00D52EC1"/>
    <w:rsid w:val="00D5311C"/>
    <w:rsid w:val="00D534A9"/>
    <w:rsid w:val="00D53605"/>
    <w:rsid w:val="00D536B9"/>
    <w:rsid w:val="00D53823"/>
    <w:rsid w:val="00D5393A"/>
    <w:rsid w:val="00D53D08"/>
    <w:rsid w:val="00D53E7F"/>
    <w:rsid w:val="00D53F02"/>
    <w:rsid w:val="00D54169"/>
    <w:rsid w:val="00D54291"/>
    <w:rsid w:val="00D54426"/>
    <w:rsid w:val="00D54501"/>
    <w:rsid w:val="00D5456A"/>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9DC"/>
    <w:rsid w:val="00D56DC8"/>
    <w:rsid w:val="00D571C2"/>
    <w:rsid w:val="00D5731B"/>
    <w:rsid w:val="00D5731F"/>
    <w:rsid w:val="00D577B2"/>
    <w:rsid w:val="00D578AC"/>
    <w:rsid w:val="00D578E5"/>
    <w:rsid w:val="00D57902"/>
    <w:rsid w:val="00D57A22"/>
    <w:rsid w:val="00D57A51"/>
    <w:rsid w:val="00D57A98"/>
    <w:rsid w:val="00D57B48"/>
    <w:rsid w:val="00D57B6B"/>
    <w:rsid w:val="00D57C50"/>
    <w:rsid w:val="00D57F71"/>
    <w:rsid w:val="00D57FEA"/>
    <w:rsid w:val="00D600EF"/>
    <w:rsid w:val="00D6015F"/>
    <w:rsid w:val="00D60201"/>
    <w:rsid w:val="00D60214"/>
    <w:rsid w:val="00D60260"/>
    <w:rsid w:val="00D60680"/>
    <w:rsid w:val="00D6083B"/>
    <w:rsid w:val="00D60B11"/>
    <w:rsid w:val="00D60CBF"/>
    <w:rsid w:val="00D60CD3"/>
    <w:rsid w:val="00D610AB"/>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345"/>
    <w:rsid w:val="00D637E1"/>
    <w:rsid w:val="00D6381C"/>
    <w:rsid w:val="00D63902"/>
    <w:rsid w:val="00D63925"/>
    <w:rsid w:val="00D6395F"/>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DB6"/>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DE"/>
    <w:rsid w:val="00D73015"/>
    <w:rsid w:val="00D7308C"/>
    <w:rsid w:val="00D734B5"/>
    <w:rsid w:val="00D735DF"/>
    <w:rsid w:val="00D7389C"/>
    <w:rsid w:val="00D73912"/>
    <w:rsid w:val="00D73A25"/>
    <w:rsid w:val="00D73CB6"/>
    <w:rsid w:val="00D74058"/>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81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85A"/>
    <w:rsid w:val="00D84AB7"/>
    <w:rsid w:val="00D84CF0"/>
    <w:rsid w:val="00D84D6A"/>
    <w:rsid w:val="00D84DD6"/>
    <w:rsid w:val="00D8533B"/>
    <w:rsid w:val="00D855CF"/>
    <w:rsid w:val="00D85942"/>
    <w:rsid w:val="00D85CB6"/>
    <w:rsid w:val="00D8615E"/>
    <w:rsid w:val="00D86240"/>
    <w:rsid w:val="00D8627B"/>
    <w:rsid w:val="00D8653D"/>
    <w:rsid w:val="00D86588"/>
    <w:rsid w:val="00D86907"/>
    <w:rsid w:val="00D86A8A"/>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610"/>
    <w:rsid w:val="00D916CC"/>
    <w:rsid w:val="00D916ED"/>
    <w:rsid w:val="00D91761"/>
    <w:rsid w:val="00D91843"/>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327"/>
    <w:rsid w:val="00D94689"/>
    <w:rsid w:val="00D9476D"/>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6A2"/>
    <w:rsid w:val="00D97766"/>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2FA4"/>
    <w:rsid w:val="00DA304D"/>
    <w:rsid w:val="00DA3065"/>
    <w:rsid w:val="00DA3095"/>
    <w:rsid w:val="00DA34D6"/>
    <w:rsid w:val="00DA38D5"/>
    <w:rsid w:val="00DA3FD4"/>
    <w:rsid w:val="00DA449E"/>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B0A"/>
    <w:rsid w:val="00DA5D0E"/>
    <w:rsid w:val="00DA5D33"/>
    <w:rsid w:val="00DA5E8D"/>
    <w:rsid w:val="00DA6059"/>
    <w:rsid w:val="00DA62D3"/>
    <w:rsid w:val="00DA651E"/>
    <w:rsid w:val="00DA68E1"/>
    <w:rsid w:val="00DA6E90"/>
    <w:rsid w:val="00DA70A3"/>
    <w:rsid w:val="00DA70D5"/>
    <w:rsid w:val="00DA7130"/>
    <w:rsid w:val="00DA714C"/>
    <w:rsid w:val="00DA71B8"/>
    <w:rsid w:val="00DA73E4"/>
    <w:rsid w:val="00DA74BE"/>
    <w:rsid w:val="00DA7500"/>
    <w:rsid w:val="00DA7617"/>
    <w:rsid w:val="00DA77FD"/>
    <w:rsid w:val="00DA79B1"/>
    <w:rsid w:val="00DA7BD2"/>
    <w:rsid w:val="00DA7C9F"/>
    <w:rsid w:val="00DA7D3D"/>
    <w:rsid w:val="00DB0609"/>
    <w:rsid w:val="00DB0CDD"/>
    <w:rsid w:val="00DB0D8F"/>
    <w:rsid w:val="00DB10E4"/>
    <w:rsid w:val="00DB1192"/>
    <w:rsid w:val="00DB12C2"/>
    <w:rsid w:val="00DB13ED"/>
    <w:rsid w:val="00DB13F3"/>
    <w:rsid w:val="00DB1666"/>
    <w:rsid w:val="00DB1B8E"/>
    <w:rsid w:val="00DB1C7C"/>
    <w:rsid w:val="00DB1CF8"/>
    <w:rsid w:val="00DB1D67"/>
    <w:rsid w:val="00DB1F48"/>
    <w:rsid w:val="00DB1FDE"/>
    <w:rsid w:val="00DB21EB"/>
    <w:rsid w:val="00DB2247"/>
    <w:rsid w:val="00DB243C"/>
    <w:rsid w:val="00DB25EC"/>
    <w:rsid w:val="00DB2686"/>
    <w:rsid w:val="00DB341E"/>
    <w:rsid w:val="00DB34E0"/>
    <w:rsid w:val="00DB3623"/>
    <w:rsid w:val="00DB399C"/>
    <w:rsid w:val="00DB3C3F"/>
    <w:rsid w:val="00DB41C2"/>
    <w:rsid w:val="00DB4261"/>
    <w:rsid w:val="00DB472B"/>
    <w:rsid w:val="00DB492D"/>
    <w:rsid w:val="00DB4A09"/>
    <w:rsid w:val="00DB4A66"/>
    <w:rsid w:val="00DB4B98"/>
    <w:rsid w:val="00DB4CA1"/>
    <w:rsid w:val="00DB4D07"/>
    <w:rsid w:val="00DB4DBA"/>
    <w:rsid w:val="00DB4FB9"/>
    <w:rsid w:val="00DB50FA"/>
    <w:rsid w:val="00DB5136"/>
    <w:rsid w:val="00DB539D"/>
    <w:rsid w:val="00DB5467"/>
    <w:rsid w:val="00DB54B6"/>
    <w:rsid w:val="00DB5501"/>
    <w:rsid w:val="00DB55C5"/>
    <w:rsid w:val="00DB56BD"/>
    <w:rsid w:val="00DB59E2"/>
    <w:rsid w:val="00DB612C"/>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B7F13"/>
    <w:rsid w:val="00DC0172"/>
    <w:rsid w:val="00DC01C3"/>
    <w:rsid w:val="00DC0328"/>
    <w:rsid w:val="00DC0370"/>
    <w:rsid w:val="00DC0646"/>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E0D"/>
    <w:rsid w:val="00DC2EA5"/>
    <w:rsid w:val="00DC2FEF"/>
    <w:rsid w:val="00DC3261"/>
    <w:rsid w:val="00DC3536"/>
    <w:rsid w:val="00DC38A7"/>
    <w:rsid w:val="00DC3AE7"/>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41"/>
    <w:rsid w:val="00DC7489"/>
    <w:rsid w:val="00DC7553"/>
    <w:rsid w:val="00DC766F"/>
    <w:rsid w:val="00DC76B5"/>
    <w:rsid w:val="00DC7888"/>
    <w:rsid w:val="00DC78B7"/>
    <w:rsid w:val="00DC7921"/>
    <w:rsid w:val="00DC7B4A"/>
    <w:rsid w:val="00DC7E9A"/>
    <w:rsid w:val="00DC7F66"/>
    <w:rsid w:val="00DD01BE"/>
    <w:rsid w:val="00DD06C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574"/>
    <w:rsid w:val="00DD25D2"/>
    <w:rsid w:val="00DD2791"/>
    <w:rsid w:val="00DD27DA"/>
    <w:rsid w:val="00DD2925"/>
    <w:rsid w:val="00DD2B15"/>
    <w:rsid w:val="00DD2E3D"/>
    <w:rsid w:val="00DD2F9A"/>
    <w:rsid w:val="00DD3334"/>
    <w:rsid w:val="00DD36AA"/>
    <w:rsid w:val="00DD37A4"/>
    <w:rsid w:val="00DD37C0"/>
    <w:rsid w:val="00DD39AA"/>
    <w:rsid w:val="00DD40A6"/>
    <w:rsid w:val="00DD40C0"/>
    <w:rsid w:val="00DD4321"/>
    <w:rsid w:val="00DD4406"/>
    <w:rsid w:val="00DD449F"/>
    <w:rsid w:val="00DD44EF"/>
    <w:rsid w:val="00DD46FA"/>
    <w:rsid w:val="00DD47EE"/>
    <w:rsid w:val="00DD4815"/>
    <w:rsid w:val="00DD501C"/>
    <w:rsid w:val="00DD501E"/>
    <w:rsid w:val="00DD50FA"/>
    <w:rsid w:val="00DD5223"/>
    <w:rsid w:val="00DD5262"/>
    <w:rsid w:val="00DD52A7"/>
    <w:rsid w:val="00DD531D"/>
    <w:rsid w:val="00DD56B9"/>
    <w:rsid w:val="00DD5955"/>
    <w:rsid w:val="00DD59A4"/>
    <w:rsid w:val="00DD5A0C"/>
    <w:rsid w:val="00DD5BA4"/>
    <w:rsid w:val="00DD5C82"/>
    <w:rsid w:val="00DD5D7A"/>
    <w:rsid w:val="00DD5D9E"/>
    <w:rsid w:val="00DD6558"/>
    <w:rsid w:val="00DD6731"/>
    <w:rsid w:val="00DD6A2A"/>
    <w:rsid w:val="00DD6CFF"/>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B69"/>
    <w:rsid w:val="00DE0D3A"/>
    <w:rsid w:val="00DE0DF4"/>
    <w:rsid w:val="00DE0E10"/>
    <w:rsid w:val="00DE0E7E"/>
    <w:rsid w:val="00DE0F03"/>
    <w:rsid w:val="00DE10A1"/>
    <w:rsid w:val="00DE10F5"/>
    <w:rsid w:val="00DE1692"/>
    <w:rsid w:val="00DE1C22"/>
    <w:rsid w:val="00DE23FF"/>
    <w:rsid w:val="00DE249D"/>
    <w:rsid w:val="00DE2804"/>
    <w:rsid w:val="00DE2AC1"/>
    <w:rsid w:val="00DE2CEF"/>
    <w:rsid w:val="00DE2D73"/>
    <w:rsid w:val="00DE2F65"/>
    <w:rsid w:val="00DE31EA"/>
    <w:rsid w:val="00DE3265"/>
    <w:rsid w:val="00DE36D4"/>
    <w:rsid w:val="00DE38E4"/>
    <w:rsid w:val="00DE3A0B"/>
    <w:rsid w:val="00DE3F06"/>
    <w:rsid w:val="00DE4720"/>
    <w:rsid w:val="00DE48A4"/>
    <w:rsid w:val="00DE4B9F"/>
    <w:rsid w:val="00DE4C0C"/>
    <w:rsid w:val="00DE4EA3"/>
    <w:rsid w:val="00DE502D"/>
    <w:rsid w:val="00DE5388"/>
    <w:rsid w:val="00DE55FC"/>
    <w:rsid w:val="00DE57C4"/>
    <w:rsid w:val="00DE5B92"/>
    <w:rsid w:val="00DE6392"/>
    <w:rsid w:val="00DE6674"/>
    <w:rsid w:val="00DE6796"/>
    <w:rsid w:val="00DE6844"/>
    <w:rsid w:val="00DE6D82"/>
    <w:rsid w:val="00DE6D9D"/>
    <w:rsid w:val="00DE6E69"/>
    <w:rsid w:val="00DE6EEB"/>
    <w:rsid w:val="00DE6EED"/>
    <w:rsid w:val="00DE6EF2"/>
    <w:rsid w:val="00DE7037"/>
    <w:rsid w:val="00DE7847"/>
    <w:rsid w:val="00DE784C"/>
    <w:rsid w:val="00DE7880"/>
    <w:rsid w:val="00DE7A26"/>
    <w:rsid w:val="00DE7D39"/>
    <w:rsid w:val="00DE7EE8"/>
    <w:rsid w:val="00DF05C8"/>
    <w:rsid w:val="00DF0768"/>
    <w:rsid w:val="00DF0C29"/>
    <w:rsid w:val="00DF0C96"/>
    <w:rsid w:val="00DF0CFD"/>
    <w:rsid w:val="00DF0FD9"/>
    <w:rsid w:val="00DF15B0"/>
    <w:rsid w:val="00DF1795"/>
    <w:rsid w:val="00DF182E"/>
    <w:rsid w:val="00DF1A59"/>
    <w:rsid w:val="00DF1AED"/>
    <w:rsid w:val="00DF1CEE"/>
    <w:rsid w:val="00DF1EBE"/>
    <w:rsid w:val="00DF20F4"/>
    <w:rsid w:val="00DF21FA"/>
    <w:rsid w:val="00DF22CC"/>
    <w:rsid w:val="00DF23A5"/>
    <w:rsid w:val="00DF24EA"/>
    <w:rsid w:val="00DF26BA"/>
    <w:rsid w:val="00DF26DF"/>
    <w:rsid w:val="00DF27A3"/>
    <w:rsid w:val="00DF2A16"/>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82C"/>
    <w:rsid w:val="00DF6C9D"/>
    <w:rsid w:val="00DF6E5D"/>
    <w:rsid w:val="00DF70EF"/>
    <w:rsid w:val="00DF72CD"/>
    <w:rsid w:val="00DF7459"/>
    <w:rsid w:val="00DF7655"/>
    <w:rsid w:val="00DF781F"/>
    <w:rsid w:val="00DF7989"/>
    <w:rsid w:val="00DF798D"/>
    <w:rsid w:val="00DF7ACD"/>
    <w:rsid w:val="00DF7D3A"/>
    <w:rsid w:val="00E000F4"/>
    <w:rsid w:val="00E001E5"/>
    <w:rsid w:val="00E0084F"/>
    <w:rsid w:val="00E00A8A"/>
    <w:rsid w:val="00E00ACA"/>
    <w:rsid w:val="00E00D0C"/>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E0D"/>
    <w:rsid w:val="00E045C3"/>
    <w:rsid w:val="00E048FF"/>
    <w:rsid w:val="00E04AB7"/>
    <w:rsid w:val="00E05064"/>
    <w:rsid w:val="00E05400"/>
    <w:rsid w:val="00E0556C"/>
    <w:rsid w:val="00E05789"/>
    <w:rsid w:val="00E05A4D"/>
    <w:rsid w:val="00E05AC4"/>
    <w:rsid w:val="00E05E9E"/>
    <w:rsid w:val="00E06073"/>
    <w:rsid w:val="00E06096"/>
    <w:rsid w:val="00E06402"/>
    <w:rsid w:val="00E064D9"/>
    <w:rsid w:val="00E06708"/>
    <w:rsid w:val="00E06B00"/>
    <w:rsid w:val="00E07354"/>
    <w:rsid w:val="00E074FB"/>
    <w:rsid w:val="00E076FC"/>
    <w:rsid w:val="00E07831"/>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5EDD"/>
    <w:rsid w:val="00E16030"/>
    <w:rsid w:val="00E163CF"/>
    <w:rsid w:val="00E16862"/>
    <w:rsid w:val="00E16868"/>
    <w:rsid w:val="00E16869"/>
    <w:rsid w:val="00E16D8A"/>
    <w:rsid w:val="00E16E34"/>
    <w:rsid w:val="00E16EEE"/>
    <w:rsid w:val="00E173C1"/>
    <w:rsid w:val="00E17990"/>
    <w:rsid w:val="00E17C3D"/>
    <w:rsid w:val="00E17E53"/>
    <w:rsid w:val="00E20089"/>
    <w:rsid w:val="00E20238"/>
    <w:rsid w:val="00E20394"/>
    <w:rsid w:val="00E20439"/>
    <w:rsid w:val="00E2048E"/>
    <w:rsid w:val="00E20650"/>
    <w:rsid w:val="00E206C6"/>
    <w:rsid w:val="00E20D0A"/>
    <w:rsid w:val="00E210A3"/>
    <w:rsid w:val="00E211FB"/>
    <w:rsid w:val="00E21467"/>
    <w:rsid w:val="00E2162E"/>
    <w:rsid w:val="00E219AB"/>
    <w:rsid w:val="00E21BB5"/>
    <w:rsid w:val="00E21D2F"/>
    <w:rsid w:val="00E21DA1"/>
    <w:rsid w:val="00E21E78"/>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836"/>
    <w:rsid w:val="00E24BDE"/>
    <w:rsid w:val="00E24D87"/>
    <w:rsid w:val="00E24E19"/>
    <w:rsid w:val="00E25005"/>
    <w:rsid w:val="00E252D9"/>
    <w:rsid w:val="00E25513"/>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2C"/>
    <w:rsid w:val="00E27F45"/>
    <w:rsid w:val="00E27FD1"/>
    <w:rsid w:val="00E3018C"/>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B0C"/>
    <w:rsid w:val="00E32BBD"/>
    <w:rsid w:val="00E32C82"/>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50"/>
    <w:rsid w:val="00E35BB4"/>
    <w:rsid w:val="00E35C74"/>
    <w:rsid w:val="00E35D78"/>
    <w:rsid w:val="00E36081"/>
    <w:rsid w:val="00E36137"/>
    <w:rsid w:val="00E3630E"/>
    <w:rsid w:val="00E363D7"/>
    <w:rsid w:val="00E36682"/>
    <w:rsid w:val="00E36870"/>
    <w:rsid w:val="00E36894"/>
    <w:rsid w:val="00E37049"/>
    <w:rsid w:val="00E372B6"/>
    <w:rsid w:val="00E3754A"/>
    <w:rsid w:val="00E3754C"/>
    <w:rsid w:val="00E37B1A"/>
    <w:rsid w:val="00E37B6D"/>
    <w:rsid w:val="00E37D0A"/>
    <w:rsid w:val="00E37FD7"/>
    <w:rsid w:val="00E4006C"/>
    <w:rsid w:val="00E400DC"/>
    <w:rsid w:val="00E4011E"/>
    <w:rsid w:val="00E401AA"/>
    <w:rsid w:val="00E405E9"/>
    <w:rsid w:val="00E40774"/>
    <w:rsid w:val="00E40B32"/>
    <w:rsid w:val="00E4118D"/>
    <w:rsid w:val="00E41208"/>
    <w:rsid w:val="00E4139D"/>
    <w:rsid w:val="00E4147A"/>
    <w:rsid w:val="00E414F4"/>
    <w:rsid w:val="00E41658"/>
    <w:rsid w:val="00E41B4A"/>
    <w:rsid w:val="00E41BF4"/>
    <w:rsid w:val="00E42457"/>
    <w:rsid w:val="00E424EE"/>
    <w:rsid w:val="00E4255A"/>
    <w:rsid w:val="00E428B1"/>
    <w:rsid w:val="00E42971"/>
    <w:rsid w:val="00E42E09"/>
    <w:rsid w:val="00E430C6"/>
    <w:rsid w:val="00E43475"/>
    <w:rsid w:val="00E4362C"/>
    <w:rsid w:val="00E43637"/>
    <w:rsid w:val="00E43686"/>
    <w:rsid w:val="00E43729"/>
    <w:rsid w:val="00E4376E"/>
    <w:rsid w:val="00E437BD"/>
    <w:rsid w:val="00E43819"/>
    <w:rsid w:val="00E43A01"/>
    <w:rsid w:val="00E43BE1"/>
    <w:rsid w:val="00E43D20"/>
    <w:rsid w:val="00E44540"/>
    <w:rsid w:val="00E447EA"/>
    <w:rsid w:val="00E44869"/>
    <w:rsid w:val="00E448D9"/>
    <w:rsid w:val="00E44986"/>
    <w:rsid w:val="00E449A7"/>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495"/>
    <w:rsid w:val="00E476FC"/>
    <w:rsid w:val="00E477EB"/>
    <w:rsid w:val="00E477FB"/>
    <w:rsid w:val="00E478A5"/>
    <w:rsid w:val="00E47983"/>
    <w:rsid w:val="00E47A6C"/>
    <w:rsid w:val="00E47A88"/>
    <w:rsid w:val="00E47C75"/>
    <w:rsid w:val="00E47C90"/>
    <w:rsid w:val="00E47D82"/>
    <w:rsid w:val="00E47FB4"/>
    <w:rsid w:val="00E50193"/>
    <w:rsid w:val="00E50376"/>
    <w:rsid w:val="00E50450"/>
    <w:rsid w:val="00E504A1"/>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56F"/>
    <w:rsid w:val="00E5468D"/>
    <w:rsid w:val="00E546B4"/>
    <w:rsid w:val="00E54756"/>
    <w:rsid w:val="00E54809"/>
    <w:rsid w:val="00E54A9B"/>
    <w:rsid w:val="00E54E0A"/>
    <w:rsid w:val="00E55056"/>
    <w:rsid w:val="00E55079"/>
    <w:rsid w:val="00E550C2"/>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53D"/>
    <w:rsid w:val="00E60810"/>
    <w:rsid w:val="00E6088E"/>
    <w:rsid w:val="00E60942"/>
    <w:rsid w:val="00E60B48"/>
    <w:rsid w:val="00E60C7D"/>
    <w:rsid w:val="00E60F5A"/>
    <w:rsid w:val="00E60F8F"/>
    <w:rsid w:val="00E611E1"/>
    <w:rsid w:val="00E6138E"/>
    <w:rsid w:val="00E61419"/>
    <w:rsid w:val="00E61658"/>
    <w:rsid w:val="00E61DC9"/>
    <w:rsid w:val="00E62006"/>
    <w:rsid w:val="00E62015"/>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2DB"/>
    <w:rsid w:val="00E6537E"/>
    <w:rsid w:val="00E65702"/>
    <w:rsid w:val="00E65E3D"/>
    <w:rsid w:val="00E65EF6"/>
    <w:rsid w:val="00E65EFA"/>
    <w:rsid w:val="00E65EFE"/>
    <w:rsid w:val="00E65FFE"/>
    <w:rsid w:val="00E66293"/>
    <w:rsid w:val="00E66479"/>
    <w:rsid w:val="00E667E3"/>
    <w:rsid w:val="00E669C1"/>
    <w:rsid w:val="00E66E5F"/>
    <w:rsid w:val="00E66F3E"/>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1CB"/>
    <w:rsid w:val="00E7667C"/>
    <w:rsid w:val="00E769E0"/>
    <w:rsid w:val="00E76A29"/>
    <w:rsid w:val="00E77248"/>
    <w:rsid w:val="00E77272"/>
    <w:rsid w:val="00E77435"/>
    <w:rsid w:val="00E774EA"/>
    <w:rsid w:val="00E77521"/>
    <w:rsid w:val="00E77601"/>
    <w:rsid w:val="00E776BC"/>
    <w:rsid w:val="00E777D8"/>
    <w:rsid w:val="00E77821"/>
    <w:rsid w:val="00E7795D"/>
    <w:rsid w:val="00E77AF5"/>
    <w:rsid w:val="00E77D78"/>
    <w:rsid w:val="00E803F4"/>
    <w:rsid w:val="00E80409"/>
    <w:rsid w:val="00E80BC2"/>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9"/>
    <w:rsid w:val="00E83D41"/>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C99"/>
    <w:rsid w:val="00E85E24"/>
    <w:rsid w:val="00E86246"/>
    <w:rsid w:val="00E86506"/>
    <w:rsid w:val="00E867C7"/>
    <w:rsid w:val="00E86B25"/>
    <w:rsid w:val="00E86C3F"/>
    <w:rsid w:val="00E86DF7"/>
    <w:rsid w:val="00E86ED9"/>
    <w:rsid w:val="00E86EE5"/>
    <w:rsid w:val="00E871C7"/>
    <w:rsid w:val="00E87246"/>
    <w:rsid w:val="00E87571"/>
    <w:rsid w:val="00E87686"/>
    <w:rsid w:val="00E87A54"/>
    <w:rsid w:val="00E87B02"/>
    <w:rsid w:val="00E87BC3"/>
    <w:rsid w:val="00E87D9B"/>
    <w:rsid w:val="00E90073"/>
    <w:rsid w:val="00E903DC"/>
    <w:rsid w:val="00E90611"/>
    <w:rsid w:val="00E9083F"/>
    <w:rsid w:val="00E9086B"/>
    <w:rsid w:val="00E90CB1"/>
    <w:rsid w:val="00E90E8B"/>
    <w:rsid w:val="00E90ECC"/>
    <w:rsid w:val="00E90FA8"/>
    <w:rsid w:val="00E90FB4"/>
    <w:rsid w:val="00E9104C"/>
    <w:rsid w:val="00E910A5"/>
    <w:rsid w:val="00E917E9"/>
    <w:rsid w:val="00E9181C"/>
    <w:rsid w:val="00E9191F"/>
    <w:rsid w:val="00E91E6C"/>
    <w:rsid w:val="00E92168"/>
    <w:rsid w:val="00E922A6"/>
    <w:rsid w:val="00E924DA"/>
    <w:rsid w:val="00E92550"/>
    <w:rsid w:val="00E92597"/>
    <w:rsid w:val="00E928FA"/>
    <w:rsid w:val="00E92922"/>
    <w:rsid w:val="00E92EAA"/>
    <w:rsid w:val="00E92F0A"/>
    <w:rsid w:val="00E9303F"/>
    <w:rsid w:val="00E93050"/>
    <w:rsid w:val="00E930BF"/>
    <w:rsid w:val="00E93586"/>
    <w:rsid w:val="00E9383F"/>
    <w:rsid w:val="00E93848"/>
    <w:rsid w:val="00E93881"/>
    <w:rsid w:val="00E939BA"/>
    <w:rsid w:val="00E939E2"/>
    <w:rsid w:val="00E93A3F"/>
    <w:rsid w:val="00E93AEA"/>
    <w:rsid w:val="00E93D87"/>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1"/>
    <w:rsid w:val="00E9700B"/>
    <w:rsid w:val="00E970F0"/>
    <w:rsid w:val="00E972FC"/>
    <w:rsid w:val="00E97449"/>
    <w:rsid w:val="00E978A4"/>
    <w:rsid w:val="00E97D2A"/>
    <w:rsid w:val="00E97D7E"/>
    <w:rsid w:val="00E97E3E"/>
    <w:rsid w:val="00E97F57"/>
    <w:rsid w:val="00EA0023"/>
    <w:rsid w:val="00EA0150"/>
    <w:rsid w:val="00EA033D"/>
    <w:rsid w:val="00EA0370"/>
    <w:rsid w:val="00EA04A3"/>
    <w:rsid w:val="00EA05C8"/>
    <w:rsid w:val="00EA093A"/>
    <w:rsid w:val="00EA0BCD"/>
    <w:rsid w:val="00EA0CC9"/>
    <w:rsid w:val="00EA0E29"/>
    <w:rsid w:val="00EA0E9D"/>
    <w:rsid w:val="00EA0F71"/>
    <w:rsid w:val="00EA10A1"/>
    <w:rsid w:val="00EA14F4"/>
    <w:rsid w:val="00EA17C0"/>
    <w:rsid w:val="00EA17C8"/>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934"/>
    <w:rsid w:val="00EA7F07"/>
    <w:rsid w:val="00EA7FC3"/>
    <w:rsid w:val="00EB0190"/>
    <w:rsid w:val="00EB02A1"/>
    <w:rsid w:val="00EB0500"/>
    <w:rsid w:val="00EB07BC"/>
    <w:rsid w:val="00EB0A07"/>
    <w:rsid w:val="00EB0BD6"/>
    <w:rsid w:val="00EB0DFC"/>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763"/>
    <w:rsid w:val="00EB58A0"/>
    <w:rsid w:val="00EB5BD5"/>
    <w:rsid w:val="00EB5EAC"/>
    <w:rsid w:val="00EB61A0"/>
    <w:rsid w:val="00EB6872"/>
    <w:rsid w:val="00EB6CFB"/>
    <w:rsid w:val="00EB6D6E"/>
    <w:rsid w:val="00EB6D94"/>
    <w:rsid w:val="00EB7226"/>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1EE6"/>
    <w:rsid w:val="00EC1F24"/>
    <w:rsid w:val="00EC2123"/>
    <w:rsid w:val="00EC2364"/>
    <w:rsid w:val="00EC24F5"/>
    <w:rsid w:val="00EC25F1"/>
    <w:rsid w:val="00EC266E"/>
    <w:rsid w:val="00EC2768"/>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19A"/>
    <w:rsid w:val="00EC5250"/>
    <w:rsid w:val="00EC53D5"/>
    <w:rsid w:val="00EC555F"/>
    <w:rsid w:val="00EC5909"/>
    <w:rsid w:val="00EC5959"/>
    <w:rsid w:val="00EC59CC"/>
    <w:rsid w:val="00EC5C1D"/>
    <w:rsid w:val="00EC6082"/>
    <w:rsid w:val="00EC6156"/>
    <w:rsid w:val="00EC63F4"/>
    <w:rsid w:val="00EC6502"/>
    <w:rsid w:val="00EC655B"/>
    <w:rsid w:val="00EC67F3"/>
    <w:rsid w:val="00EC689E"/>
    <w:rsid w:val="00EC696F"/>
    <w:rsid w:val="00EC6B01"/>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9E2"/>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B34"/>
    <w:rsid w:val="00EE5BAF"/>
    <w:rsid w:val="00EE5EAF"/>
    <w:rsid w:val="00EE6104"/>
    <w:rsid w:val="00EE6500"/>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EEA"/>
    <w:rsid w:val="00EF2FF5"/>
    <w:rsid w:val="00EF32EF"/>
    <w:rsid w:val="00EF3821"/>
    <w:rsid w:val="00EF3AFF"/>
    <w:rsid w:val="00EF3C24"/>
    <w:rsid w:val="00EF3F75"/>
    <w:rsid w:val="00EF3FAA"/>
    <w:rsid w:val="00EF4185"/>
    <w:rsid w:val="00EF421E"/>
    <w:rsid w:val="00EF4329"/>
    <w:rsid w:val="00EF4717"/>
    <w:rsid w:val="00EF4A02"/>
    <w:rsid w:val="00EF4CD2"/>
    <w:rsid w:val="00EF4E7D"/>
    <w:rsid w:val="00EF4FE3"/>
    <w:rsid w:val="00EF5016"/>
    <w:rsid w:val="00EF51F9"/>
    <w:rsid w:val="00EF565C"/>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9CB"/>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BA9"/>
    <w:rsid w:val="00F06199"/>
    <w:rsid w:val="00F06919"/>
    <w:rsid w:val="00F06A73"/>
    <w:rsid w:val="00F06B95"/>
    <w:rsid w:val="00F06DA4"/>
    <w:rsid w:val="00F07D4F"/>
    <w:rsid w:val="00F07DC2"/>
    <w:rsid w:val="00F07F24"/>
    <w:rsid w:val="00F07F33"/>
    <w:rsid w:val="00F10609"/>
    <w:rsid w:val="00F10634"/>
    <w:rsid w:val="00F1090C"/>
    <w:rsid w:val="00F10AE7"/>
    <w:rsid w:val="00F1100F"/>
    <w:rsid w:val="00F11146"/>
    <w:rsid w:val="00F1124B"/>
    <w:rsid w:val="00F112E7"/>
    <w:rsid w:val="00F11529"/>
    <w:rsid w:val="00F11641"/>
    <w:rsid w:val="00F11664"/>
    <w:rsid w:val="00F118D2"/>
    <w:rsid w:val="00F11A2B"/>
    <w:rsid w:val="00F11C1D"/>
    <w:rsid w:val="00F11DB5"/>
    <w:rsid w:val="00F11EA8"/>
    <w:rsid w:val="00F120BE"/>
    <w:rsid w:val="00F12108"/>
    <w:rsid w:val="00F12232"/>
    <w:rsid w:val="00F1251D"/>
    <w:rsid w:val="00F12573"/>
    <w:rsid w:val="00F1271F"/>
    <w:rsid w:val="00F1282A"/>
    <w:rsid w:val="00F128EA"/>
    <w:rsid w:val="00F129B9"/>
    <w:rsid w:val="00F12AD0"/>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04"/>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0ED1"/>
    <w:rsid w:val="00F213A2"/>
    <w:rsid w:val="00F214A1"/>
    <w:rsid w:val="00F214D2"/>
    <w:rsid w:val="00F218CD"/>
    <w:rsid w:val="00F21AD9"/>
    <w:rsid w:val="00F21B36"/>
    <w:rsid w:val="00F21EDD"/>
    <w:rsid w:val="00F22402"/>
    <w:rsid w:val="00F22431"/>
    <w:rsid w:val="00F22779"/>
    <w:rsid w:val="00F22A1B"/>
    <w:rsid w:val="00F22A4F"/>
    <w:rsid w:val="00F22BA1"/>
    <w:rsid w:val="00F22C1E"/>
    <w:rsid w:val="00F22D0B"/>
    <w:rsid w:val="00F22F8E"/>
    <w:rsid w:val="00F230B6"/>
    <w:rsid w:val="00F23224"/>
    <w:rsid w:val="00F234A1"/>
    <w:rsid w:val="00F234F2"/>
    <w:rsid w:val="00F23753"/>
    <w:rsid w:val="00F237F4"/>
    <w:rsid w:val="00F2398D"/>
    <w:rsid w:val="00F23B3F"/>
    <w:rsid w:val="00F23EB1"/>
    <w:rsid w:val="00F242C5"/>
    <w:rsid w:val="00F245D5"/>
    <w:rsid w:val="00F24667"/>
    <w:rsid w:val="00F2478B"/>
    <w:rsid w:val="00F249AD"/>
    <w:rsid w:val="00F24A05"/>
    <w:rsid w:val="00F24E55"/>
    <w:rsid w:val="00F24EF4"/>
    <w:rsid w:val="00F25063"/>
    <w:rsid w:val="00F250A4"/>
    <w:rsid w:val="00F25172"/>
    <w:rsid w:val="00F251F3"/>
    <w:rsid w:val="00F2536A"/>
    <w:rsid w:val="00F2537F"/>
    <w:rsid w:val="00F25C6C"/>
    <w:rsid w:val="00F26066"/>
    <w:rsid w:val="00F26125"/>
    <w:rsid w:val="00F261FB"/>
    <w:rsid w:val="00F2622B"/>
    <w:rsid w:val="00F262C1"/>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D78"/>
    <w:rsid w:val="00F3322C"/>
    <w:rsid w:val="00F332A7"/>
    <w:rsid w:val="00F33455"/>
    <w:rsid w:val="00F3347C"/>
    <w:rsid w:val="00F334B5"/>
    <w:rsid w:val="00F33659"/>
    <w:rsid w:val="00F33822"/>
    <w:rsid w:val="00F33C9E"/>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F41"/>
    <w:rsid w:val="00F42F6E"/>
    <w:rsid w:val="00F430AE"/>
    <w:rsid w:val="00F432F0"/>
    <w:rsid w:val="00F4356D"/>
    <w:rsid w:val="00F43581"/>
    <w:rsid w:val="00F435F9"/>
    <w:rsid w:val="00F43650"/>
    <w:rsid w:val="00F43A56"/>
    <w:rsid w:val="00F44172"/>
    <w:rsid w:val="00F44521"/>
    <w:rsid w:val="00F445DC"/>
    <w:rsid w:val="00F445FB"/>
    <w:rsid w:val="00F447F0"/>
    <w:rsid w:val="00F44818"/>
    <w:rsid w:val="00F44C27"/>
    <w:rsid w:val="00F44CD6"/>
    <w:rsid w:val="00F44D4F"/>
    <w:rsid w:val="00F4528E"/>
    <w:rsid w:val="00F454A8"/>
    <w:rsid w:val="00F454C0"/>
    <w:rsid w:val="00F45650"/>
    <w:rsid w:val="00F460E8"/>
    <w:rsid w:val="00F461BD"/>
    <w:rsid w:val="00F46492"/>
    <w:rsid w:val="00F465A7"/>
    <w:rsid w:val="00F46651"/>
    <w:rsid w:val="00F466C9"/>
    <w:rsid w:val="00F467C3"/>
    <w:rsid w:val="00F467EF"/>
    <w:rsid w:val="00F46AD7"/>
    <w:rsid w:val="00F46D23"/>
    <w:rsid w:val="00F46DEA"/>
    <w:rsid w:val="00F46E73"/>
    <w:rsid w:val="00F46E8D"/>
    <w:rsid w:val="00F46EE7"/>
    <w:rsid w:val="00F46EF9"/>
    <w:rsid w:val="00F47018"/>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112"/>
    <w:rsid w:val="00F531C0"/>
    <w:rsid w:val="00F53294"/>
    <w:rsid w:val="00F532DD"/>
    <w:rsid w:val="00F533A9"/>
    <w:rsid w:val="00F533FC"/>
    <w:rsid w:val="00F534D1"/>
    <w:rsid w:val="00F536B0"/>
    <w:rsid w:val="00F536D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639"/>
    <w:rsid w:val="00F5586B"/>
    <w:rsid w:val="00F55A55"/>
    <w:rsid w:val="00F55B31"/>
    <w:rsid w:val="00F561B8"/>
    <w:rsid w:val="00F562FB"/>
    <w:rsid w:val="00F56357"/>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0DB"/>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2EF2"/>
    <w:rsid w:val="00F630DF"/>
    <w:rsid w:val="00F63108"/>
    <w:rsid w:val="00F633F1"/>
    <w:rsid w:val="00F6349F"/>
    <w:rsid w:val="00F635F9"/>
    <w:rsid w:val="00F6369D"/>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0C8"/>
    <w:rsid w:val="00F67256"/>
    <w:rsid w:val="00F674DB"/>
    <w:rsid w:val="00F67590"/>
    <w:rsid w:val="00F6772B"/>
    <w:rsid w:val="00F67A31"/>
    <w:rsid w:val="00F67D86"/>
    <w:rsid w:val="00F67E1F"/>
    <w:rsid w:val="00F67EDB"/>
    <w:rsid w:val="00F702E8"/>
    <w:rsid w:val="00F70740"/>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9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5E"/>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424"/>
    <w:rsid w:val="00F80500"/>
    <w:rsid w:val="00F80728"/>
    <w:rsid w:val="00F807B3"/>
    <w:rsid w:val="00F80922"/>
    <w:rsid w:val="00F80933"/>
    <w:rsid w:val="00F811D4"/>
    <w:rsid w:val="00F811DC"/>
    <w:rsid w:val="00F811DF"/>
    <w:rsid w:val="00F811F3"/>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2F6B"/>
    <w:rsid w:val="00F83620"/>
    <w:rsid w:val="00F8402C"/>
    <w:rsid w:val="00F840F6"/>
    <w:rsid w:val="00F841AC"/>
    <w:rsid w:val="00F84229"/>
    <w:rsid w:val="00F843A8"/>
    <w:rsid w:val="00F84603"/>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837"/>
    <w:rsid w:val="00F86973"/>
    <w:rsid w:val="00F86A60"/>
    <w:rsid w:val="00F86AD2"/>
    <w:rsid w:val="00F86C85"/>
    <w:rsid w:val="00F86E66"/>
    <w:rsid w:val="00F87590"/>
    <w:rsid w:val="00F875DF"/>
    <w:rsid w:val="00F875E0"/>
    <w:rsid w:val="00F87722"/>
    <w:rsid w:val="00F878B7"/>
    <w:rsid w:val="00F878BA"/>
    <w:rsid w:val="00F87B05"/>
    <w:rsid w:val="00F87C38"/>
    <w:rsid w:val="00F87ED9"/>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281"/>
    <w:rsid w:val="00F934CB"/>
    <w:rsid w:val="00F93541"/>
    <w:rsid w:val="00F9354E"/>
    <w:rsid w:val="00F935B1"/>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05A"/>
    <w:rsid w:val="00FA53E3"/>
    <w:rsid w:val="00FA580D"/>
    <w:rsid w:val="00FA5D4E"/>
    <w:rsid w:val="00FA6163"/>
    <w:rsid w:val="00FA633B"/>
    <w:rsid w:val="00FA659E"/>
    <w:rsid w:val="00FA664D"/>
    <w:rsid w:val="00FA6688"/>
    <w:rsid w:val="00FA6888"/>
    <w:rsid w:val="00FA6A53"/>
    <w:rsid w:val="00FA6AE5"/>
    <w:rsid w:val="00FA6CFB"/>
    <w:rsid w:val="00FA6EF1"/>
    <w:rsid w:val="00FA7247"/>
    <w:rsid w:val="00FA7516"/>
    <w:rsid w:val="00FA7871"/>
    <w:rsid w:val="00FA7AD4"/>
    <w:rsid w:val="00FA7BB8"/>
    <w:rsid w:val="00FA7CB1"/>
    <w:rsid w:val="00FA7DEF"/>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49"/>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C051D"/>
    <w:rsid w:val="00FC05D7"/>
    <w:rsid w:val="00FC0B40"/>
    <w:rsid w:val="00FC0C08"/>
    <w:rsid w:val="00FC0D68"/>
    <w:rsid w:val="00FC12B0"/>
    <w:rsid w:val="00FC1517"/>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69D"/>
    <w:rsid w:val="00FC3A39"/>
    <w:rsid w:val="00FC3AEC"/>
    <w:rsid w:val="00FC3FBC"/>
    <w:rsid w:val="00FC4A36"/>
    <w:rsid w:val="00FC4AFD"/>
    <w:rsid w:val="00FC4BBC"/>
    <w:rsid w:val="00FC4C0C"/>
    <w:rsid w:val="00FC512C"/>
    <w:rsid w:val="00FC5197"/>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C7FE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4E4"/>
    <w:rsid w:val="00FD3958"/>
    <w:rsid w:val="00FD39F1"/>
    <w:rsid w:val="00FD3E04"/>
    <w:rsid w:val="00FD435A"/>
    <w:rsid w:val="00FD445B"/>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DF"/>
    <w:rsid w:val="00FE00A2"/>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392"/>
    <w:rsid w:val="00FE26C1"/>
    <w:rsid w:val="00FE2842"/>
    <w:rsid w:val="00FE2AAF"/>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5A"/>
    <w:rsid w:val="00FE4FFA"/>
    <w:rsid w:val="00FE522F"/>
    <w:rsid w:val="00FE5980"/>
    <w:rsid w:val="00FE5C69"/>
    <w:rsid w:val="00FE609C"/>
    <w:rsid w:val="00FE6230"/>
    <w:rsid w:val="00FE6468"/>
    <w:rsid w:val="00FE65A6"/>
    <w:rsid w:val="00FE6646"/>
    <w:rsid w:val="00FE669B"/>
    <w:rsid w:val="00FE714D"/>
    <w:rsid w:val="00FE7352"/>
    <w:rsid w:val="00FE77D9"/>
    <w:rsid w:val="00FE7D6A"/>
    <w:rsid w:val="00FF018D"/>
    <w:rsid w:val="00FF01B0"/>
    <w:rsid w:val="00FF029E"/>
    <w:rsid w:val="00FF034B"/>
    <w:rsid w:val="00FF03B0"/>
    <w:rsid w:val="00FF0403"/>
    <w:rsid w:val="00FF0655"/>
    <w:rsid w:val="00FF0961"/>
    <w:rsid w:val="00FF09F9"/>
    <w:rsid w:val="00FF0C30"/>
    <w:rsid w:val="00FF1007"/>
    <w:rsid w:val="00FF122C"/>
    <w:rsid w:val="00FF13B9"/>
    <w:rsid w:val="00FF1842"/>
    <w:rsid w:val="00FF196B"/>
    <w:rsid w:val="00FF1A67"/>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D99"/>
    <w:rsid w:val="00FF4DA1"/>
    <w:rsid w:val="00FF5225"/>
    <w:rsid w:val="00FF5450"/>
    <w:rsid w:val="00FF5C14"/>
    <w:rsid w:val="00FF5FA3"/>
    <w:rsid w:val="00FF5FF1"/>
    <w:rsid w:val="00FF6005"/>
    <w:rsid w:val="00FF613D"/>
    <w:rsid w:val="00FF6189"/>
    <w:rsid w:val="00FF677B"/>
    <w:rsid w:val="00FF6916"/>
    <w:rsid w:val="00FF6982"/>
    <w:rsid w:val="00FF6A2B"/>
    <w:rsid w:val="00FF6C1C"/>
    <w:rsid w:val="00FF6C35"/>
    <w:rsid w:val="00FF6DDE"/>
    <w:rsid w:val="00FF7060"/>
    <w:rsid w:val="00FF7636"/>
    <w:rsid w:val="00FF765F"/>
    <w:rsid w:val="00FF7989"/>
    <w:rsid w:val="00FF7D03"/>
    <w:rsid w:val="016A6FD7"/>
    <w:rsid w:val="02076BAC"/>
    <w:rsid w:val="036B7036"/>
    <w:rsid w:val="03C75283"/>
    <w:rsid w:val="03D40205"/>
    <w:rsid w:val="040E4592"/>
    <w:rsid w:val="042060A2"/>
    <w:rsid w:val="04610B65"/>
    <w:rsid w:val="047D06AE"/>
    <w:rsid w:val="04AB445C"/>
    <w:rsid w:val="05597642"/>
    <w:rsid w:val="05790331"/>
    <w:rsid w:val="0598566E"/>
    <w:rsid w:val="05C5370C"/>
    <w:rsid w:val="066606B5"/>
    <w:rsid w:val="06677F89"/>
    <w:rsid w:val="068C36E5"/>
    <w:rsid w:val="06F64817"/>
    <w:rsid w:val="07141C3F"/>
    <w:rsid w:val="071D041C"/>
    <w:rsid w:val="07B45450"/>
    <w:rsid w:val="07E31891"/>
    <w:rsid w:val="07E8334B"/>
    <w:rsid w:val="085B3309"/>
    <w:rsid w:val="089B644D"/>
    <w:rsid w:val="08A40BE4"/>
    <w:rsid w:val="08A973BB"/>
    <w:rsid w:val="08DD6D78"/>
    <w:rsid w:val="09697E1D"/>
    <w:rsid w:val="096F5821"/>
    <w:rsid w:val="09814851"/>
    <w:rsid w:val="09C33728"/>
    <w:rsid w:val="0A112909"/>
    <w:rsid w:val="0A6602F2"/>
    <w:rsid w:val="0AE339F2"/>
    <w:rsid w:val="0AE56E10"/>
    <w:rsid w:val="0B0446F4"/>
    <w:rsid w:val="0B660C1A"/>
    <w:rsid w:val="0B956513"/>
    <w:rsid w:val="0BAE5EEB"/>
    <w:rsid w:val="0C036249"/>
    <w:rsid w:val="0C37664F"/>
    <w:rsid w:val="0CE872D9"/>
    <w:rsid w:val="0DDA653B"/>
    <w:rsid w:val="0E1529C0"/>
    <w:rsid w:val="0E412CE7"/>
    <w:rsid w:val="0E4710EE"/>
    <w:rsid w:val="0E773F0A"/>
    <w:rsid w:val="0F5D6F88"/>
    <w:rsid w:val="0F800B18"/>
    <w:rsid w:val="0FC10C88"/>
    <w:rsid w:val="10074841"/>
    <w:rsid w:val="10306B91"/>
    <w:rsid w:val="10CA5CE4"/>
    <w:rsid w:val="112B51A8"/>
    <w:rsid w:val="1163049F"/>
    <w:rsid w:val="11717F0E"/>
    <w:rsid w:val="119F6CFF"/>
    <w:rsid w:val="11AB78C4"/>
    <w:rsid w:val="11D07A50"/>
    <w:rsid w:val="11E82F0D"/>
    <w:rsid w:val="12357ED7"/>
    <w:rsid w:val="124C1507"/>
    <w:rsid w:val="12641821"/>
    <w:rsid w:val="12A903C1"/>
    <w:rsid w:val="12B74C45"/>
    <w:rsid w:val="12F473A6"/>
    <w:rsid w:val="12F9400E"/>
    <w:rsid w:val="12FD414F"/>
    <w:rsid w:val="12FE1894"/>
    <w:rsid w:val="132771B8"/>
    <w:rsid w:val="132C4821"/>
    <w:rsid w:val="13355FFD"/>
    <w:rsid w:val="1406206F"/>
    <w:rsid w:val="143D4D2B"/>
    <w:rsid w:val="14A44477"/>
    <w:rsid w:val="14AE55D8"/>
    <w:rsid w:val="14CD4B20"/>
    <w:rsid w:val="14DD7449"/>
    <w:rsid w:val="15064CB0"/>
    <w:rsid w:val="15111718"/>
    <w:rsid w:val="157D1577"/>
    <w:rsid w:val="162D0B80"/>
    <w:rsid w:val="16430098"/>
    <w:rsid w:val="169F744C"/>
    <w:rsid w:val="16F13FCB"/>
    <w:rsid w:val="17A80401"/>
    <w:rsid w:val="17F93E0B"/>
    <w:rsid w:val="1810358B"/>
    <w:rsid w:val="18697B91"/>
    <w:rsid w:val="186D70FB"/>
    <w:rsid w:val="18D0164E"/>
    <w:rsid w:val="18DC4807"/>
    <w:rsid w:val="190D628E"/>
    <w:rsid w:val="19240F9F"/>
    <w:rsid w:val="195837CA"/>
    <w:rsid w:val="19936AE1"/>
    <w:rsid w:val="19A54F04"/>
    <w:rsid w:val="19FC6306"/>
    <w:rsid w:val="1A6745A4"/>
    <w:rsid w:val="1AB048AE"/>
    <w:rsid w:val="1B326CE2"/>
    <w:rsid w:val="1B336D52"/>
    <w:rsid w:val="1B590390"/>
    <w:rsid w:val="1B6D5BEA"/>
    <w:rsid w:val="1BDA4758"/>
    <w:rsid w:val="1C455CA5"/>
    <w:rsid w:val="1C8D72E4"/>
    <w:rsid w:val="1CAA7120"/>
    <w:rsid w:val="1D2C69D2"/>
    <w:rsid w:val="1D4E2AE9"/>
    <w:rsid w:val="1D5C6F65"/>
    <w:rsid w:val="1E280889"/>
    <w:rsid w:val="1E5E7A6C"/>
    <w:rsid w:val="1EB678A8"/>
    <w:rsid w:val="1F0960BD"/>
    <w:rsid w:val="1F275EFE"/>
    <w:rsid w:val="1F8D29A8"/>
    <w:rsid w:val="1F94732E"/>
    <w:rsid w:val="20487F5A"/>
    <w:rsid w:val="20842CD2"/>
    <w:rsid w:val="20BA0959"/>
    <w:rsid w:val="20BF3609"/>
    <w:rsid w:val="20D27EA2"/>
    <w:rsid w:val="214F5BB1"/>
    <w:rsid w:val="21835B64"/>
    <w:rsid w:val="2189415F"/>
    <w:rsid w:val="2191127D"/>
    <w:rsid w:val="21C74D55"/>
    <w:rsid w:val="21CB103D"/>
    <w:rsid w:val="21D20B1C"/>
    <w:rsid w:val="22646256"/>
    <w:rsid w:val="22A068A5"/>
    <w:rsid w:val="22B05FF1"/>
    <w:rsid w:val="239E00B4"/>
    <w:rsid w:val="240715A8"/>
    <w:rsid w:val="248C1827"/>
    <w:rsid w:val="24C4748D"/>
    <w:rsid w:val="24E90931"/>
    <w:rsid w:val="25022086"/>
    <w:rsid w:val="250242B2"/>
    <w:rsid w:val="251E74A4"/>
    <w:rsid w:val="257E3356"/>
    <w:rsid w:val="25C40AFC"/>
    <w:rsid w:val="25CF57CE"/>
    <w:rsid w:val="25ED1E01"/>
    <w:rsid w:val="261255FF"/>
    <w:rsid w:val="2663431E"/>
    <w:rsid w:val="26932E57"/>
    <w:rsid w:val="26FE60FD"/>
    <w:rsid w:val="272D59AF"/>
    <w:rsid w:val="27843CE5"/>
    <w:rsid w:val="27880201"/>
    <w:rsid w:val="27DE2725"/>
    <w:rsid w:val="27DF5779"/>
    <w:rsid w:val="2853410C"/>
    <w:rsid w:val="288763DD"/>
    <w:rsid w:val="29946A38"/>
    <w:rsid w:val="299B163A"/>
    <w:rsid w:val="2A073FA2"/>
    <w:rsid w:val="2A187669"/>
    <w:rsid w:val="2A1A651C"/>
    <w:rsid w:val="2A4C4DF3"/>
    <w:rsid w:val="2A4E6BE6"/>
    <w:rsid w:val="2AD64E1F"/>
    <w:rsid w:val="2B966A97"/>
    <w:rsid w:val="2BF62D8E"/>
    <w:rsid w:val="2C0C1CEE"/>
    <w:rsid w:val="2C6F4337"/>
    <w:rsid w:val="2C6F69C4"/>
    <w:rsid w:val="2C8E6A23"/>
    <w:rsid w:val="2C9C70B4"/>
    <w:rsid w:val="2CEE6685"/>
    <w:rsid w:val="2CF91D1C"/>
    <w:rsid w:val="2D66545A"/>
    <w:rsid w:val="2D947A21"/>
    <w:rsid w:val="2D9D410D"/>
    <w:rsid w:val="2DEA4E78"/>
    <w:rsid w:val="2EAC56FF"/>
    <w:rsid w:val="2EC1207D"/>
    <w:rsid w:val="2EC56A5E"/>
    <w:rsid w:val="2EF47988"/>
    <w:rsid w:val="2EF77712"/>
    <w:rsid w:val="2F382845"/>
    <w:rsid w:val="2F6114D0"/>
    <w:rsid w:val="2F6C1656"/>
    <w:rsid w:val="2F8867B5"/>
    <w:rsid w:val="30122F2A"/>
    <w:rsid w:val="30410981"/>
    <w:rsid w:val="30625B8A"/>
    <w:rsid w:val="30A5072E"/>
    <w:rsid w:val="30C25B18"/>
    <w:rsid w:val="30FA1876"/>
    <w:rsid w:val="31120AB3"/>
    <w:rsid w:val="313A6D2E"/>
    <w:rsid w:val="31657052"/>
    <w:rsid w:val="31E71DFA"/>
    <w:rsid w:val="32073B23"/>
    <w:rsid w:val="328960D3"/>
    <w:rsid w:val="3293788C"/>
    <w:rsid w:val="32996D3F"/>
    <w:rsid w:val="32B06690"/>
    <w:rsid w:val="32EB653A"/>
    <w:rsid w:val="33A0551E"/>
    <w:rsid w:val="34226B34"/>
    <w:rsid w:val="345E575E"/>
    <w:rsid w:val="34BD32E6"/>
    <w:rsid w:val="34F42637"/>
    <w:rsid w:val="350E3009"/>
    <w:rsid w:val="353251AA"/>
    <w:rsid w:val="3575420A"/>
    <w:rsid w:val="35950DD6"/>
    <w:rsid w:val="35A65B28"/>
    <w:rsid w:val="35D5640E"/>
    <w:rsid w:val="3621401B"/>
    <w:rsid w:val="363A0874"/>
    <w:rsid w:val="366E2AEA"/>
    <w:rsid w:val="368C0333"/>
    <w:rsid w:val="36A36FD0"/>
    <w:rsid w:val="36B21AE0"/>
    <w:rsid w:val="36DB02D9"/>
    <w:rsid w:val="36EF0C5C"/>
    <w:rsid w:val="36FD4352"/>
    <w:rsid w:val="372C6501"/>
    <w:rsid w:val="37F912FC"/>
    <w:rsid w:val="38095F3E"/>
    <w:rsid w:val="388162A2"/>
    <w:rsid w:val="38C316AD"/>
    <w:rsid w:val="3958538C"/>
    <w:rsid w:val="3959297F"/>
    <w:rsid w:val="3A5B704B"/>
    <w:rsid w:val="3AB24F6F"/>
    <w:rsid w:val="3AE140A2"/>
    <w:rsid w:val="3AED3866"/>
    <w:rsid w:val="3B0B6CC6"/>
    <w:rsid w:val="3B795B9C"/>
    <w:rsid w:val="3BA6173E"/>
    <w:rsid w:val="3BCB6780"/>
    <w:rsid w:val="3BCD34EB"/>
    <w:rsid w:val="3C46639A"/>
    <w:rsid w:val="3C740D90"/>
    <w:rsid w:val="3CAF5C0A"/>
    <w:rsid w:val="3D0455DC"/>
    <w:rsid w:val="3D4A7CDD"/>
    <w:rsid w:val="3DE7017D"/>
    <w:rsid w:val="3E4430B9"/>
    <w:rsid w:val="3E765F5C"/>
    <w:rsid w:val="3EB516C8"/>
    <w:rsid w:val="3ECD0D60"/>
    <w:rsid w:val="3F10636B"/>
    <w:rsid w:val="3F422D66"/>
    <w:rsid w:val="3F670986"/>
    <w:rsid w:val="3F9E5AF5"/>
    <w:rsid w:val="3FC11368"/>
    <w:rsid w:val="40112738"/>
    <w:rsid w:val="40271F5C"/>
    <w:rsid w:val="40580367"/>
    <w:rsid w:val="40984BCB"/>
    <w:rsid w:val="40AF442B"/>
    <w:rsid w:val="418E1F84"/>
    <w:rsid w:val="41910115"/>
    <w:rsid w:val="41972C1B"/>
    <w:rsid w:val="42277766"/>
    <w:rsid w:val="42A751E8"/>
    <w:rsid w:val="42CD0A98"/>
    <w:rsid w:val="431A0C09"/>
    <w:rsid w:val="433724B6"/>
    <w:rsid w:val="43971F46"/>
    <w:rsid w:val="43E51580"/>
    <w:rsid w:val="44291945"/>
    <w:rsid w:val="443B18C5"/>
    <w:rsid w:val="4561381A"/>
    <w:rsid w:val="45725A27"/>
    <w:rsid w:val="45917FEF"/>
    <w:rsid w:val="460422BE"/>
    <w:rsid w:val="46713F31"/>
    <w:rsid w:val="46AC4F69"/>
    <w:rsid w:val="46F6123D"/>
    <w:rsid w:val="478A72B8"/>
    <w:rsid w:val="480E2158"/>
    <w:rsid w:val="48547666"/>
    <w:rsid w:val="4872475D"/>
    <w:rsid w:val="49301674"/>
    <w:rsid w:val="49A40179"/>
    <w:rsid w:val="4A027CE9"/>
    <w:rsid w:val="4A056E6A"/>
    <w:rsid w:val="4A0C18D0"/>
    <w:rsid w:val="4A370FED"/>
    <w:rsid w:val="4A4E6A63"/>
    <w:rsid w:val="4A7B64CC"/>
    <w:rsid w:val="4A8D74E6"/>
    <w:rsid w:val="4AFB3201"/>
    <w:rsid w:val="4B174AAB"/>
    <w:rsid w:val="4B2B2900"/>
    <w:rsid w:val="4B65373A"/>
    <w:rsid w:val="4B810673"/>
    <w:rsid w:val="4B872B56"/>
    <w:rsid w:val="4BAD3C64"/>
    <w:rsid w:val="4C3D5C0E"/>
    <w:rsid w:val="4C5B0FC3"/>
    <w:rsid w:val="4CD314A1"/>
    <w:rsid w:val="4D00163A"/>
    <w:rsid w:val="4D277347"/>
    <w:rsid w:val="4D4642C1"/>
    <w:rsid w:val="4D5D520F"/>
    <w:rsid w:val="4D84279B"/>
    <w:rsid w:val="4DAB5F7A"/>
    <w:rsid w:val="4DAC27D5"/>
    <w:rsid w:val="4DB31786"/>
    <w:rsid w:val="4E0C68A9"/>
    <w:rsid w:val="4E7C6B8F"/>
    <w:rsid w:val="4E8A1CDE"/>
    <w:rsid w:val="4ECC0D15"/>
    <w:rsid w:val="4F041DE6"/>
    <w:rsid w:val="4F0F5BE3"/>
    <w:rsid w:val="4F674123"/>
    <w:rsid w:val="4F821FC0"/>
    <w:rsid w:val="4FAD7F37"/>
    <w:rsid w:val="4FD32054"/>
    <w:rsid w:val="4FF54B0D"/>
    <w:rsid w:val="50023E82"/>
    <w:rsid w:val="502349AD"/>
    <w:rsid w:val="504F52E3"/>
    <w:rsid w:val="50B63106"/>
    <w:rsid w:val="512B41DA"/>
    <w:rsid w:val="515604E0"/>
    <w:rsid w:val="515F3303"/>
    <w:rsid w:val="5168704F"/>
    <w:rsid w:val="516B02D7"/>
    <w:rsid w:val="51D44B2A"/>
    <w:rsid w:val="51E57A85"/>
    <w:rsid w:val="5229351F"/>
    <w:rsid w:val="52422029"/>
    <w:rsid w:val="52DC721D"/>
    <w:rsid w:val="54123280"/>
    <w:rsid w:val="542C70D1"/>
    <w:rsid w:val="5455702E"/>
    <w:rsid w:val="54885155"/>
    <w:rsid w:val="54C811C0"/>
    <w:rsid w:val="54FE1085"/>
    <w:rsid w:val="55040901"/>
    <w:rsid w:val="5524266E"/>
    <w:rsid w:val="552B41FF"/>
    <w:rsid w:val="55E34D1D"/>
    <w:rsid w:val="55EC65BF"/>
    <w:rsid w:val="56072347"/>
    <w:rsid w:val="56576C9F"/>
    <w:rsid w:val="56746B00"/>
    <w:rsid w:val="567B40C7"/>
    <w:rsid w:val="569154CE"/>
    <w:rsid w:val="56DF05DE"/>
    <w:rsid w:val="56E07A2A"/>
    <w:rsid w:val="56F36BF8"/>
    <w:rsid w:val="56F70118"/>
    <w:rsid w:val="57366409"/>
    <w:rsid w:val="57E146AD"/>
    <w:rsid w:val="57FC6189"/>
    <w:rsid w:val="589A2F65"/>
    <w:rsid w:val="589C5582"/>
    <w:rsid w:val="58B55EFF"/>
    <w:rsid w:val="58C02696"/>
    <w:rsid w:val="59375A1D"/>
    <w:rsid w:val="593C25F7"/>
    <w:rsid w:val="593D1805"/>
    <w:rsid w:val="59B72A67"/>
    <w:rsid w:val="59D92725"/>
    <w:rsid w:val="5A7B1783"/>
    <w:rsid w:val="5ACC2340"/>
    <w:rsid w:val="5BA313DA"/>
    <w:rsid w:val="5BBD3980"/>
    <w:rsid w:val="5BFD0480"/>
    <w:rsid w:val="5C743932"/>
    <w:rsid w:val="5CA826EA"/>
    <w:rsid w:val="5CD36B0B"/>
    <w:rsid w:val="5D3A394F"/>
    <w:rsid w:val="5D481C31"/>
    <w:rsid w:val="5D52015A"/>
    <w:rsid w:val="5D5F468B"/>
    <w:rsid w:val="5DFA4633"/>
    <w:rsid w:val="5E0771FD"/>
    <w:rsid w:val="5E4B08A0"/>
    <w:rsid w:val="5EE80859"/>
    <w:rsid w:val="5F073306"/>
    <w:rsid w:val="5F351748"/>
    <w:rsid w:val="5F56421A"/>
    <w:rsid w:val="5F5F73B9"/>
    <w:rsid w:val="5F6708A7"/>
    <w:rsid w:val="5FA1243D"/>
    <w:rsid w:val="5FD320FE"/>
    <w:rsid w:val="5FE373CF"/>
    <w:rsid w:val="5FF05713"/>
    <w:rsid w:val="60206354"/>
    <w:rsid w:val="6165658B"/>
    <w:rsid w:val="61DC2F30"/>
    <w:rsid w:val="61F94C3C"/>
    <w:rsid w:val="62DD677E"/>
    <w:rsid w:val="62EC51EF"/>
    <w:rsid w:val="633D0FCB"/>
    <w:rsid w:val="63C079E0"/>
    <w:rsid w:val="63DF1EF0"/>
    <w:rsid w:val="64213D8A"/>
    <w:rsid w:val="64A5086D"/>
    <w:rsid w:val="64E35BA2"/>
    <w:rsid w:val="64E706E8"/>
    <w:rsid w:val="65042950"/>
    <w:rsid w:val="65261C89"/>
    <w:rsid w:val="65492FFC"/>
    <w:rsid w:val="65A672FB"/>
    <w:rsid w:val="65C03ADA"/>
    <w:rsid w:val="65C713DE"/>
    <w:rsid w:val="65FF25D9"/>
    <w:rsid w:val="662E4767"/>
    <w:rsid w:val="66706153"/>
    <w:rsid w:val="669E4940"/>
    <w:rsid w:val="673E5C26"/>
    <w:rsid w:val="67693455"/>
    <w:rsid w:val="67BC36C8"/>
    <w:rsid w:val="67EC296B"/>
    <w:rsid w:val="6838144E"/>
    <w:rsid w:val="683B27F5"/>
    <w:rsid w:val="68AA7398"/>
    <w:rsid w:val="68E51EE8"/>
    <w:rsid w:val="68F067BE"/>
    <w:rsid w:val="69BD2E65"/>
    <w:rsid w:val="6A165325"/>
    <w:rsid w:val="6AC972F4"/>
    <w:rsid w:val="6B063ED1"/>
    <w:rsid w:val="6B2E2F9E"/>
    <w:rsid w:val="6B5B41AF"/>
    <w:rsid w:val="6B8F0198"/>
    <w:rsid w:val="6BB14984"/>
    <w:rsid w:val="6BFE7D30"/>
    <w:rsid w:val="6C5B39FC"/>
    <w:rsid w:val="6CF2573A"/>
    <w:rsid w:val="6D444E4E"/>
    <w:rsid w:val="6D5B6C52"/>
    <w:rsid w:val="6DA560EA"/>
    <w:rsid w:val="6E664DD0"/>
    <w:rsid w:val="6E9F6595"/>
    <w:rsid w:val="6EB02F99"/>
    <w:rsid w:val="6F106C53"/>
    <w:rsid w:val="6F2B0871"/>
    <w:rsid w:val="6F2B513F"/>
    <w:rsid w:val="6F5002D8"/>
    <w:rsid w:val="6F97D24A"/>
    <w:rsid w:val="70495C48"/>
    <w:rsid w:val="705B6F34"/>
    <w:rsid w:val="70994B87"/>
    <w:rsid w:val="70E538F7"/>
    <w:rsid w:val="71E909FE"/>
    <w:rsid w:val="72730565"/>
    <w:rsid w:val="72944B4C"/>
    <w:rsid w:val="72C5459D"/>
    <w:rsid w:val="72EB459F"/>
    <w:rsid w:val="734E2D80"/>
    <w:rsid w:val="737C1903"/>
    <w:rsid w:val="73BE6619"/>
    <w:rsid w:val="74051691"/>
    <w:rsid w:val="742A7C83"/>
    <w:rsid w:val="742C597A"/>
    <w:rsid w:val="74F57957"/>
    <w:rsid w:val="75153B55"/>
    <w:rsid w:val="754C6AAA"/>
    <w:rsid w:val="757A1C0A"/>
    <w:rsid w:val="758F1B5A"/>
    <w:rsid w:val="75A66CA8"/>
    <w:rsid w:val="75B22403"/>
    <w:rsid w:val="75BE4172"/>
    <w:rsid w:val="75D4350A"/>
    <w:rsid w:val="75F23D10"/>
    <w:rsid w:val="767755A1"/>
    <w:rsid w:val="767C6495"/>
    <w:rsid w:val="76B4739E"/>
    <w:rsid w:val="76CE6F51"/>
    <w:rsid w:val="779F1DFC"/>
    <w:rsid w:val="78083678"/>
    <w:rsid w:val="78152EE7"/>
    <w:rsid w:val="788F1E71"/>
    <w:rsid w:val="78942048"/>
    <w:rsid w:val="78BB2F74"/>
    <w:rsid w:val="79252C7E"/>
    <w:rsid w:val="795C5D8F"/>
    <w:rsid w:val="79A417EA"/>
    <w:rsid w:val="79F71A7C"/>
    <w:rsid w:val="7A291E51"/>
    <w:rsid w:val="7AFA5CC1"/>
    <w:rsid w:val="7B6B0973"/>
    <w:rsid w:val="7B940F9C"/>
    <w:rsid w:val="7BAA4A32"/>
    <w:rsid w:val="7BC506FF"/>
    <w:rsid w:val="7C3B33F3"/>
    <w:rsid w:val="7C9F0755"/>
    <w:rsid w:val="7D113037"/>
    <w:rsid w:val="7D254B52"/>
    <w:rsid w:val="7DA5687D"/>
    <w:rsid w:val="7E1E7F1F"/>
    <w:rsid w:val="7E503BFB"/>
    <w:rsid w:val="7EB035DD"/>
    <w:rsid w:val="7EB34843"/>
    <w:rsid w:val="7EEC6D70"/>
    <w:rsid w:val="7F8356DA"/>
    <w:rsid w:val="7F97D7F2"/>
    <w:rsid w:val="A6FEB8E8"/>
    <w:rsid w:val="B85FDB83"/>
    <w:rsid w:val="C1BF7C39"/>
    <w:rsid w:val="C4BD4666"/>
    <w:rsid w:val="DAF67373"/>
    <w:rsid w:val="DC7C6527"/>
    <w:rsid w:val="DEE73C2B"/>
    <w:rsid w:val="EBA7250A"/>
    <w:rsid w:val="EDFF1E69"/>
    <w:rsid w:val="EF7CB3D9"/>
    <w:rsid w:val="F9F3A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qFormat="1" w:unhideWhenUsed="0" w:uiPriority="0" w:semiHidden="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99"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qFormat="1" w:unhideWhenUsed="0" w:uiPriority="0" w:semiHidden="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qFormat="1" w:unhideWhenUsed="0" w:uiPriority="0"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6"/>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5"/>
    <w:link w:val="57"/>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6">
    <w:name w:val="heading 3"/>
    <w:basedOn w:val="1"/>
    <w:next w:val="5"/>
    <w:link w:val="60"/>
    <w:qFormat/>
    <w:uiPriority w:val="0"/>
    <w:pPr>
      <w:keepNext/>
      <w:keepLines/>
      <w:autoSpaceDE w:val="0"/>
      <w:autoSpaceDN w:val="0"/>
      <w:adjustRightInd w:val="0"/>
      <w:spacing w:before="360" w:after="120"/>
      <w:jc w:val="left"/>
      <w:outlineLvl w:val="2"/>
    </w:pPr>
    <w:rPr>
      <w:rFonts w:ascii="宋体"/>
      <w:b/>
      <w:kern w:val="0"/>
      <w:sz w:val="24"/>
      <w:szCs w:val="20"/>
      <w:u w:val="single"/>
    </w:rPr>
  </w:style>
  <w:style w:type="paragraph" w:styleId="7">
    <w:name w:val="heading 4"/>
    <w:basedOn w:val="1"/>
    <w:next w:val="1"/>
    <w:link w:val="61"/>
    <w:qFormat/>
    <w:uiPriority w:val="0"/>
    <w:pPr>
      <w:keepNext/>
      <w:keepLines/>
      <w:adjustRightInd w:val="0"/>
      <w:spacing w:before="280" w:after="290" w:line="376" w:lineRule="atLeast"/>
      <w:textAlignment w:val="baseline"/>
      <w:outlineLvl w:val="3"/>
    </w:pPr>
    <w:rPr>
      <w:rFonts w:ascii="Arial" w:hAnsi="Arial" w:eastAsia="黑体"/>
      <w:b/>
      <w:kern w:val="0"/>
      <w:sz w:val="28"/>
      <w:szCs w:val="20"/>
    </w:rPr>
  </w:style>
  <w:style w:type="paragraph" w:styleId="8">
    <w:name w:val="heading 5"/>
    <w:basedOn w:val="1"/>
    <w:next w:val="1"/>
    <w:link w:val="62"/>
    <w:qFormat/>
    <w:uiPriority w:val="0"/>
    <w:pPr>
      <w:keepNext/>
      <w:keepLines/>
      <w:adjustRightInd w:val="0"/>
      <w:spacing w:before="280" w:after="290" w:line="376" w:lineRule="atLeast"/>
      <w:textAlignment w:val="baseline"/>
      <w:outlineLvl w:val="4"/>
    </w:pPr>
    <w:rPr>
      <w:b/>
      <w:kern w:val="0"/>
      <w:sz w:val="28"/>
      <w:szCs w:val="20"/>
    </w:rPr>
  </w:style>
  <w:style w:type="paragraph" w:styleId="9">
    <w:name w:val="heading 6"/>
    <w:basedOn w:val="1"/>
    <w:next w:val="1"/>
    <w:link w:val="63"/>
    <w:qFormat/>
    <w:uiPriority w:val="0"/>
    <w:pPr>
      <w:keepNext/>
      <w:keepLines/>
      <w:adjustRightInd w:val="0"/>
      <w:spacing w:before="240" w:after="64" w:line="320" w:lineRule="atLeast"/>
      <w:textAlignment w:val="baseline"/>
      <w:outlineLvl w:val="5"/>
    </w:pPr>
    <w:rPr>
      <w:rFonts w:ascii="Arial" w:hAnsi="Arial" w:eastAsia="黑体"/>
      <w:b/>
      <w:kern w:val="0"/>
      <w:sz w:val="24"/>
      <w:szCs w:val="20"/>
    </w:rPr>
  </w:style>
  <w:style w:type="paragraph" w:styleId="10">
    <w:name w:val="heading 7"/>
    <w:basedOn w:val="1"/>
    <w:next w:val="1"/>
    <w:link w:val="64"/>
    <w:qFormat/>
    <w:uiPriority w:val="0"/>
    <w:pPr>
      <w:keepNext/>
      <w:keepLines/>
      <w:adjustRightInd w:val="0"/>
      <w:spacing w:before="240" w:after="64" w:line="320" w:lineRule="atLeast"/>
      <w:textAlignment w:val="baseline"/>
      <w:outlineLvl w:val="6"/>
    </w:pPr>
    <w:rPr>
      <w:b/>
      <w:kern w:val="0"/>
      <w:sz w:val="24"/>
      <w:szCs w:val="20"/>
    </w:rPr>
  </w:style>
  <w:style w:type="paragraph" w:styleId="11">
    <w:name w:val="heading 8"/>
    <w:basedOn w:val="1"/>
    <w:next w:val="1"/>
    <w:link w:val="65"/>
    <w:qFormat/>
    <w:uiPriority w:val="0"/>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2">
    <w:name w:val="heading 9"/>
    <w:basedOn w:val="1"/>
    <w:next w:val="1"/>
    <w:link w:val="66"/>
    <w:qFormat/>
    <w:uiPriority w:val="0"/>
    <w:pPr>
      <w:keepNext/>
      <w:keepLines/>
      <w:adjustRightInd w:val="0"/>
      <w:spacing w:before="240" w:after="64" w:line="320" w:lineRule="atLeast"/>
      <w:textAlignment w:val="baseline"/>
      <w:outlineLvl w:val="8"/>
    </w:pPr>
    <w:rPr>
      <w:rFonts w:ascii="Arial" w:hAnsi="Arial" w:eastAsia="黑体"/>
      <w:kern w:val="0"/>
      <w:szCs w:val="20"/>
    </w:rPr>
  </w:style>
  <w:style w:type="character" w:default="1" w:styleId="48">
    <w:name w:val="Default Paragraph Font"/>
    <w:semiHidden/>
    <w:unhideWhenUsed/>
    <w:qFormat/>
    <w:uiPriority w:val="1"/>
  </w:style>
  <w:style w:type="table" w:default="1" w:styleId="4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CellMar>
        <w:top w:w="0" w:type="dxa"/>
        <w:left w:w="108" w:type="dxa"/>
        <w:bottom w:w="0" w:type="dxa"/>
        <w:right w:w="108" w:type="dxa"/>
      </w:tblCellMar>
    </w:tblPr>
  </w:style>
  <w:style w:type="paragraph" w:styleId="2">
    <w:name w:val="Body Text"/>
    <w:basedOn w:val="1"/>
    <w:next w:val="1"/>
    <w:link w:val="87"/>
    <w:qFormat/>
    <w:uiPriority w:val="0"/>
    <w:pPr>
      <w:tabs>
        <w:tab w:val="left" w:pos="567"/>
      </w:tabs>
      <w:spacing w:before="120" w:line="22" w:lineRule="atLeast"/>
    </w:pPr>
    <w:rPr>
      <w:rFonts w:ascii="宋体" w:hAnsi="宋体"/>
      <w:sz w:val="24"/>
    </w:rPr>
  </w:style>
  <w:style w:type="paragraph" w:styleId="5">
    <w:name w:val="Normal Indent"/>
    <w:basedOn w:val="1"/>
    <w:link w:val="59"/>
    <w:qFormat/>
    <w:uiPriority w:val="0"/>
    <w:pPr>
      <w:autoSpaceDE w:val="0"/>
      <w:autoSpaceDN w:val="0"/>
      <w:adjustRightInd w:val="0"/>
      <w:ind w:firstLine="420"/>
      <w:jc w:val="left"/>
    </w:pPr>
    <w:rPr>
      <w:rFonts w:ascii="宋体"/>
      <w:sz w:val="24"/>
    </w:rPr>
  </w:style>
  <w:style w:type="paragraph" w:styleId="13">
    <w:name w:val="toc 7"/>
    <w:basedOn w:val="1"/>
    <w:next w:val="1"/>
    <w:qFormat/>
    <w:uiPriority w:val="0"/>
    <w:pPr>
      <w:ind w:left="2520" w:leftChars="1200"/>
    </w:pPr>
  </w:style>
  <w:style w:type="paragraph" w:styleId="14">
    <w:name w:val="caption"/>
    <w:basedOn w:val="1"/>
    <w:next w:val="1"/>
    <w:qFormat/>
    <w:uiPriority w:val="0"/>
    <w:pPr>
      <w:spacing w:line="480" w:lineRule="auto"/>
    </w:pPr>
    <w:rPr>
      <w:rFonts w:ascii="华文中宋" w:hAnsi="华文中宋" w:eastAsia="华文中宋"/>
      <w:sz w:val="36"/>
      <w:szCs w:val="20"/>
    </w:rPr>
  </w:style>
  <w:style w:type="paragraph" w:styleId="15">
    <w:name w:val="Document Map"/>
    <w:basedOn w:val="1"/>
    <w:link w:val="74"/>
    <w:qFormat/>
    <w:uiPriority w:val="0"/>
    <w:pPr>
      <w:shd w:val="clear" w:color="auto" w:fill="000080"/>
    </w:pPr>
  </w:style>
  <w:style w:type="paragraph" w:styleId="16">
    <w:name w:val="annotation text"/>
    <w:basedOn w:val="1"/>
    <w:link w:val="85"/>
    <w:qFormat/>
    <w:uiPriority w:val="99"/>
    <w:pPr>
      <w:jc w:val="left"/>
    </w:pPr>
  </w:style>
  <w:style w:type="paragraph" w:styleId="17">
    <w:name w:val="Body Text 3"/>
    <w:basedOn w:val="1"/>
    <w:link w:val="67"/>
    <w:qFormat/>
    <w:uiPriority w:val="0"/>
    <w:pPr>
      <w:spacing w:after="120"/>
    </w:pPr>
    <w:rPr>
      <w:sz w:val="16"/>
      <w:szCs w:val="16"/>
    </w:rPr>
  </w:style>
  <w:style w:type="paragraph" w:styleId="18">
    <w:name w:val="Body Text Indent"/>
    <w:basedOn w:val="1"/>
    <w:link w:val="89"/>
    <w:qFormat/>
    <w:uiPriority w:val="0"/>
    <w:pPr>
      <w:spacing w:line="360" w:lineRule="auto"/>
      <w:ind w:firstLine="570"/>
    </w:pPr>
    <w:rPr>
      <w:sz w:val="24"/>
    </w:rPr>
  </w:style>
  <w:style w:type="paragraph" w:styleId="19">
    <w:name w:val="List 2"/>
    <w:basedOn w:val="1"/>
    <w:qFormat/>
    <w:uiPriority w:val="0"/>
    <w:pPr>
      <w:keepNext w:val="0"/>
      <w:keepLines w:val="0"/>
      <w:widowControl w:val="0"/>
      <w:suppressLineNumbers w:val="0"/>
      <w:spacing w:before="0" w:beforeAutospacing="0" w:after="0" w:afterAutospacing="0"/>
      <w:ind w:left="100" w:leftChars="200" w:right="0" w:hanging="200" w:hangingChars="200"/>
      <w:jc w:val="both"/>
    </w:pPr>
    <w:rPr>
      <w:rFonts w:hint="default" w:ascii="Times New Roman" w:hAnsi="Times New Roman" w:eastAsia="宋体" w:cs="Times New Roman"/>
      <w:kern w:val="2"/>
      <w:sz w:val="21"/>
      <w:szCs w:val="20"/>
      <w:lang w:val="en-US" w:eastAsia="zh-CN" w:bidi="ar"/>
    </w:rPr>
  </w:style>
  <w:style w:type="paragraph" w:styleId="20">
    <w:name w:val="Block Text"/>
    <w:basedOn w:val="1"/>
    <w:qFormat/>
    <w:uiPriority w:val="0"/>
    <w:pPr>
      <w:widowControl/>
      <w:ind w:left="480" w:right="-341" w:firstLine="513"/>
    </w:pPr>
    <w:rPr>
      <w:kern w:val="0"/>
      <w:sz w:val="24"/>
      <w:szCs w:val="20"/>
    </w:rPr>
  </w:style>
  <w:style w:type="paragraph" w:styleId="21">
    <w:name w:val="toc 5"/>
    <w:basedOn w:val="1"/>
    <w:next w:val="1"/>
    <w:qFormat/>
    <w:uiPriority w:val="0"/>
    <w:pPr>
      <w:ind w:left="1680" w:leftChars="800"/>
    </w:pPr>
  </w:style>
  <w:style w:type="paragraph" w:styleId="22">
    <w:name w:val="toc 3"/>
    <w:basedOn w:val="1"/>
    <w:next w:val="1"/>
    <w:qFormat/>
    <w:uiPriority w:val="39"/>
    <w:pPr>
      <w:ind w:left="840" w:leftChars="400"/>
    </w:pPr>
  </w:style>
  <w:style w:type="paragraph" w:styleId="23">
    <w:name w:val="Plain Text"/>
    <w:basedOn w:val="1"/>
    <w:link w:val="90"/>
    <w:qFormat/>
    <w:uiPriority w:val="0"/>
    <w:rPr>
      <w:rFonts w:hint="eastAsia" w:ascii="宋体" w:hAnsi="Courier New"/>
      <w:szCs w:val="20"/>
    </w:rPr>
  </w:style>
  <w:style w:type="paragraph" w:styleId="24">
    <w:name w:val="toc 8"/>
    <w:basedOn w:val="1"/>
    <w:next w:val="1"/>
    <w:qFormat/>
    <w:uiPriority w:val="0"/>
    <w:pPr>
      <w:ind w:left="2940" w:leftChars="1400"/>
    </w:pPr>
  </w:style>
  <w:style w:type="paragraph" w:styleId="25">
    <w:name w:val="Date"/>
    <w:basedOn w:val="1"/>
    <w:next w:val="1"/>
    <w:link w:val="93"/>
    <w:qFormat/>
    <w:uiPriority w:val="0"/>
    <w:pPr>
      <w:ind w:left="100" w:leftChars="2500"/>
    </w:pPr>
    <w:rPr>
      <w:rFonts w:ascii="仿宋_GB2312" w:hAnsi="宋体" w:eastAsia="仿宋_GB2312"/>
      <w:color w:val="000000"/>
      <w:sz w:val="24"/>
    </w:rPr>
  </w:style>
  <w:style w:type="paragraph" w:styleId="26">
    <w:name w:val="Body Text Indent 2"/>
    <w:basedOn w:val="1"/>
    <w:link w:val="58"/>
    <w:qFormat/>
    <w:uiPriority w:val="99"/>
    <w:pPr>
      <w:ind w:firstLine="480" w:firstLineChars="200"/>
    </w:pPr>
    <w:rPr>
      <w:rFonts w:ascii="仿宋_GB2312" w:eastAsia="仿宋_GB2312"/>
      <w:sz w:val="24"/>
    </w:rPr>
  </w:style>
  <w:style w:type="paragraph" w:styleId="27">
    <w:name w:val="Balloon Text"/>
    <w:basedOn w:val="1"/>
    <w:link w:val="83"/>
    <w:qFormat/>
    <w:uiPriority w:val="99"/>
    <w:rPr>
      <w:sz w:val="18"/>
      <w:szCs w:val="18"/>
    </w:rPr>
  </w:style>
  <w:style w:type="paragraph" w:styleId="28">
    <w:name w:val="footer"/>
    <w:basedOn w:val="1"/>
    <w:link w:val="94"/>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9">
    <w:name w:val="header"/>
    <w:basedOn w:val="1"/>
    <w:link w:val="99"/>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1050"/>
        <w:tab w:val="right" w:leader="dot" w:pos="8937"/>
      </w:tabs>
      <w:spacing w:line="300" w:lineRule="auto"/>
    </w:pPr>
    <w:rPr>
      <w:rFonts w:ascii="宋体" w:hAnsi="宋体"/>
      <w:b/>
      <w:sz w:val="24"/>
    </w:rPr>
  </w:style>
  <w:style w:type="paragraph" w:styleId="31">
    <w:name w:val="toc 4"/>
    <w:basedOn w:val="1"/>
    <w:next w:val="1"/>
    <w:qFormat/>
    <w:uiPriority w:val="0"/>
    <w:pPr>
      <w:ind w:left="1260" w:leftChars="600"/>
    </w:pPr>
  </w:style>
  <w:style w:type="paragraph" w:styleId="32">
    <w:name w:val="footnote text"/>
    <w:basedOn w:val="1"/>
    <w:link w:val="121"/>
    <w:unhideWhenUsed/>
    <w:qFormat/>
    <w:uiPriority w:val="0"/>
    <w:pPr>
      <w:widowControl/>
      <w:jc w:val="left"/>
    </w:pPr>
    <w:rPr>
      <w:kern w:val="0"/>
      <w:sz w:val="20"/>
      <w:szCs w:val="20"/>
      <w:lang w:val="de-DE"/>
    </w:rPr>
  </w:style>
  <w:style w:type="paragraph" w:styleId="33">
    <w:name w:val="toc 6"/>
    <w:basedOn w:val="1"/>
    <w:next w:val="1"/>
    <w:qFormat/>
    <w:uiPriority w:val="0"/>
    <w:pPr>
      <w:ind w:left="2100" w:leftChars="1000"/>
    </w:pPr>
  </w:style>
  <w:style w:type="paragraph" w:styleId="34">
    <w:name w:val="Body Text Indent 3"/>
    <w:basedOn w:val="1"/>
    <w:link w:val="100"/>
    <w:qFormat/>
    <w:uiPriority w:val="0"/>
    <w:pPr>
      <w:autoSpaceDE w:val="0"/>
      <w:autoSpaceDN w:val="0"/>
      <w:adjustRightInd w:val="0"/>
      <w:spacing w:before="120" w:line="22" w:lineRule="atLeast"/>
      <w:ind w:left="720" w:firstLine="480"/>
      <w:jc w:val="left"/>
    </w:pPr>
    <w:rPr>
      <w:rFonts w:ascii="宋体"/>
      <w:kern w:val="0"/>
      <w:sz w:val="24"/>
      <w:szCs w:val="20"/>
    </w:rPr>
  </w:style>
  <w:style w:type="paragraph" w:styleId="35">
    <w:name w:val="toc 2"/>
    <w:basedOn w:val="1"/>
    <w:next w:val="1"/>
    <w:qFormat/>
    <w:uiPriority w:val="39"/>
    <w:pPr>
      <w:tabs>
        <w:tab w:val="right" w:leader="dot" w:pos="8937"/>
      </w:tabs>
      <w:spacing w:line="312" w:lineRule="auto"/>
      <w:ind w:left="420" w:leftChars="200"/>
    </w:pPr>
  </w:style>
  <w:style w:type="paragraph" w:styleId="36">
    <w:name w:val="toc 9"/>
    <w:basedOn w:val="1"/>
    <w:next w:val="1"/>
    <w:qFormat/>
    <w:uiPriority w:val="0"/>
    <w:pPr>
      <w:ind w:left="3360" w:leftChars="1600"/>
    </w:pPr>
  </w:style>
  <w:style w:type="paragraph" w:styleId="37">
    <w:name w:val="Body Text 2"/>
    <w:basedOn w:val="1"/>
    <w:link w:val="91"/>
    <w:qFormat/>
    <w:uiPriority w:val="0"/>
    <w:pPr>
      <w:adjustRightInd w:val="0"/>
      <w:spacing w:after="120" w:line="480" w:lineRule="auto"/>
      <w:textAlignment w:val="baseline"/>
    </w:pPr>
    <w:rPr>
      <w:kern w:val="0"/>
      <w:szCs w:val="20"/>
    </w:rPr>
  </w:style>
  <w:style w:type="paragraph" w:styleId="38">
    <w:name w:val="HTML Preformatted"/>
    <w:basedOn w:val="1"/>
    <w:link w:val="10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39">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rPr>
      <w:szCs w:val="20"/>
    </w:rPr>
  </w:style>
  <w:style w:type="paragraph" w:styleId="41">
    <w:name w:val="Title"/>
    <w:basedOn w:val="1"/>
    <w:link w:val="102"/>
    <w:qFormat/>
    <w:uiPriority w:val="10"/>
    <w:pPr>
      <w:jc w:val="center"/>
      <w:outlineLvl w:val="0"/>
    </w:pPr>
    <w:rPr>
      <w:b/>
      <w:sz w:val="32"/>
      <w:szCs w:val="20"/>
    </w:rPr>
  </w:style>
  <w:style w:type="paragraph" w:styleId="42">
    <w:name w:val="annotation subject"/>
    <w:basedOn w:val="16"/>
    <w:next w:val="16"/>
    <w:link w:val="92"/>
    <w:qFormat/>
    <w:uiPriority w:val="0"/>
    <w:rPr>
      <w:b/>
      <w:bCs/>
    </w:rPr>
  </w:style>
  <w:style w:type="paragraph" w:styleId="43">
    <w:name w:val="Body Text First Indent"/>
    <w:basedOn w:val="2"/>
    <w:link w:val="320"/>
    <w:qFormat/>
    <w:uiPriority w:val="0"/>
    <w:pPr>
      <w:ind w:firstLine="420" w:firstLineChars="100"/>
    </w:pPr>
  </w:style>
  <w:style w:type="paragraph" w:styleId="44">
    <w:name w:val="Body Text First Indent 2"/>
    <w:basedOn w:val="18"/>
    <w:link w:val="109"/>
    <w:qFormat/>
    <w:uiPriority w:val="0"/>
    <w:pPr>
      <w:spacing w:after="120" w:line="480" w:lineRule="exact"/>
      <w:ind w:left="420" w:leftChars="200" w:firstLine="420" w:firstLineChars="200"/>
    </w:pPr>
  </w:style>
  <w:style w:type="table" w:styleId="46">
    <w:name w:val="Table Grid"/>
    <w:basedOn w:val="4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47">
    <w:name w:val="Medium Grid 1 Accent 2"/>
    <w:basedOn w:val="45"/>
    <w:qFormat/>
    <w:uiPriority w:val="0"/>
    <w:rPr>
      <w:kern w:val="2"/>
      <w:sz w:val="21"/>
      <w:szCs w:val="24"/>
    </w:rPr>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color="CF7B79"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49">
    <w:name w:val="Strong"/>
    <w:qFormat/>
    <w:uiPriority w:val="0"/>
    <w:rPr>
      <w:b/>
      <w:bCs/>
    </w:rPr>
  </w:style>
  <w:style w:type="character" w:styleId="50">
    <w:name w:val="page number"/>
    <w:qFormat/>
    <w:uiPriority w:val="0"/>
  </w:style>
  <w:style w:type="character" w:styleId="51">
    <w:name w:val="FollowedHyperlink"/>
    <w:qFormat/>
    <w:uiPriority w:val="99"/>
    <w:rPr>
      <w:color w:val="800080"/>
      <w:u w:val="single"/>
    </w:rPr>
  </w:style>
  <w:style w:type="character" w:styleId="52">
    <w:name w:val="Emphasis"/>
    <w:qFormat/>
    <w:uiPriority w:val="0"/>
    <w:rPr>
      <w:color w:val="CC0033"/>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character" w:styleId="55">
    <w:name w:val="HTML Cite"/>
    <w:qFormat/>
    <w:uiPriority w:val="0"/>
    <w:rPr>
      <w:i/>
      <w:iCs/>
    </w:rPr>
  </w:style>
  <w:style w:type="character" w:customStyle="1" w:styleId="56">
    <w:name w:val="标题 1 Char"/>
    <w:link w:val="3"/>
    <w:qFormat/>
    <w:uiPriority w:val="0"/>
    <w:rPr>
      <w:rFonts w:ascii="宋体"/>
      <w:b/>
      <w:kern w:val="44"/>
      <w:sz w:val="32"/>
    </w:rPr>
  </w:style>
  <w:style w:type="character" w:customStyle="1" w:styleId="57">
    <w:name w:val="标题 2 Char1"/>
    <w:link w:val="4"/>
    <w:qFormat/>
    <w:uiPriority w:val="0"/>
    <w:rPr>
      <w:rFonts w:ascii="Arial" w:hAnsi="Arial" w:eastAsia="黑体"/>
      <w:b/>
      <w:sz w:val="30"/>
      <w:lang w:val="en-US" w:eastAsia="zh-CN" w:bidi="ar-SA"/>
    </w:rPr>
  </w:style>
  <w:style w:type="character" w:customStyle="1" w:styleId="58">
    <w:name w:val="正文文本缩进 2 Char"/>
    <w:link w:val="26"/>
    <w:qFormat/>
    <w:uiPriority w:val="99"/>
    <w:rPr>
      <w:rFonts w:ascii="仿宋_GB2312" w:eastAsia="仿宋_GB2312"/>
      <w:kern w:val="2"/>
      <w:sz w:val="24"/>
      <w:szCs w:val="24"/>
    </w:rPr>
  </w:style>
  <w:style w:type="character" w:customStyle="1" w:styleId="59">
    <w:name w:val="正文缩进 Char1"/>
    <w:link w:val="5"/>
    <w:qFormat/>
    <w:uiPriority w:val="0"/>
    <w:rPr>
      <w:rFonts w:ascii="宋体" w:eastAsia="宋体"/>
      <w:kern w:val="2"/>
      <w:sz w:val="24"/>
      <w:szCs w:val="24"/>
      <w:lang w:val="en-US" w:eastAsia="zh-CN" w:bidi="ar-SA"/>
    </w:rPr>
  </w:style>
  <w:style w:type="character" w:customStyle="1" w:styleId="60">
    <w:name w:val="标题 3 Char1"/>
    <w:link w:val="6"/>
    <w:qFormat/>
    <w:uiPriority w:val="0"/>
    <w:rPr>
      <w:rFonts w:ascii="宋体" w:eastAsia="宋体"/>
      <w:b/>
      <w:sz w:val="24"/>
      <w:u w:val="single"/>
      <w:lang w:val="en-US" w:eastAsia="zh-CN" w:bidi="ar-SA"/>
    </w:rPr>
  </w:style>
  <w:style w:type="character" w:customStyle="1" w:styleId="61">
    <w:name w:val="标题 4 Char"/>
    <w:link w:val="7"/>
    <w:qFormat/>
    <w:uiPriority w:val="0"/>
    <w:rPr>
      <w:rFonts w:ascii="Arial" w:hAnsi="Arial" w:eastAsia="黑体"/>
      <w:b/>
      <w:sz w:val="28"/>
    </w:rPr>
  </w:style>
  <w:style w:type="character" w:customStyle="1" w:styleId="62">
    <w:name w:val="标题 5 Char"/>
    <w:link w:val="8"/>
    <w:qFormat/>
    <w:uiPriority w:val="0"/>
    <w:rPr>
      <w:b/>
      <w:sz w:val="28"/>
    </w:rPr>
  </w:style>
  <w:style w:type="character" w:customStyle="1" w:styleId="63">
    <w:name w:val="标题 6 Char"/>
    <w:link w:val="9"/>
    <w:qFormat/>
    <w:uiPriority w:val="0"/>
    <w:rPr>
      <w:rFonts w:ascii="Arial" w:hAnsi="Arial" w:eastAsia="黑体"/>
      <w:b/>
      <w:sz w:val="24"/>
    </w:rPr>
  </w:style>
  <w:style w:type="character" w:customStyle="1" w:styleId="64">
    <w:name w:val="标题 7 Char"/>
    <w:link w:val="10"/>
    <w:qFormat/>
    <w:uiPriority w:val="0"/>
    <w:rPr>
      <w:b/>
      <w:sz w:val="24"/>
    </w:rPr>
  </w:style>
  <w:style w:type="character" w:customStyle="1" w:styleId="65">
    <w:name w:val="标题 8 Char"/>
    <w:link w:val="11"/>
    <w:qFormat/>
    <w:uiPriority w:val="0"/>
    <w:rPr>
      <w:rFonts w:ascii="Arial" w:hAnsi="Arial" w:eastAsia="黑体"/>
      <w:sz w:val="24"/>
    </w:rPr>
  </w:style>
  <w:style w:type="character" w:customStyle="1" w:styleId="66">
    <w:name w:val="标题 9 Char"/>
    <w:link w:val="12"/>
    <w:qFormat/>
    <w:uiPriority w:val="0"/>
    <w:rPr>
      <w:rFonts w:ascii="Arial" w:hAnsi="Arial" w:eastAsia="黑体"/>
      <w:sz w:val="21"/>
    </w:rPr>
  </w:style>
  <w:style w:type="character" w:customStyle="1" w:styleId="67">
    <w:name w:val="正文文本 3 Char"/>
    <w:link w:val="17"/>
    <w:qFormat/>
    <w:uiPriority w:val="0"/>
    <w:rPr>
      <w:kern w:val="2"/>
      <w:sz w:val="16"/>
      <w:szCs w:val="16"/>
    </w:rPr>
  </w:style>
  <w:style w:type="character" w:customStyle="1" w:styleId="68">
    <w:name w:val="chanpin1"/>
    <w:qFormat/>
    <w:uiPriority w:val="0"/>
    <w:rPr>
      <w:rFonts w:hint="default" w:ascii="ˎ̥" w:hAnsi="ˎ̥"/>
      <w:color w:val="000000"/>
      <w:sz w:val="20"/>
      <w:szCs w:val="20"/>
      <w:u w:val="none"/>
    </w:rPr>
  </w:style>
  <w:style w:type="character" w:customStyle="1" w:styleId="69">
    <w:name w:val="普通文字1 Char1"/>
    <w:qFormat/>
    <w:uiPriority w:val="0"/>
    <w:rPr>
      <w:rFonts w:ascii="宋体" w:hAnsi="Courier New" w:eastAsia="宋体"/>
      <w:kern w:val="2"/>
      <w:sz w:val="21"/>
      <w:lang w:val="en-US" w:eastAsia="zh-CN" w:bidi="ar-SA"/>
    </w:rPr>
  </w:style>
  <w:style w:type="character" w:customStyle="1" w:styleId="70">
    <w:name w:val="Char Char11"/>
    <w:qFormat/>
    <w:uiPriority w:val="0"/>
    <w:rPr>
      <w:rFonts w:ascii="宋体" w:eastAsia="宋体"/>
      <w:b/>
      <w:sz w:val="24"/>
      <w:u w:val="single"/>
      <w:lang w:val="en-US" w:eastAsia="zh-CN" w:bidi="ar-SA"/>
    </w:rPr>
  </w:style>
  <w:style w:type="character" w:customStyle="1" w:styleId="71">
    <w:name w:val="black1"/>
    <w:qFormat/>
    <w:uiPriority w:val="0"/>
    <w:rPr>
      <w:color w:val="000000"/>
    </w:rPr>
  </w:style>
  <w:style w:type="character" w:customStyle="1" w:styleId="72">
    <w:name w:val="标题 Char"/>
    <w:qFormat/>
    <w:uiPriority w:val="10"/>
    <w:rPr>
      <w:b/>
      <w:kern w:val="2"/>
      <w:sz w:val="32"/>
    </w:rPr>
  </w:style>
  <w:style w:type="character" w:customStyle="1" w:styleId="73">
    <w:name w:val="标题 3 Char"/>
    <w:qFormat/>
    <w:uiPriority w:val="0"/>
    <w:rPr>
      <w:rFonts w:ascii="宋体" w:eastAsia="宋体"/>
      <w:b/>
      <w:sz w:val="24"/>
      <w:u w:val="single"/>
      <w:lang w:val="en-US" w:eastAsia="zh-CN" w:bidi="ar-SA"/>
    </w:rPr>
  </w:style>
  <w:style w:type="character" w:customStyle="1" w:styleId="74">
    <w:name w:val="文档结构图 Char"/>
    <w:link w:val="15"/>
    <w:qFormat/>
    <w:uiPriority w:val="0"/>
    <w:rPr>
      <w:kern w:val="2"/>
      <w:sz w:val="21"/>
      <w:szCs w:val="24"/>
      <w:shd w:val="clear" w:color="auto" w:fill="000080"/>
    </w:rPr>
  </w:style>
  <w:style w:type="character" w:customStyle="1" w:styleId="75">
    <w:name w:val="纯文本 字符1"/>
    <w:qFormat/>
    <w:uiPriority w:val="0"/>
    <w:rPr>
      <w:rFonts w:ascii="宋体" w:hAnsi="Courier New"/>
    </w:rPr>
  </w:style>
  <w:style w:type="character" w:customStyle="1" w:styleId="76">
    <w:name w:val="chanpin拷贝"/>
    <w:qFormat/>
    <w:uiPriority w:val="0"/>
  </w:style>
  <w:style w:type="character" w:customStyle="1" w:styleId="77">
    <w:name w:val="标题 3 Char Char"/>
    <w:qFormat/>
    <w:uiPriority w:val="0"/>
    <w:rPr>
      <w:rFonts w:eastAsia="宋体"/>
      <w:b/>
      <w:bCs/>
      <w:kern w:val="2"/>
      <w:sz w:val="32"/>
      <w:szCs w:val="32"/>
      <w:lang w:val="en-US" w:eastAsia="zh-CN" w:bidi="ar-SA"/>
    </w:rPr>
  </w:style>
  <w:style w:type="character" w:customStyle="1" w:styleId="78">
    <w:name w:val="列出段落 Char1"/>
    <w:link w:val="79"/>
    <w:qFormat/>
    <w:uiPriority w:val="34"/>
    <w:rPr>
      <w:rFonts w:ascii="Calibri" w:hAnsi="Calibri" w:eastAsia="宋体"/>
      <w:kern w:val="2"/>
      <w:sz w:val="21"/>
      <w:szCs w:val="22"/>
      <w:lang w:val="en-US" w:eastAsia="zh-CN" w:bidi="ar-SA"/>
    </w:rPr>
  </w:style>
  <w:style w:type="paragraph" w:styleId="79">
    <w:name w:val="List Paragraph"/>
    <w:basedOn w:val="1"/>
    <w:link w:val="78"/>
    <w:qFormat/>
    <w:uiPriority w:val="34"/>
    <w:pPr>
      <w:ind w:firstLine="420" w:firstLineChars="200"/>
    </w:pPr>
    <w:rPr>
      <w:rFonts w:ascii="Calibri" w:hAnsi="Calibri"/>
      <w:szCs w:val="22"/>
    </w:rPr>
  </w:style>
  <w:style w:type="character" w:customStyle="1" w:styleId="80">
    <w:name w:val="页脚 Char"/>
    <w:qFormat/>
    <w:uiPriority w:val="99"/>
    <w:rPr>
      <w:rFonts w:ascii="宋体" w:eastAsia="宋体"/>
      <w:sz w:val="18"/>
      <w:lang w:val="en-US" w:eastAsia="zh-CN" w:bidi="ar-SA"/>
    </w:rPr>
  </w:style>
  <w:style w:type="character" w:customStyle="1" w:styleId="81">
    <w:name w:val="段1 Char"/>
    <w:qFormat/>
    <w:uiPriority w:val="0"/>
    <w:rPr>
      <w:rFonts w:ascii="宋体" w:eastAsia="宋体"/>
      <w:sz w:val="24"/>
      <w:lang w:val="en-US" w:eastAsia="zh-CN" w:bidi="ar-SA"/>
    </w:rPr>
  </w:style>
  <w:style w:type="character" w:customStyle="1" w:styleId="82">
    <w:name w:val="Anrede1IhrZeichen"/>
    <w:qFormat/>
    <w:uiPriority w:val="0"/>
    <w:rPr>
      <w:rFonts w:hint="default" w:ascii="Arial" w:hAnsi="Arial" w:cs="Arial"/>
      <w:sz w:val="20"/>
    </w:rPr>
  </w:style>
  <w:style w:type="character" w:customStyle="1" w:styleId="83">
    <w:name w:val="批注框文本 Char"/>
    <w:link w:val="27"/>
    <w:qFormat/>
    <w:uiPriority w:val="99"/>
    <w:rPr>
      <w:kern w:val="2"/>
      <w:sz w:val="18"/>
      <w:szCs w:val="18"/>
    </w:rPr>
  </w:style>
  <w:style w:type="character" w:customStyle="1" w:styleId="84">
    <w:name w:val="c21"/>
    <w:qFormat/>
    <w:uiPriority w:val="0"/>
    <w:rPr>
      <w:rFonts w:hint="default" w:ascii="ˎ̥" w:hAnsi="ˎ̥"/>
      <w:color w:val="000000"/>
      <w:sz w:val="20"/>
      <w:szCs w:val="20"/>
      <w:u w:val="none"/>
    </w:rPr>
  </w:style>
  <w:style w:type="character" w:customStyle="1" w:styleId="85">
    <w:name w:val="批注文字 Char1"/>
    <w:link w:val="16"/>
    <w:qFormat/>
    <w:uiPriority w:val="99"/>
    <w:rPr>
      <w:kern w:val="2"/>
      <w:sz w:val="21"/>
      <w:szCs w:val="24"/>
    </w:rPr>
  </w:style>
  <w:style w:type="character" w:customStyle="1" w:styleId="86">
    <w:name w:val="页眉 Char"/>
    <w:qFormat/>
    <w:uiPriority w:val="99"/>
    <w:rPr>
      <w:rFonts w:eastAsia="宋体"/>
      <w:kern w:val="2"/>
      <w:sz w:val="18"/>
      <w:szCs w:val="18"/>
      <w:lang w:val="en-US" w:eastAsia="zh-CN" w:bidi="ar-SA"/>
    </w:rPr>
  </w:style>
  <w:style w:type="character" w:customStyle="1" w:styleId="87">
    <w:name w:val="正文文本 Char"/>
    <w:link w:val="2"/>
    <w:qFormat/>
    <w:uiPriority w:val="0"/>
    <w:rPr>
      <w:rFonts w:ascii="宋体" w:hAnsi="宋体"/>
      <w:kern w:val="2"/>
      <w:sz w:val="24"/>
      <w:szCs w:val="24"/>
    </w:rPr>
  </w:style>
  <w:style w:type="character" w:customStyle="1" w:styleId="88">
    <w:name w:val="批注文字 字符"/>
    <w:qFormat/>
    <w:uiPriority w:val="99"/>
    <w:rPr>
      <w:rFonts w:ascii="Times New Roman" w:hAnsi="Times New Roman" w:eastAsia="宋体" w:cs="Times New Roman"/>
      <w:sz w:val="24"/>
      <w:lang w:val="en-US" w:eastAsia="zh-CN" w:bidi="ar-SA"/>
    </w:rPr>
  </w:style>
  <w:style w:type="character" w:customStyle="1" w:styleId="89">
    <w:name w:val="正文文本缩进 Char2"/>
    <w:link w:val="18"/>
    <w:qFormat/>
    <w:uiPriority w:val="0"/>
    <w:rPr>
      <w:rFonts w:eastAsia="宋体"/>
      <w:kern w:val="2"/>
      <w:sz w:val="24"/>
      <w:szCs w:val="24"/>
      <w:lang w:val="en-US" w:eastAsia="zh-CN" w:bidi="ar-SA"/>
    </w:rPr>
  </w:style>
  <w:style w:type="character" w:customStyle="1" w:styleId="90">
    <w:name w:val="纯文本 Char"/>
    <w:link w:val="23"/>
    <w:qFormat/>
    <w:uiPriority w:val="0"/>
    <w:rPr>
      <w:rFonts w:hint="eastAsia" w:ascii="宋体" w:hAnsi="Courier New" w:eastAsia="宋体" w:cs="宋体"/>
      <w:kern w:val="2"/>
      <w:sz w:val="21"/>
    </w:rPr>
  </w:style>
  <w:style w:type="character" w:customStyle="1" w:styleId="91">
    <w:name w:val="正文文本 2 Char"/>
    <w:link w:val="37"/>
    <w:qFormat/>
    <w:uiPriority w:val="0"/>
    <w:rPr>
      <w:sz w:val="21"/>
    </w:rPr>
  </w:style>
  <w:style w:type="character" w:customStyle="1" w:styleId="92">
    <w:name w:val="批注主题 Char"/>
    <w:link w:val="42"/>
    <w:qFormat/>
    <w:uiPriority w:val="0"/>
    <w:rPr>
      <w:rFonts w:ascii="Times New Roman" w:hAnsi="Times New Roman" w:eastAsia="宋体" w:cs="Times New Roman"/>
      <w:b/>
      <w:bCs/>
      <w:kern w:val="2"/>
      <w:sz w:val="21"/>
      <w:szCs w:val="24"/>
      <w:lang w:val="en-US" w:eastAsia="zh-CN" w:bidi="ar-SA"/>
    </w:rPr>
  </w:style>
  <w:style w:type="character" w:customStyle="1" w:styleId="93">
    <w:name w:val="日期 Char"/>
    <w:link w:val="25"/>
    <w:qFormat/>
    <w:uiPriority w:val="0"/>
    <w:rPr>
      <w:rFonts w:ascii="仿宋_GB2312" w:hAnsi="宋体" w:eastAsia="仿宋_GB2312"/>
      <w:color w:val="000000"/>
      <w:kern w:val="2"/>
      <w:sz w:val="24"/>
      <w:szCs w:val="24"/>
    </w:rPr>
  </w:style>
  <w:style w:type="character" w:customStyle="1" w:styleId="94">
    <w:name w:val="页脚 Char1"/>
    <w:link w:val="28"/>
    <w:qFormat/>
    <w:uiPriority w:val="99"/>
    <w:rPr>
      <w:rFonts w:ascii="宋体" w:eastAsia="宋体"/>
      <w:sz w:val="18"/>
      <w:lang w:val="en-US" w:eastAsia="zh-CN" w:bidi="ar-SA"/>
    </w:rPr>
  </w:style>
  <w:style w:type="character" w:customStyle="1" w:styleId="95">
    <w:name w:val="列出段落 Char"/>
    <w:qFormat/>
    <w:uiPriority w:val="34"/>
    <w:rPr>
      <w:rFonts w:ascii="Calibri" w:hAnsi="Calibri" w:eastAsia="宋体"/>
      <w:kern w:val="2"/>
      <w:sz w:val="21"/>
      <w:szCs w:val="22"/>
      <w:lang w:val="en-US" w:eastAsia="zh-CN" w:bidi="ar-SA"/>
    </w:rPr>
  </w:style>
  <w:style w:type="character" w:customStyle="1" w:styleId="96">
    <w:name w:val="正文文本缩进 Char"/>
    <w:qFormat/>
    <w:uiPriority w:val="0"/>
    <w:rPr>
      <w:rFonts w:eastAsia="宋体"/>
      <w:kern w:val="2"/>
      <w:sz w:val="24"/>
      <w:szCs w:val="24"/>
      <w:lang w:val="en-US" w:eastAsia="zh-CN" w:bidi="ar-SA"/>
    </w:rPr>
  </w:style>
  <w:style w:type="character" w:customStyle="1" w:styleId="97">
    <w:name w:val="正文表格 Char"/>
    <w:link w:val="98"/>
    <w:qFormat/>
    <w:uiPriority w:val="0"/>
    <w:rPr>
      <w:rFonts w:ascii="宋体" w:hAnsi="宋体"/>
      <w:color w:val="000000"/>
      <w:kern w:val="2"/>
      <w:sz w:val="21"/>
      <w:szCs w:val="21"/>
    </w:rPr>
  </w:style>
  <w:style w:type="paragraph" w:customStyle="1" w:styleId="98">
    <w:name w:val="正文表格"/>
    <w:basedOn w:val="1"/>
    <w:link w:val="97"/>
    <w:qFormat/>
    <w:uiPriority w:val="0"/>
    <w:pPr>
      <w:adjustRightInd w:val="0"/>
      <w:snapToGrid w:val="0"/>
      <w:jc w:val="left"/>
    </w:pPr>
    <w:rPr>
      <w:rFonts w:ascii="宋体" w:hAnsi="宋体"/>
      <w:color w:val="000000"/>
      <w:szCs w:val="21"/>
    </w:rPr>
  </w:style>
  <w:style w:type="character" w:customStyle="1" w:styleId="99">
    <w:name w:val="页眉 Char1"/>
    <w:link w:val="29"/>
    <w:qFormat/>
    <w:uiPriority w:val="99"/>
    <w:rPr>
      <w:rFonts w:eastAsia="宋体"/>
      <w:kern w:val="2"/>
      <w:sz w:val="18"/>
      <w:szCs w:val="18"/>
      <w:lang w:val="en-US" w:eastAsia="zh-CN" w:bidi="ar-SA"/>
    </w:rPr>
  </w:style>
  <w:style w:type="character" w:customStyle="1" w:styleId="100">
    <w:name w:val="正文文本缩进 3 Char"/>
    <w:link w:val="34"/>
    <w:qFormat/>
    <w:uiPriority w:val="0"/>
    <w:rPr>
      <w:rFonts w:ascii="宋体"/>
      <w:sz w:val="24"/>
    </w:rPr>
  </w:style>
  <w:style w:type="character" w:customStyle="1" w:styleId="101">
    <w:name w:val="HTML 预设格式 Char"/>
    <w:link w:val="38"/>
    <w:qFormat/>
    <w:uiPriority w:val="0"/>
    <w:rPr>
      <w:rFonts w:ascii="宋体" w:hAnsi="宋体" w:cs="宋体"/>
      <w:sz w:val="24"/>
      <w:szCs w:val="24"/>
    </w:rPr>
  </w:style>
  <w:style w:type="character" w:customStyle="1" w:styleId="102">
    <w:name w:val="标题 Char1"/>
    <w:link w:val="41"/>
    <w:qFormat/>
    <w:uiPriority w:val="10"/>
    <w:rPr>
      <w:b/>
      <w:kern w:val="2"/>
      <w:sz w:val="32"/>
    </w:rPr>
  </w:style>
  <w:style w:type="character" w:customStyle="1" w:styleId="103">
    <w:name w:val="正文大标题 Char"/>
    <w:link w:val="104"/>
    <w:qFormat/>
    <w:uiPriority w:val="0"/>
    <w:rPr>
      <w:rFonts w:ascii="宋体" w:hAnsi="宋体"/>
      <w:b/>
      <w:color w:val="000000"/>
      <w:kern w:val="2"/>
      <w:sz w:val="28"/>
      <w:szCs w:val="21"/>
    </w:rPr>
  </w:style>
  <w:style w:type="paragraph" w:customStyle="1" w:styleId="104">
    <w:name w:val="正文大标题"/>
    <w:basedOn w:val="105"/>
    <w:next w:val="5"/>
    <w:link w:val="103"/>
    <w:qFormat/>
    <w:uiPriority w:val="0"/>
    <w:pPr>
      <w:jc w:val="center"/>
    </w:pPr>
    <w:rPr>
      <w:i w:val="0"/>
      <w:color w:val="000000"/>
      <w:sz w:val="28"/>
      <w:szCs w:val="21"/>
    </w:rPr>
  </w:style>
  <w:style w:type="paragraph" w:customStyle="1" w:styleId="105">
    <w:name w:val="正文小标题"/>
    <w:basedOn w:val="1"/>
    <w:next w:val="5"/>
    <w:link w:val="106"/>
    <w:qFormat/>
    <w:uiPriority w:val="0"/>
    <w:pPr>
      <w:adjustRightInd w:val="0"/>
      <w:snapToGrid w:val="0"/>
      <w:spacing w:before="312" w:beforeLines="100" w:after="312" w:afterLines="100"/>
      <w:ind w:firstLine="482"/>
      <w:jc w:val="left"/>
    </w:pPr>
    <w:rPr>
      <w:rFonts w:ascii="宋体" w:hAnsi="宋体"/>
      <w:b/>
      <w:i/>
      <w:color w:val="FF0000"/>
      <w:sz w:val="24"/>
      <w:szCs w:val="20"/>
    </w:rPr>
  </w:style>
  <w:style w:type="character" w:customStyle="1" w:styleId="106">
    <w:name w:val="正文小标题 Char"/>
    <w:link w:val="105"/>
    <w:qFormat/>
    <w:uiPriority w:val="0"/>
    <w:rPr>
      <w:rFonts w:ascii="宋体" w:hAnsi="宋体"/>
      <w:b/>
      <w:i/>
      <w:color w:val="FF0000"/>
      <w:kern w:val="2"/>
      <w:sz w:val="24"/>
    </w:rPr>
  </w:style>
  <w:style w:type="character" w:customStyle="1" w:styleId="107">
    <w:name w:val="正文文本缩进 Char1"/>
    <w:link w:val="108"/>
    <w:qFormat/>
    <w:uiPriority w:val="0"/>
    <w:rPr>
      <w:rFonts w:ascii="宋体" w:hAnsi="宋体" w:eastAsia="宋体"/>
      <w:sz w:val="24"/>
      <w:szCs w:val="24"/>
      <w:lang w:bidi="ar-SA"/>
    </w:rPr>
  </w:style>
  <w:style w:type="paragraph" w:customStyle="1" w:styleId="108">
    <w:name w:val="正文文本缩进1"/>
    <w:basedOn w:val="1"/>
    <w:link w:val="107"/>
    <w:qFormat/>
    <w:uiPriority w:val="0"/>
    <w:pPr>
      <w:spacing w:line="480" w:lineRule="exact"/>
      <w:ind w:firstLine="480" w:firstLineChars="200"/>
    </w:pPr>
    <w:rPr>
      <w:rFonts w:ascii="宋体" w:hAnsi="宋体"/>
      <w:kern w:val="0"/>
      <w:sz w:val="24"/>
    </w:rPr>
  </w:style>
  <w:style w:type="character" w:customStyle="1" w:styleId="109">
    <w:name w:val="正文首行缩进 2 Char"/>
    <w:link w:val="44"/>
    <w:qFormat/>
    <w:uiPriority w:val="0"/>
    <w:rPr>
      <w:rFonts w:eastAsia="宋体"/>
      <w:kern w:val="2"/>
      <w:sz w:val="24"/>
      <w:szCs w:val="24"/>
      <w:lang w:val="en-US" w:eastAsia="zh-CN" w:bidi="ar-SA"/>
    </w:rPr>
  </w:style>
  <w:style w:type="character" w:customStyle="1" w:styleId="110">
    <w:name w:val="title4"/>
    <w:qFormat/>
    <w:uiPriority w:val="0"/>
    <w:rPr>
      <w:b/>
      <w:bCs/>
      <w:color w:val="1D87B3"/>
      <w:sz w:val="15"/>
      <w:szCs w:val="15"/>
    </w:rPr>
  </w:style>
  <w:style w:type="character" w:customStyle="1" w:styleId="111">
    <w:name w:val="纯文本 Char1"/>
    <w:qFormat/>
    <w:uiPriority w:val="0"/>
    <w:rPr>
      <w:rFonts w:ascii="宋体" w:hAnsi="Courier New" w:eastAsia="宋体"/>
      <w:kern w:val="2"/>
      <w:sz w:val="21"/>
      <w:lang w:val="en-US" w:eastAsia="zh-CN" w:bidi="ar-SA"/>
    </w:rPr>
  </w:style>
  <w:style w:type="character" w:customStyle="1" w:styleId="112">
    <w:name w:val="标题 2 Char Char"/>
    <w:qFormat/>
    <w:uiPriority w:val="0"/>
    <w:rPr>
      <w:rFonts w:ascii="Arial" w:hAnsi="Arial" w:eastAsia="黑体"/>
      <w:b/>
      <w:bCs/>
      <w:kern w:val="2"/>
      <w:sz w:val="32"/>
      <w:szCs w:val="32"/>
      <w:lang w:val="en-US" w:eastAsia="zh-CN" w:bidi="ar-SA"/>
    </w:rPr>
  </w:style>
  <w:style w:type="character" w:customStyle="1" w:styleId="113">
    <w:name w:val="注释 Char"/>
    <w:link w:val="114"/>
    <w:qFormat/>
    <w:uiPriority w:val="0"/>
    <w:rPr>
      <w:rFonts w:ascii="宋体" w:hAnsi="宋体"/>
      <w:kern w:val="2"/>
      <w:sz w:val="21"/>
      <w:szCs w:val="21"/>
    </w:rPr>
  </w:style>
  <w:style w:type="paragraph" w:customStyle="1" w:styleId="114">
    <w:name w:val="注释"/>
    <w:basedOn w:val="1"/>
    <w:link w:val="113"/>
    <w:qFormat/>
    <w:uiPriority w:val="0"/>
    <w:pPr>
      <w:adjustRightInd w:val="0"/>
      <w:snapToGrid w:val="0"/>
      <w:ind w:left="420" w:hanging="420" w:hangingChars="200"/>
      <w:jc w:val="left"/>
    </w:pPr>
    <w:rPr>
      <w:rFonts w:ascii="宋体" w:hAnsi="宋体"/>
      <w:szCs w:val="21"/>
    </w:rPr>
  </w:style>
  <w:style w:type="character" w:customStyle="1" w:styleId="115">
    <w:name w:val="street-address"/>
    <w:qFormat/>
    <w:uiPriority w:val="0"/>
  </w:style>
  <w:style w:type="character" w:customStyle="1" w:styleId="116">
    <w:name w:val="locality"/>
    <w:qFormat/>
    <w:uiPriority w:val="0"/>
  </w:style>
  <w:style w:type="character" w:customStyle="1" w:styleId="117">
    <w:name w:val="ec_431051805-23112007"/>
    <w:basedOn w:val="48"/>
    <w:qFormat/>
    <w:uiPriority w:val="0"/>
  </w:style>
  <w:style w:type="character" w:customStyle="1" w:styleId="118">
    <w:name w:val="txt"/>
    <w:qFormat/>
    <w:uiPriority w:val="0"/>
  </w:style>
  <w:style w:type="character" w:customStyle="1" w:styleId="119">
    <w:name w:val="正文缩进 Char Char"/>
    <w:link w:val="120"/>
    <w:qFormat/>
    <w:uiPriority w:val="0"/>
    <w:rPr>
      <w:rFonts w:ascii="宋体" w:eastAsia="宋体"/>
      <w:snapToGrid w:val="0"/>
      <w:color w:val="000000"/>
      <w:kern w:val="28"/>
      <w:sz w:val="28"/>
      <w:lang w:bidi="ar-SA"/>
    </w:rPr>
  </w:style>
  <w:style w:type="paragraph" w:customStyle="1" w:styleId="120">
    <w:name w:val="正文缩进1"/>
    <w:basedOn w:val="1"/>
    <w:link w:val="119"/>
    <w:qFormat/>
    <w:uiPriority w:val="0"/>
    <w:pPr>
      <w:widowControl/>
      <w:adjustRightInd w:val="0"/>
      <w:snapToGrid w:val="0"/>
      <w:spacing w:line="480" w:lineRule="exact"/>
      <w:ind w:firstLine="567"/>
    </w:pPr>
    <w:rPr>
      <w:rFonts w:ascii="宋体"/>
      <w:snapToGrid w:val="0"/>
      <w:color w:val="000000"/>
      <w:kern w:val="28"/>
      <w:sz w:val="28"/>
      <w:szCs w:val="20"/>
    </w:rPr>
  </w:style>
  <w:style w:type="character" w:customStyle="1" w:styleId="121">
    <w:name w:val="脚注文本 Char"/>
    <w:link w:val="32"/>
    <w:qFormat/>
    <w:uiPriority w:val="0"/>
    <w:rPr>
      <w:lang w:val="de-DE"/>
    </w:rPr>
  </w:style>
  <w:style w:type="character" w:customStyle="1" w:styleId="122">
    <w:name w:val="批注文字 Char"/>
    <w:qFormat/>
    <w:uiPriority w:val="99"/>
    <w:rPr>
      <w:kern w:val="2"/>
      <w:sz w:val="21"/>
      <w:szCs w:val="24"/>
    </w:rPr>
  </w:style>
  <w:style w:type="character" w:customStyle="1" w:styleId="123">
    <w:name w:val="正文格式 Char"/>
    <w:link w:val="124"/>
    <w:qFormat/>
    <w:locked/>
    <w:uiPriority w:val="0"/>
    <w:rPr>
      <w:rFonts w:ascii="宋体" w:hAnsi="宋体"/>
      <w:sz w:val="24"/>
      <w:szCs w:val="24"/>
      <w:lang w:val="en-GB"/>
    </w:rPr>
  </w:style>
  <w:style w:type="paragraph" w:customStyle="1" w:styleId="124">
    <w:name w:val="正文格式"/>
    <w:basedOn w:val="1"/>
    <w:link w:val="123"/>
    <w:qFormat/>
    <w:uiPriority w:val="0"/>
    <w:pPr>
      <w:spacing w:beforeLines="50" w:line="360" w:lineRule="auto"/>
      <w:ind w:firstLine="480" w:firstLineChars="200"/>
    </w:pPr>
    <w:rPr>
      <w:rFonts w:ascii="宋体" w:hAnsi="宋体"/>
      <w:kern w:val="0"/>
      <w:sz w:val="24"/>
      <w:lang w:val="en-GB"/>
    </w:rPr>
  </w:style>
  <w:style w:type="character" w:customStyle="1" w:styleId="125">
    <w:name w:val="apple-style-span"/>
    <w:qFormat/>
    <w:uiPriority w:val="0"/>
    <w:rPr>
      <w:rFonts w:cs="Times New Roman"/>
    </w:rPr>
  </w:style>
  <w:style w:type="character" w:customStyle="1" w:styleId="126">
    <w:name w:val="NormalCharacter"/>
    <w:qFormat/>
    <w:uiPriority w:val="0"/>
  </w:style>
  <w:style w:type="character" w:customStyle="1" w:styleId="127">
    <w:name w:val="bjh-p"/>
    <w:qFormat/>
    <w:uiPriority w:val="0"/>
  </w:style>
  <w:style w:type="character" w:customStyle="1" w:styleId="128">
    <w:name w:val="中等深浅网格 1 - 强调文字颜色 2 Char"/>
    <w:link w:val="129"/>
    <w:qFormat/>
    <w:uiPriority w:val="0"/>
    <w:rPr>
      <w:kern w:val="2"/>
      <w:sz w:val="21"/>
      <w:szCs w:val="24"/>
      <w:lang w:val="zh-CN" w:eastAsia="zh-CN" w:bidi="ar-SA"/>
    </w:rPr>
  </w:style>
  <w:style w:type="paragraph" w:customStyle="1" w:styleId="129">
    <w:name w:val="1"/>
    <w:link w:val="128"/>
    <w:qFormat/>
    <w:uiPriority w:val="0"/>
    <w:rPr>
      <w:rFonts w:ascii="Times New Roman" w:hAnsi="Times New Roman" w:eastAsia="宋体" w:cs="Times New Roman"/>
      <w:kern w:val="2"/>
      <w:sz w:val="21"/>
      <w:szCs w:val="24"/>
      <w:lang w:val="zh-CN" w:eastAsia="zh-CN" w:bidi="ar-SA"/>
    </w:rPr>
  </w:style>
  <w:style w:type="character" w:customStyle="1" w:styleId="130">
    <w:name w:val="正文重点 Char"/>
    <w:link w:val="131"/>
    <w:qFormat/>
    <w:uiPriority w:val="0"/>
    <w:rPr>
      <w:b/>
      <w:sz w:val="24"/>
    </w:rPr>
  </w:style>
  <w:style w:type="paragraph" w:customStyle="1" w:styleId="131">
    <w:name w:val="正文重点"/>
    <w:basedOn w:val="1"/>
    <w:link w:val="130"/>
    <w:qFormat/>
    <w:uiPriority w:val="0"/>
    <w:pPr>
      <w:adjustRightInd w:val="0"/>
      <w:spacing w:line="360" w:lineRule="auto"/>
      <w:ind w:firstLine="482" w:firstLineChars="200"/>
      <w:jc w:val="left"/>
      <w:textAlignment w:val="baseline"/>
    </w:pPr>
    <w:rPr>
      <w:b/>
      <w:kern w:val="0"/>
      <w:sz w:val="24"/>
      <w:szCs w:val="20"/>
    </w:rPr>
  </w:style>
  <w:style w:type="character" w:customStyle="1" w:styleId="132">
    <w:name w:val="标题 2 Char"/>
    <w:qFormat/>
    <w:uiPriority w:val="0"/>
    <w:rPr>
      <w:rFonts w:ascii="Arial" w:hAnsi="Arial" w:eastAsia="黑体"/>
      <w:b/>
      <w:sz w:val="30"/>
      <w:lang w:val="en-US" w:eastAsia="zh-CN" w:bidi="ar-SA"/>
    </w:rPr>
  </w:style>
  <w:style w:type="character" w:customStyle="1" w:styleId="133">
    <w:name w:val="纯文本 字符"/>
    <w:qFormat/>
    <w:uiPriority w:val="0"/>
    <w:rPr>
      <w:rFonts w:ascii="宋体" w:hAnsi="Courier New" w:eastAsia="宋体" w:cs="Times New Roman"/>
      <w:kern w:val="2"/>
      <w:sz w:val="21"/>
      <w:szCs w:val="21"/>
      <w:lang w:val="en-US" w:eastAsia="zh-CN" w:bidi="ar-SA"/>
    </w:rPr>
  </w:style>
  <w:style w:type="character" w:customStyle="1" w:styleId="134">
    <w:name w:val="正文缩进 Char"/>
    <w:qFormat/>
    <w:uiPriority w:val="0"/>
    <w:rPr>
      <w:rFonts w:ascii="宋体" w:eastAsia="宋体"/>
      <w:kern w:val="2"/>
      <w:sz w:val="24"/>
      <w:szCs w:val="24"/>
      <w:lang w:val="en-US" w:eastAsia="zh-CN" w:bidi="ar-SA"/>
    </w:rPr>
  </w:style>
  <w:style w:type="character" w:customStyle="1" w:styleId="135">
    <w:name w:val="Char Char111"/>
    <w:qFormat/>
    <w:uiPriority w:val="0"/>
    <w:rPr>
      <w:rFonts w:ascii="宋体" w:eastAsia="宋体"/>
      <w:b/>
      <w:sz w:val="24"/>
      <w:u w:val="single"/>
      <w:lang w:val="en-US" w:eastAsia="zh-CN" w:bidi="ar-SA"/>
    </w:rPr>
  </w:style>
  <w:style w:type="paragraph" w:customStyle="1" w:styleId="136">
    <w:name w:val="H-TextFormat"/>
    <w:qFormat/>
    <w:uiPriority w:val="0"/>
    <w:pPr>
      <w:autoSpaceDE w:val="0"/>
      <w:autoSpaceDN w:val="0"/>
      <w:adjustRightInd w:val="0"/>
    </w:pPr>
    <w:rPr>
      <w:rFonts w:ascii="Arial" w:hAnsi="Arial" w:eastAsia="宋体" w:cs="Arial"/>
      <w:sz w:val="22"/>
      <w:szCs w:val="22"/>
      <w:lang w:val="en-US" w:eastAsia="en-US" w:bidi="ar-SA"/>
    </w:rPr>
  </w:style>
  <w:style w:type="paragraph" w:customStyle="1" w:styleId="137">
    <w:name w:val="项目编号3"/>
    <w:basedOn w:val="138"/>
    <w:qFormat/>
    <w:uiPriority w:val="0"/>
    <w:pPr>
      <w:numPr>
        <w:ilvl w:val="0"/>
        <w:numId w:val="1"/>
      </w:numPr>
    </w:pPr>
  </w:style>
  <w:style w:type="paragraph" w:customStyle="1" w:styleId="138">
    <w:name w:val="正文文本样式"/>
    <w:basedOn w:val="1"/>
    <w:qFormat/>
    <w:uiPriority w:val="0"/>
    <w:pPr>
      <w:spacing w:line="360" w:lineRule="auto"/>
      <w:ind w:firstLine="482"/>
    </w:pPr>
    <w:rPr>
      <w:rFonts w:cs="宋体"/>
      <w:sz w:val="24"/>
      <w:szCs w:val="20"/>
    </w:rPr>
  </w:style>
  <w:style w:type="paragraph" w:customStyle="1" w:styleId="139">
    <w:name w:val="Char Char Char"/>
    <w:basedOn w:val="1"/>
    <w:qFormat/>
    <w:uiPriority w:val="0"/>
    <w:rPr>
      <w:rFonts w:ascii="Tahoma" w:hAnsi="Tahoma"/>
      <w:sz w:val="24"/>
      <w:szCs w:val="20"/>
    </w:rPr>
  </w:style>
  <w:style w:type="paragraph" w:customStyle="1" w:styleId="140">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41">
    <w:name w:val="xl46"/>
    <w:basedOn w:val="1"/>
    <w:qFormat/>
    <w:uiPriority w:val="0"/>
    <w:pPr>
      <w:widowControl/>
      <w:pBdr>
        <w:top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42">
    <w:name w:val="一级条标题"/>
    <w:basedOn w:val="143"/>
    <w:next w:val="1"/>
    <w:qFormat/>
    <w:uiPriority w:val="0"/>
    <w:pPr>
      <w:numPr>
        <w:ilvl w:val="1"/>
      </w:numPr>
      <w:tabs>
        <w:tab w:val="left" w:pos="360"/>
        <w:tab w:val="left" w:pos="840"/>
      </w:tabs>
      <w:ind w:left="0" w:hanging="840"/>
      <w:outlineLvl w:val="1"/>
    </w:pPr>
  </w:style>
  <w:style w:type="paragraph" w:customStyle="1" w:styleId="143">
    <w:name w:val="章标题"/>
    <w:next w:val="1"/>
    <w:qFormat/>
    <w:uiPriority w:val="0"/>
    <w:pPr>
      <w:numPr>
        <w:ilvl w:val="0"/>
        <w:numId w:val="2"/>
      </w:numPr>
      <w:spacing w:before="156" w:beforeLines="50" w:after="156" w:afterLines="50" w:line="460" w:lineRule="exact"/>
      <w:ind w:left="0"/>
      <w:jc w:val="both"/>
      <w:outlineLvl w:val="0"/>
    </w:pPr>
    <w:rPr>
      <w:rFonts w:ascii="黑体" w:hAnsi="Times New Roman" w:eastAsia="黑体" w:cs="Times New Roman"/>
      <w:b/>
      <w:sz w:val="28"/>
      <w:lang w:val="en-US" w:eastAsia="zh-CN" w:bidi="ar-SA"/>
    </w:rPr>
  </w:style>
  <w:style w:type="paragraph" w:customStyle="1" w:styleId="144">
    <w:name w:val="项目编号1"/>
    <w:basedOn w:val="1"/>
    <w:qFormat/>
    <w:uiPriority w:val="0"/>
    <w:pPr>
      <w:numPr>
        <w:ilvl w:val="0"/>
        <w:numId w:val="3"/>
      </w:numPr>
      <w:spacing w:before="100" w:beforeAutospacing="1" w:after="100" w:afterAutospacing="1" w:line="360" w:lineRule="auto"/>
    </w:pPr>
    <w:rPr>
      <w:sz w:val="24"/>
    </w:rPr>
  </w:style>
  <w:style w:type="paragraph" w:customStyle="1" w:styleId="145">
    <w:name w:val="xl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16"/>
      <w:szCs w:val="16"/>
    </w:rPr>
  </w:style>
  <w:style w:type="paragraph" w:customStyle="1" w:styleId="146">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Arial Unicode MS" w:hAnsi="Arial Unicode MS" w:eastAsia="Arial Unicode MS" w:cs="Arial Unicode MS"/>
      <w:b/>
      <w:bCs/>
      <w:color w:val="000000"/>
      <w:kern w:val="0"/>
      <w:sz w:val="20"/>
      <w:szCs w:val="20"/>
    </w:rPr>
  </w:style>
  <w:style w:type="paragraph" w:customStyle="1" w:styleId="147">
    <w:name w:val="字元 字元"/>
    <w:basedOn w:val="1"/>
    <w:qFormat/>
    <w:uiPriority w:val="0"/>
    <w:rPr>
      <w:rFonts w:ascii="Tahoma" w:hAnsi="Tahoma"/>
      <w:sz w:val="24"/>
      <w:szCs w:val="20"/>
    </w:rPr>
  </w:style>
  <w:style w:type="paragraph" w:customStyle="1" w:styleId="148">
    <w:name w:val="Char3 Char Char Char"/>
    <w:basedOn w:val="1"/>
    <w:qFormat/>
    <w:uiPriority w:val="0"/>
    <w:rPr>
      <w:rFonts w:ascii="Tahoma" w:hAnsi="Tahoma"/>
      <w:sz w:val="24"/>
      <w:szCs w:val="20"/>
    </w:rPr>
  </w:style>
  <w:style w:type="paragraph" w:customStyle="1" w:styleId="149">
    <w:name w:val="二级条标题"/>
    <w:basedOn w:val="142"/>
    <w:next w:val="1"/>
    <w:qFormat/>
    <w:uiPriority w:val="0"/>
    <w:pPr>
      <w:numPr>
        <w:ilvl w:val="0"/>
        <w:numId w:val="0"/>
      </w:numPr>
      <w:ind w:hanging="840"/>
      <w:outlineLvl w:val="2"/>
    </w:pPr>
    <w:rPr>
      <w:rFonts w:ascii="宋体" w:eastAsia="宋体"/>
      <w:b w:val="0"/>
    </w:rPr>
  </w:style>
  <w:style w:type="paragraph" w:customStyle="1" w:styleId="150">
    <w:name w:val="项目编号2"/>
    <w:basedOn w:val="144"/>
    <w:qFormat/>
    <w:uiPriority w:val="0"/>
    <w:pPr>
      <w:numPr>
        <w:numId w:val="4"/>
      </w:numPr>
    </w:pPr>
  </w:style>
  <w:style w:type="paragraph" w:customStyle="1" w:styleId="151">
    <w:name w:val="font7"/>
    <w:basedOn w:val="1"/>
    <w:qFormat/>
    <w:uiPriority w:val="0"/>
    <w:pPr>
      <w:widowControl/>
      <w:spacing w:before="100" w:beforeAutospacing="1" w:after="100" w:afterAutospacing="1"/>
      <w:jc w:val="left"/>
    </w:pPr>
    <w:rPr>
      <w:rFonts w:eastAsia="Arial Unicode MS"/>
      <w:b/>
      <w:bCs/>
      <w:color w:val="000000"/>
      <w:kern w:val="0"/>
      <w:sz w:val="20"/>
      <w:szCs w:val="20"/>
    </w:rPr>
  </w:style>
  <w:style w:type="paragraph" w:customStyle="1" w:styleId="152">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2"/>
      <w:szCs w:val="22"/>
    </w:rPr>
  </w:style>
  <w:style w:type="paragraph" w:customStyle="1" w:styleId="153">
    <w:name w:val="图中文字"/>
    <w:basedOn w:val="1"/>
    <w:qFormat/>
    <w:uiPriority w:val="0"/>
    <w:pPr>
      <w:adjustRightInd w:val="0"/>
      <w:snapToGrid w:val="0"/>
      <w:spacing w:line="0" w:lineRule="atLeast"/>
      <w:jc w:val="center"/>
    </w:pPr>
    <w:rPr>
      <w:sz w:val="24"/>
      <w:szCs w:val="20"/>
    </w:rPr>
  </w:style>
  <w:style w:type="paragraph" w:customStyle="1" w:styleId="154">
    <w:name w:val="样式 宋体 五号 行距: 单倍行距"/>
    <w:basedOn w:val="1"/>
    <w:qFormat/>
    <w:uiPriority w:val="0"/>
    <w:pPr>
      <w:adjustRightInd w:val="0"/>
      <w:jc w:val="left"/>
      <w:textAlignment w:val="baseline"/>
    </w:pPr>
    <w:rPr>
      <w:rFonts w:ascii="宋体" w:hAnsi="宋体"/>
      <w:kern w:val="0"/>
      <w:szCs w:val="20"/>
    </w:rPr>
  </w:style>
  <w:style w:type="paragraph" w:customStyle="1" w:styleId="155">
    <w:name w:val="Char2"/>
    <w:basedOn w:val="1"/>
    <w:qFormat/>
    <w:uiPriority w:val="0"/>
    <w:rPr>
      <w:rFonts w:ascii="Tahoma" w:hAnsi="Tahoma"/>
      <w:sz w:val="24"/>
      <w:szCs w:val="20"/>
    </w:rPr>
  </w:style>
  <w:style w:type="paragraph" w:customStyle="1" w:styleId="156">
    <w:name w:val="xl35"/>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7">
    <w:name w:val="Char Char Char2"/>
    <w:basedOn w:val="1"/>
    <w:qFormat/>
    <w:uiPriority w:val="0"/>
    <w:rPr>
      <w:rFonts w:ascii="Tahoma" w:hAnsi="Tahoma"/>
      <w:sz w:val="24"/>
      <w:szCs w:val="20"/>
    </w:rPr>
  </w:style>
  <w:style w:type="paragraph" w:customStyle="1" w:styleId="158">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59">
    <w:name w:val="修订1"/>
    <w:qFormat/>
    <w:uiPriority w:val="99"/>
    <w:rPr>
      <w:rFonts w:ascii="Times New Roman" w:hAnsi="Times New Roman" w:eastAsia="宋体" w:cs="Times New Roman"/>
      <w:kern w:val="2"/>
      <w:sz w:val="21"/>
      <w:szCs w:val="24"/>
      <w:lang w:val="en-US" w:eastAsia="zh-CN" w:bidi="ar-SA"/>
    </w:rPr>
  </w:style>
  <w:style w:type="paragraph" w:customStyle="1" w:styleId="160">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1">
    <w:name w:val="xl5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16"/>
      <w:szCs w:val="16"/>
    </w:rPr>
  </w:style>
  <w:style w:type="paragraph" w:customStyle="1" w:styleId="162">
    <w:name w:val="Char Char1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63">
    <w:name w:val="xl43"/>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64">
    <w:name w:val="background1"/>
    <w:basedOn w:val="1"/>
    <w:qFormat/>
    <w:uiPriority w:val="0"/>
    <w:pPr>
      <w:widowControl/>
      <w:spacing w:before="100" w:beforeAutospacing="1" w:after="100" w:afterAutospacing="1"/>
      <w:jc w:val="left"/>
    </w:pPr>
    <w:rPr>
      <w:rFonts w:ascii="宋体" w:hAnsi="宋体" w:cs="宋体"/>
      <w:kern w:val="0"/>
      <w:sz w:val="24"/>
    </w:rPr>
  </w:style>
  <w:style w:type="paragraph" w:customStyle="1" w:styleId="165">
    <w:name w:val="Char Char Char Char Char Char Char"/>
    <w:basedOn w:val="1"/>
    <w:qFormat/>
    <w:uiPriority w:val="0"/>
    <w:pPr>
      <w:snapToGrid w:val="0"/>
      <w:spacing w:line="360" w:lineRule="auto"/>
      <w:ind w:firstLine="200" w:firstLineChars="200"/>
    </w:pPr>
    <w:rPr>
      <w:rFonts w:eastAsia="仿宋_GB2312"/>
      <w:sz w:val="24"/>
    </w:rPr>
  </w:style>
  <w:style w:type="paragraph" w:customStyle="1" w:styleId="166">
    <w:name w:val="xl36"/>
    <w:basedOn w:val="1"/>
    <w:qFormat/>
    <w:uiPriority w:val="0"/>
    <w:pPr>
      <w:widowControl/>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67">
    <w:name w:val="正文 + 宋体"/>
    <w:basedOn w:val="1"/>
    <w:qFormat/>
    <w:uiPriority w:val="0"/>
    <w:pPr>
      <w:widowControl/>
      <w:ind w:left="360" w:hanging="360"/>
      <w:jc w:val="left"/>
    </w:pPr>
    <w:rPr>
      <w:rFonts w:ascii="宋体" w:hAnsi="宋体" w:cs="宋体"/>
      <w:b/>
      <w:bCs/>
      <w:color w:val="000000"/>
      <w:kern w:val="0"/>
      <w:sz w:val="18"/>
      <w:szCs w:val="18"/>
    </w:rPr>
  </w:style>
  <w:style w:type="paragraph" w:customStyle="1" w:styleId="168">
    <w:name w:val="Char Char Char Char Char Char Char2"/>
    <w:basedOn w:val="1"/>
    <w:qFormat/>
    <w:uiPriority w:val="0"/>
    <w:pPr>
      <w:snapToGrid w:val="0"/>
      <w:spacing w:line="360" w:lineRule="auto"/>
      <w:ind w:firstLine="200" w:firstLineChars="200"/>
    </w:pPr>
    <w:rPr>
      <w:rFonts w:eastAsia="仿宋_GB2312"/>
      <w:sz w:val="24"/>
    </w:rPr>
  </w:style>
  <w:style w:type="paragraph" w:customStyle="1" w:styleId="169">
    <w:name w:val="默认段落字体 Para Char Char Char Char"/>
    <w:basedOn w:val="1"/>
    <w:qFormat/>
    <w:uiPriority w:val="0"/>
    <w:rPr>
      <w:rFonts w:ascii="Arial" w:hAnsi="Arial" w:cs="Arial"/>
      <w:szCs w:val="21"/>
    </w:rPr>
  </w:style>
  <w:style w:type="paragraph" w:customStyle="1" w:styleId="170">
    <w:name w:val="正文列项_数字"/>
    <w:basedOn w:val="1"/>
    <w:qFormat/>
    <w:uiPriority w:val="0"/>
    <w:pPr>
      <w:numPr>
        <w:ilvl w:val="7"/>
        <w:numId w:val="2"/>
      </w:numPr>
      <w:tabs>
        <w:tab w:val="clear" w:pos="860"/>
      </w:tabs>
      <w:autoSpaceDE w:val="0"/>
      <w:autoSpaceDN w:val="0"/>
      <w:spacing w:line="460" w:lineRule="exact"/>
      <w:ind w:left="680" w:leftChars="530" w:hanging="150" w:hangingChars="150"/>
      <w:outlineLvl w:val="7"/>
    </w:pPr>
    <w:rPr>
      <w:rFonts w:ascii="宋体"/>
      <w:kern w:val="0"/>
      <w:sz w:val="28"/>
      <w:szCs w:val="20"/>
    </w:rPr>
  </w:style>
  <w:style w:type="paragraph" w:customStyle="1" w:styleId="171">
    <w:name w:val="Char Char Char1 Char1"/>
    <w:basedOn w:val="1"/>
    <w:qFormat/>
    <w:uiPriority w:val="0"/>
    <w:rPr>
      <w:rFonts w:ascii="Tahoma" w:hAnsi="Tahoma"/>
      <w:sz w:val="24"/>
      <w:szCs w:val="20"/>
    </w:rPr>
  </w:style>
  <w:style w:type="paragraph" w:customStyle="1" w:styleId="172">
    <w:name w:val="font9"/>
    <w:basedOn w:val="1"/>
    <w:qFormat/>
    <w:uiPriority w:val="0"/>
    <w:pPr>
      <w:widowControl/>
      <w:spacing w:before="100" w:beforeAutospacing="1" w:after="100" w:afterAutospacing="1"/>
      <w:jc w:val="left"/>
    </w:pPr>
    <w:rPr>
      <w:rFonts w:hint="eastAsia" w:ascii="宋体" w:hAnsi="宋体" w:cs="Arial Unicode MS"/>
      <w:color w:val="000000"/>
      <w:kern w:val="0"/>
      <w:sz w:val="20"/>
      <w:szCs w:val="20"/>
    </w:rPr>
  </w:style>
  <w:style w:type="paragraph" w:customStyle="1" w:styleId="173">
    <w:name w:val="xl3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74">
    <w:name w:val="Char"/>
    <w:basedOn w:val="1"/>
    <w:qFormat/>
    <w:uiPriority w:val="0"/>
    <w:pPr>
      <w:tabs>
        <w:tab w:val="left" w:pos="360"/>
      </w:tabs>
    </w:pPr>
    <w:rPr>
      <w:sz w:val="24"/>
    </w:rPr>
  </w:style>
  <w:style w:type="paragraph" w:customStyle="1" w:styleId="175">
    <w:name w:val="xl37"/>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0"/>
      <w:szCs w:val="20"/>
    </w:rPr>
  </w:style>
  <w:style w:type="paragraph" w:customStyle="1" w:styleId="176">
    <w:name w:val="Char Char Char1 Char"/>
    <w:basedOn w:val="1"/>
    <w:qFormat/>
    <w:uiPriority w:val="0"/>
    <w:rPr>
      <w:rFonts w:ascii="Tahoma" w:hAnsi="Tahoma"/>
      <w:sz w:val="24"/>
      <w:szCs w:val="20"/>
    </w:rPr>
  </w:style>
  <w:style w:type="paragraph" w:customStyle="1" w:styleId="177">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color w:val="000000"/>
      <w:kern w:val="0"/>
      <w:sz w:val="20"/>
      <w:szCs w:val="20"/>
    </w:rPr>
  </w:style>
  <w:style w:type="paragraph" w:customStyle="1" w:styleId="178">
    <w:name w:val="font8"/>
    <w:basedOn w:val="1"/>
    <w:qFormat/>
    <w:uiPriority w:val="0"/>
    <w:pPr>
      <w:widowControl/>
      <w:spacing w:before="100" w:beforeAutospacing="1" w:after="100" w:afterAutospacing="1"/>
      <w:jc w:val="left"/>
    </w:pPr>
    <w:rPr>
      <w:kern w:val="0"/>
      <w:sz w:val="36"/>
      <w:szCs w:val="36"/>
    </w:rPr>
  </w:style>
  <w:style w:type="paragraph" w:customStyle="1" w:styleId="179">
    <w:name w:val="Char Char Char Char Char Char Char Char Char Char Char Char Char Char Char Char"/>
    <w:basedOn w:val="1"/>
    <w:qFormat/>
    <w:uiPriority w:val="0"/>
    <w:pPr>
      <w:widowControl/>
      <w:spacing w:after="160" w:line="240" w:lineRule="exact"/>
      <w:jc w:val="center"/>
    </w:pPr>
    <w:rPr>
      <w:rFonts w:ascii="宋体" w:hAnsi="宋体"/>
      <w:b/>
      <w:kern w:val="0"/>
      <w:sz w:val="30"/>
      <w:szCs w:val="30"/>
      <w:lang w:eastAsia="en-US"/>
    </w:rPr>
  </w:style>
  <w:style w:type="paragraph" w:customStyle="1" w:styleId="180">
    <w:name w:val="Char Char Char Char Char Char Char Char Char Char2"/>
    <w:basedOn w:val="1"/>
    <w:qFormat/>
    <w:uiPriority w:val="0"/>
    <w:rPr>
      <w:rFonts w:ascii="宋体" w:hAnsi="宋体" w:cs="Courier New"/>
      <w:sz w:val="32"/>
      <w:szCs w:val="32"/>
    </w:rPr>
  </w:style>
  <w:style w:type="paragraph" w:customStyle="1" w:styleId="181">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182">
    <w:name w:val="xl4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183">
    <w:name w:val="Char Char1"/>
    <w:basedOn w:val="15"/>
    <w:qFormat/>
    <w:uiPriority w:val="0"/>
    <w:rPr>
      <w:rFonts w:ascii="Tahoma" w:hAnsi="Tahoma"/>
      <w:sz w:val="24"/>
    </w:rPr>
  </w:style>
  <w:style w:type="paragraph" w:customStyle="1" w:styleId="184">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2"/>
      <w:szCs w:val="22"/>
    </w:rPr>
  </w:style>
  <w:style w:type="paragraph" w:customStyle="1" w:styleId="185">
    <w:name w:val="Char1 Char Char Char1"/>
    <w:basedOn w:val="1"/>
    <w:qFormat/>
    <w:uiPriority w:val="0"/>
    <w:rPr>
      <w:rFonts w:ascii="Tahoma" w:hAnsi="Tahoma" w:cs="仿宋_GB2312"/>
      <w:sz w:val="24"/>
      <w:szCs w:val="28"/>
    </w:rPr>
  </w:style>
  <w:style w:type="paragraph" w:customStyle="1" w:styleId="186">
    <w:name w:val="四级条标题"/>
    <w:basedOn w:val="187"/>
    <w:next w:val="1"/>
    <w:qFormat/>
    <w:uiPriority w:val="0"/>
    <w:pPr>
      <w:numPr>
        <w:ilvl w:val="4"/>
      </w:numPr>
      <w:tabs>
        <w:tab w:val="left" w:pos="360"/>
        <w:tab w:val="left" w:pos="840"/>
      </w:tabs>
      <w:ind w:left="0" w:hanging="840"/>
      <w:outlineLvl w:val="4"/>
    </w:pPr>
  </w:style>
  <w:style w:type="paragraph" w:customStyle="1" w:styleId="187">
    <w:name w:val="三级条标题"/>
    <w:basedOn w:val="149"/>
    <w:next w:val="1"/>
    <w:qFormat/>
    <w:uiPriority w:val="0"/>
    <w:pPr>
      <w:numPr>
        <w:ilvl w:val="3"/>
        <w:numId w:val="2"/>
      </w:numPr>
      <w:ind w:left="0" w:hanging="840"/>
      <w:outlineLvl w:val="3"/>
    </w:pPr>
  </w:style>
  <w:style w:type="paragraph" w:customStyle="1" w:styleId="188">
    <w:name w:val="正文列项_字母"/>
    <w:basedOn w:val="1"/>
    <w:qFormat/>
    <w:uiPriority w:val="0"/>
    <w:pPr>
      <w:numPr>
        <w:ilvl w:val="6"/>
        <w:numId w:val="2"/>
      </w:numPr>
      <w:tabs>
        <w:tab w:val="clear" w:pos="635"/>
      </w:tabs>
      <w:autoSpaceDE w:val="0"/>
      <w:autoSpaceDN w:val="0"/>
      <w:spacing w:line="460" w:lineRule="exact"/>
      <w:ind w:left="480" w:leftChars="300" w:hanging="180" w:hangingChars="180"/>
      <w:outlineLvl w:val="6"/>
    </w:pPr>
    <w:rPr>
      <w:rFonts w:ascii="宋体"/>
      <w:kern w:val="0"/>
      <w:sz w:val="28"/>
      <w:szCs w:val="20"/>
    </w:rPr>
  </w:style>
  <w:style w:type="paragraph" w:customStyle="1" w:styleId="189">
    <w:name w:val="??"/>
    <w:qFormat/>
    <w:uiPriority w:val="0"/>
    <w:pPr>
      <w:widowControl w:val="0"/>
      <w:overflowPunct w:val="0"/>
      <w:autoSpaceDE w:val="0"/>
      <w:autoSpaceDN w:val="0"/>
      <w:adjustRightInd w:val="0"/>
      <w:jc w:val="both"/>
    </w:pPr>
    <w:rPr>
      <w:rFonts w:ascii="Times New Roman" w:hAnsi="Times New Roman" w:eastAsia="宋体" w:cs="Times New Roman"/>
      <w:kern w:val="2"/>
      <w:sz w:val="21"/>
      <w:lang w:val="en-US" w:eastAsia="en-US" w:bidi="ar-SA"/>
    </w:rPr>
  </w:style>
  <w:style w:type="paragraph" w:customStyle="1" w:styleId="190">
    <w:name w:val="xl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eastAsia="Arial Unicode MS"/>
      <w:color w:val="000000"/>
      <w:kern w:val="0"/>
      <w:sz w:val="20"/>
      <w:szCs w:val="20"/>
    </w:rPr>
  </w:style>
  <w:style w:type="paragraph" w:customStyle="1" w:styleId="191">
    <w:name w:val="样式 标题 2 + 宋体 五号 行距: 单倍行距"/>
    <w:basedOn w:val="4"/>
    <w:qFormat/>
    <w:uiPriority w:val="0"/>
    <w:pPr>
      <w:numPr>
        <w:ilvl w:val="1"/>
        <w:numId w:val="5"/>
      </w:numPr>
      <w:autoSpaceDE/>
      <w:autoSpaceDN/>
      <w:spacing w:before="260" w:after="260" w:line="240" w:lineRule="auto"/>
      <w:jc w:val="left"/>
      <w:textAlignment w:val="baseline"/>
    </w:pPr>
    <w:rPr>
      <w:rFonts w:ascii="宋体" w:hAnsi="宋体" w:eastAsia="宋体"/>
      <w:bCs/>
      <w:sz w:val="21"/>
    </w:rPr>
  </w:style>
  <w:style w:type="paragraph" w:customStyle="1" w:styleId="192">
    <w:name w:val="List Paragraph1"/>
    <w:basedOn w:val="1"/>
    <w:qFormat/>
    <w:uiPriority w:val="0"/>
    <w:pPr>
      <w:ind w:firstLine="420" w:firstLineChars="200"/>
    </w:pPr>
    <w:rPr>
      <w:rFonts w:ascii="Calibri" w:hAnsi="Calibri"/>
      <w:szCs w:val="22"/>
    </w:rPr>
  </w:style>
  <w:style w:type="paragraph" w:customStyle="1" w:styleId="193">
    <w:name w:val="项目符号1"/>
    <w:basedOn w:val="138"/>
    <w:qFormat/>
    <w:uiPriority w:val="0"/>
    <w:pPr>
      <w:ind w:left="-25" w:firstLine="0"/>
    </w:pPr>
  </w:style>
  <w:style w:type="paragraph" w:customStyle="1" w:styleId="194">
    <w:name w:val="1名"/>
    <w:basedOn w:val="1"/>
    <w:qFormat/>
    <w:uiPriority w:val="0"/>
    <w:pPr>
      <w:numPr>
        <w:ilvl w:val="0"/>
        <w:numId w:val="6"/>
      </w:numPr>
      <w:spacing w:before="120"/>
    </w:pPr>
    <w:rPr>
      <w:rFonts w:ascii="宋体"/>
      <w:sz w:val="28"/>
      <w:szCs w:val="20"/>
    </w:rPr>
  </w:style>
  <w:style w:type="paragraph" w:customStyle="1" w:styleId="195">
    <w:name w:val="xl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b/>
      <w:bCs/>
      <w:color w:val="000000"/>
      <w:kern w:val="0"/>
      <w:sz w:val="20"/>
      <w:szCs w:val="20"/>
    </w:rPr>
  </w:style>
  <w:style w:type="paragraph" w:customStyle="1" w:styleId="196">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eastAsia="Arial Unicode MS"/>
      <w:color w:val="000000"/>
      <w:kern w:val="0"/>
      <w:sz w:val="20"/>
      <w:szCs w:val="20"/>
    </w:rPr>
  </w:style>
  <w:style w:type="paragraph" w:customStyle="1" w:styleId="197">
    <w:name w:val="Char22"/>
    <w:basedOn w:val="1"/>
    <w:qFormat/>
    <w:uiPriority w:val="0"/>
    <w:rPr>
      <w:rFonts w:ascii="Tahoma" w:hAnsi="Tahoma"/>
      <w:sz w:val="24"/>
      <w:szCs w:val="20"/>
    </w:rPr>
  </w:style>
  <w:style w:type="paragraph" w:customStyle="1" w:styleId="198">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99">
    <w:name w:val="五级条标题"/>
    <w:basedOn w:val="186"/>
    <w:next w:val="1"/>
    <w:qFormat/>
    <w:uiPriority w:val="0"/>
    <w:pPr>
      <w:numPr>
        <w:ilvl w:val="5"/>
      </w:numPr>
      <w:ind w:left="0" w:hanging="840"/>
      <w:outlineLvl w:val="5"/>
    </w:pPr>
  </w:style>
  <w:style w:type="paragraph" w:customStyle="1" w:styleId="200">
    <w:name w:val="文档正文"/>
    <w:basedOn w:val="1"/>
    <w:qFormat/>
    <w:uiPriority w:val="0"/>
    <w:pPr>
      <w:snapToGrid w:val="0"/>
      <w:spacing w:before="120" w:after="120" w:line="180" w:lineRule="auto"/>
    </w:pPr>
    <w:rPr>
      <w:rFonts w:ascii="Arial" w:hAnsi="Arial"/>
      <w:szCs w:val="20"/>
    </w:rPr>
  </w:style>
  <w:style w:type="paragraph" w:customStyle="1" w:styleId="201">
    <w:name w:val="xl4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kern w:val="0"/>
      <w:sz w:val="24"/>
    </w:rPr>
  </w:style>
  <w:style w:type="paragraph" w:customStyle="1" w:styleId="202">
    <w:name w:val="Char Char Char1 Char2"/>
    <w:basedOn w:val="1"/>
    <w:qFormat/>
    <w:uiPriority w:val="0"/>
    <w:rPr>
      <w:rFonts w:ascii="Tahoma" w:hAnsi="Tahoma"/>
      <w:sz w:val="24"/>
      <w:szCs w:val="20"/>
    </w:rPr>
  </w:style>
  <w:style w:type="paragraph" w:customStyle="1" w:styleId="203">
    <w:name w:val="Char1"/>
    <w:basedOn w:val="1"/>
    <w:qFormat/>
    <w:uiPriority w:val="0"/>
    <w:pPr>
      <w:tabs>
        <w:tab w:val="left" w:pos="360"/>
      </w:tabs>
    </w:pPr>
    <w:rPr>
      <w:sz w:val="24"/>
    </w:rPr>
  </w:style>
  <w:style w:type="paragraph" w:customStyle="1" w:styleId="204">
    <w:name w:val="Char Char Char Char Char Char Char Char Char Char"/>
    <w:basedOn w:val="1"/>
    <w:qFormat/>
    <w:uiPriority w:val="0"/>
  </w:style>
  <w:style w:type="paragraph" w:customStyle="1" w:styleId="205">
    <w:name w:val="Char Char1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206">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color w:val="000000"/>
      <w:kern w:val="0"/>
      <w:sz w:val="20"/>
      <w:szCs w:val="20"/>
    </w:rPr>
  </w:style>
  <w:style w:type="paragraph" w:customStyle="1" w:styleId="207">
    <w:name w:val="xl47"/>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customStyle="1" w:styleId="208">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22"/>
      <w:szCs w:val="22"/>
    </w:rPr>
  </w:style>
  <w:style w:type="paragraph" w:customStyle="1" w:styleId="209">
    <w:name w:val="图文"/>
    <w:basedOn w:val="1"/>
    <w:qFormat/>
    <w:uiPriority w:val="0"/>
    <w:pPr>
      <w:adjustRightInd w:val="0"/>
      <w:snapToGrid w:val="0"/>
      <w:spacing w:after="50" w:line="360" w:lineRule="auto"/>
    </w:pPr>
    <w:rPr>
      <w:sz w:val="24"/>
    </w:rPr>
  </w:style>
  <w:style w:type="paragraph" w:customStyle="1" w:styleId="210">
    <w:name w:val="xl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eastAsia="Arial Unicode MS"/>
      <w:color w:val="000000"/>
      <w:kern w:val="0"/>
      <w:sz w:val="20"/>
      <w:szCs w:val="20"/>
    </w:rPr>
  </w:style>
  <w:style w:type="paragraph" w:customStyle="1" w:styleId="211">
    <w:name w:val="xl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Unicode MS" w:hAnsi="Arial Unicode MS" w:eastAsia="Arial Unicode MS" w:cs="Arial Unicode MS"/>
      <w:b/>
      <w:bCs/>
      <w:color w:val="000000"/>
      <w:kern w:val="0"/>
      <w:sz w:val="20"/>
      <w:szCs w:val="20"/>
    </w:rPr>
  </w:style>
  <w:style w:type="paragraph" w:customStyle="1" w:styleId="212">
    <w:name w:val="Char Char Char Char Char Char Char Char Char Char Char Char Char Char Char Char1"/>
    <w:basedOn w:val="1"/>
    <w:qFormat/>
    <w:uiPriority w:val="0"/>
    <w:pPr>
      <w:widowControl/>
      <w:spacing w:after="160" w:line="240" w:lineRule="exact"/>
      <w:jc w:val="center"/>
    </w:pPr>
    <w:rPr>
      <w:rFonts w:ascii="宋体" w:hAnsi="宋体"/>
      <w:b/>
      <w:kern w:val="0"/>
      <w:sz w:val="30"/>
      <w:szCs w:val="30"/>
      <w:lang w:eastAsia="en-US"/>
    </w:rPr>
  </w:style>
  <w:style w:type="paragraph" w:customStyle="1" w:styleId="213">
    <w:name w:val="Char Char4"/>
    <w:basedOn w:val="1"/>
    <w:qFormat/>
    <w:uiPriority w:val="0"/>
    <w:pPr>
      <w:widowControl/>
      <w:spacing w:line="400" w:lineRule="exact"/>
      <w:jc w:val="center"/>
    </w:pPr>
  </w:style>
  <w:style w:type="paragraph" w:customStyle="1" w:styleId="214">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b/>
      <w:bCs/>
      <w:color w:val="000000"/>
      <w:kern w:val="0"/>
      <w:sz w:val="32"/>
      <w:szCs w:val="32"/>
    </w:rPr>
  </w:style>
  <w:style w:type="paragraph" w:customStyle="1" w:styleId="215">
    <w:name w:val="缺省文本"/>
    <w:basedOn w:val="1"/>
    <w:qFormat/>
    <w:uiPriority w:val="0"/>
    <w:pPr>
      <w:autoSpaceDE w:val="0"/>
      <w:autoSpaceDN w:val="0"/>
      <w:adjustRightInd w:val="0"/>
      <w:jc w:val="left"/>
    </w:pPr>
    <w:rPr>
      <w:kern w:val="0"/>
      <w:sz w:val="24"/>
    </w:rPr>
  </w:style>
  <w:style w:type="paragraph" w:customStyle="1" w:styleId="216">
    <w:name w:val="样式2"/>
    <w:basedOn w:val="40"/>
    <w:qFormat/>
    <w:uiPriority w:val="0"/>
    <w:pPr>
      <w:spacing w:line="360" w:lineRule="auto"/>
      <w:jc w:val="center"/>
    </w:pPr>
    <w:rPr>
      <w:sz w:val="24"/>
    </w:rPr>
  </w:style>
  <w:style w:type="paragraph" w:customStyle="1" w:styleId="217">
    <w:name w:val="Char Char Char1"/>
    <w:basedOn w:val="1"/>
    <w:qFormat/>
    <w:uiPriority w:val="0"/>
    <w:rPr>
      <w:rFonts w:ascii="Tahoma" w:hAnsi="Tahoma"/>
      <w:sz w:val="24"/>
      <w:szCs w:val="20"/>
    </w:rPr>
  </w:style>
  <w:style w:type="paragraph" w:customStyle="1" w:styleId="218">
    <w:name w:val="msonormal"/>
    <w:basedOn w:val="1"/>
    <w:qFormat/>
    <w:uiPriority w:val="0"/>
    <w:pPr>
      <w:widowControl/>
      <w:spacing w:before="100" w:after="100"/>
      <w:jc w:val="left"/>
    </w:pPr>
    <w:rPr>
      <w:rFonts w:ascii="Arial Unicode MS" w:hAnsi="Arial Unicode MS" w:eastAsia="Arial Unicode MS"/>
      <w:color w:val="000000"/>
      <w:kern w:val="0"/>
      <w:sz w:val="24"/>
      <w:szCs w:val="20"/>
    </w:rPr>
  </w:style>
  <w:style w:type="paragraph" w:customStyle="1" w:styleId="219">
    <w:name w:val="正文须知-1级"/>
    <w:basedOn w:val="1"/>
    <w:next w:val="1"/>
    <w:qFormat/>
    <w:uiPriority w:val="0"/>
    <w:pPr>
      <w:numPr>
        <w:ilvl w:val="0"/>
        <w:numId w:val="7"/>
      </w:numPr>
      <w:adjustRightInd w:val="0"/>
      <w:snapToGrid w:val="0"/>
      <w:spacing w:line="300" w:lineRule="auto"/>
    </w:pPr>
    <w:rPr>
      <w:rFonts w:ascii="宋体" w:hAnsi="Calibri"/>
      <w:sz w:val="24"/>
      <w:szCs w:val="21"/>
    </w:rPr>
  </w:style>
  <w:style w:type="paragraph" w:customStyle="1" w:styleId="220">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221">
    <w:name w:val="xl5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Arial Unicode MS" w:hAnsi="Arial Unicode MS" w:eastAsia="Arial Unicode MS" w:cs="Arial Unicode MS"/>
      <w:b/>
      <w:bCs/>
      <w:color w:val="000000"/>
      <w:kern w:val="0"/>
      <w:sz w:val="20"/>
      <w:szCs w:val="20"/>
    </w:rPr>
  </w:style>
  <w:style w:type="paragraph" w:customStyle="1" w:styleId="222">
    <w:name w:val="字元 字元1"/>
    <w:basedOn w:val="1"/>
    <w:qFormat/>
    <w:uiPriority w:val="0"/>
    <w:rPr>
      <w:rFonts w:ascii="Tahoma" w:hAnsi="Tahoma"/>
      <w:sz w:val="24"/>
      <w:szCs w:val="20"/>
    </w:rPr>
  </w:style>
  <w:style w:type="paragraph" w:customStyle="1" w:styleId="223">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eastAsia="Arial Unicode MS" w:cs="Arial Unicode MS"/>
      <w:b/>
      <w:bCs/>
      <w:color w:val="000000"/>
      <w:kern w:val="0"/>
      <w:sz w:val="20"/>
      <w:szCs w:val="20"/>
    </w:rPr>
  </w:style>
  <w:style w:type="paragraph" w:styleId="22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5">
    <w:name w:val="xl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0"/>
      <w:szCs w:val="20"/>
    </w:rPr>
  </w:style>
  <w:style w:type="paragraph" w:customStyle="1" w:styleId="226">
    <w:name w:val="正文 + 楷体_GB2312"/>
    <w:basedOn w:val="1"/>
    <w:qFormat/>
    <w:uiPriority w:val="0"/>
    <w:pPr>
      <w:widowControl/>
      <w:jc w:val="left"/>
    </w:pPr>
    <w:rPr>
      <w:rFonts w:ascii="楷体_GB2312" w:eastAsia="楷体_GB2312" w:cs="Arial"/>
      <w:kern w:val="0"/>
      <w:sz w:val="24"/>
    </w:rPr>
  </w:style>
  <w:style w:type="paragraph" w:customStyle="1" w:styleId="227">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color w:val="FF6600"/>
      <w:kern w:val="0"/>
      <w:sz w:val="20"/>
      <w:szCs w:val="20"/>
    </w:rPr>
  </w:style>
  <w:style w:type="paragraph" w:customStyle="1" w:styleId="228">
    <w:name w:val="1 Char Char Char Char"/>
    <w:basedOn w:val="1"/>
    <w:qFormat/>
    <w:uiPriority w:val="0"/>
    <w:rPr>
      <w:rFonts w:ascii="Tahoma" w:hAnsi="Tahoma"/>
      <w:sz w:val="24"/>
      <w:szCs w:val="20"/>
    </w:rPr>
  </w:style>
  <w:style w:type="paragraph" w:customStyle="1" w:styleId="229">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customStyle="1" w:styleId="230">
    <w:name w:val="_Style 160"/>
    <w:qFormat/>
    <w:uiPriority w:val="0"/>
    <w:rPr>
      <w:rFonts w:ascii="Times New Roman" w:hAnsi="Times New Roman" w:eastAsia="宋体" w:cs="Times New Roman"/>
      <w:kern w:val="2"/>
      <w:sz w:val="21"/>
      <w:szCs w:val="24"/>
      <w:lang w:val="en-US" w:eastAsia="zh-CN" w:bidi="ar-SA"/>
    </w:rPr>
  </w:style>
  <w:style w:type="paragraph" w:customStyle="1" w:styleId="231">
    <w:name w:val="列出段落1"/>
    <w:basedOn w:val="1"/>
    <w:qFormat/>
    <w:uiPriority w:val="0"/>
    <w:pPr>
      <w:ind w:firstLine="420" w:firstLineChars="200"/>
    </w:pPr>
    <w:rPr>
      <w:rFonts w:ascii="Calibri" w:hAnsi="Calibri"/>
      <w:szCs w:val="22"/>
    </w:rPr>
  </w:style>
  <w:style w:type="paragraph" w:customStyle="1" w:styleId="232">
    <w:name w:val="default"/>
    <w:basedOn w:val="1"/>
    <w:qFormat/>
    <w:uiPriority w:val="0"/>
    <w:pPr>
      <w:widowControl/>
      <w:spacing w:before="100" w:beforeAutospacing="1" w:after="100" w:afterAutospacing="1"/>
      <w:jc w:val="left"/>
    </w:pPr>
    <w:rPr>
      <w:rFonts w:ascii="宋体" w:hAnsi="宋体" w:cs="宋体"/>
      <w:kern w:val="0"/>
      <w:sz w:val="24"/>
    </w:rPr>
  </w:style>
  <w:style w:type="paragraph" w:customStyle="1" w:styleId="233">
    <w:name w:val="Char Char1 Char Char 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234">
    <w:name w:val="Char21"/>
    <w:basedOn w:val="1"/>
    <w:qFormat/>
    <w:uiPriority w:val="0"/>
    <w:rPr>
      <w:rFonts w:ascii="Tahoma" w:hAnsi="Tahoma"/>
      <w:sz w:val="24"/>
      <w:szCs w:val="20"/>
    </w:rPr>
  </w:style>
  <w:style w:type="paragraph" w:customStyle="1" w:styleId="235">
    <w:name w:val="正文文本样式 加粗"/>
    <w:basedOn w:val="138"/>
    <w:qFormat/>
    <w:uiPriority w:val="0"/>
    <w:rPr>
      <w:b/>
    </w:rPr>
  </w:style>
  <w:style w:type="paragraph" w:customStyle="1" w:styleId="236">
    <w:name w:val="表格文字"/>
    <w:basedOn w:val="18"/>
    <w:qFormat/>
    <w:uiPriority w:val="0"/>
    <w:pPr>
      <w:spacing w:before="20" w:after="20" w:line="240" w:lineRule="auto"/>
      <w:ind w:firstLine="0"/>
    </w:pPr>
    <w:rPr>
      <w:rFonts w:ascii="Century Gothic" w:hAnsi="Century Gothic"/>
      <w:sz w:val="20"/>
      <w:szCs w:val="20"/>
    </w:rPr>
  </w:style>
  <w:style w:type="paragraph" w:customStyle="1" w:styleId="237">
    <w:name w:val="Char Char Char Char Char Char Char Char Char Char1"/>
    <w:basedOn w:val="1"/>
    <w:qFormat/>
    <w:uiPriority w:val="0"/>
    <w:rPr>
      <w:rFonts w:ascii="宋体" w:hAnsi="宋体" w:cs="Courier New"/>
      <w:sz w:val="32"/>
      <w:szCs w:val="32"/>
    </w:rPr>
  </w:style>
  <w:style w:type="paragraph" w:customStyle="1" w:styleId="238">
    <w:name w:val="Char2 Char Char Char Char Char Char"/>
    <w:basedOn w:val="1"/>
    <w:qFormat/>
    <w:uiPriority w:val="0"/>
    <w:pPr>
      <w:widowControl/>
      <w:spacing w:line="400" w:lineRule="exact"/>
      <w:jc w:val="center"/>
    </w:pPr>
  </w:style>
  <w:style w:type="paragraph" w:customStyle="1" w:styleId="239">
    <w:name w:val="Char3 Char Char Char1"/>
    <w:basedOn w:val="1"/>
    <w:qFormat/>
    <w:uiPriority w:val="0"/>
    <w:rPr>
      <w:rFonts w:ascii="Tahoma" w:hAnsi="Tahoma"/>
      <w:sz w:val="24"/>
      <w:szCs w:val="20"/>
    </w:rPr>
  </w:style>
  <w:style w:type="paragraph" w:customStyle="1" w:styleId="240">
    <w:name w:val="22222222222222"/>
    <w:basedOn w:val="1"/>
    <w:qFormat/>
    <w:uiPriority w:val="0"/>
    <w:pPr>
      <w:widowControl/>
      <w:adjustRightInd w:val="0"/>
      <w:spacing w:line="360" w:lineRule="auto"/>
      <w:ind w:firstLine="480" w:firstLineChars="200"/>
      <w:jc w:val="left"/>
    </w:pPr>
    <w:rPr>
      <w:color w:val="FF0000"/>
      <w:kern w:val="0"/>
      <w:sz w:val="24"/>
      <w:szCs w:val="20"/>
    </w:rPr>
  </w:style>
  <w:style w:type="paragraph" w:customStyle="1" w:styleId="241">
    <w:name w:val="AbsatzTableFormat"/>
    <w:basedOn w:val="1"/>
    <w:qFormat/>
    <w:uiPriority w:val="0"/>
    <w:pPr>
      <w:widowControl/>
      <w:jc w:val="left"/>
    </w:pPr>
    <w:rPr>
      <w:bCs/>
      <w:kern w:val="0"/>
      <w:sz w:val="22"/>
      <w:szCs w:val="20"/>
      <w:lang w:val="pt-BR" w:eastAsia="en-US"/>
    </w:rPr>
  </w:style>
  <w:style w:type="paragraph" w:customStyle="1" w:styleId="242">
    <w:name w:val="xl23"/>
    <w:basedOn w:val="1"/>
    <w:qFormat/>
    <w:uiPriority w:val="0"/>
    <w:pPr>
      <w:widowControl/>
      <w:spacing w:before="100" w:beforeAutospacing="1" w:after="100" w:afterAutospacing="1" w:line="360" w:lineRule="auto"/>
      <w:textAlignment w:val="top"/>
    </w:pPr>
    <w:rPr>
      <w:kern w:val="0"/>
      <w:sz w:val="24"/>
      <w:szCs w:val="20"/>
    </w:rPr>
  </w:style>
  <w:style w:type="paragraph" w:customStyle="1" w:styleId="243">
    <w:name w:val="标题1-附件"/>
    <w:basedOn w:val="3"/>
    <w:qFormat/>
    <w:uiPriority w:val="0"/>
    <w:pPr>
      <w:jc w:val="left"/>
    </w:pPr>
    <w:rPr>
      <w:sz w:val="24"/>
      <w:szCs w:val="24"/>
    </w:rPr>
  </w:style>
  <w:style w:type="paragraph" w:customStyle="1" w:styleId="244">
    <w:name w:val="正文须知-2级"/>
    <w:basedOn w:val="1"/>
    <w:qFormat/>
    <w:uiPriority w:val="0"/>
    <w:pPr>
      <w:numPr>
        <w:ilvl w:val="1"/>
        <w:numId w:val="7"/>
      </w:numPr>
      <w:adjustRightInd w:val="0"/>
      <w:snapToGrid w:val="0"/>
      <w:spacing w:line="300" w:lineRule="auto"/>
    </w:pPr>
    <w:rPr>
      <w:rFonts w:ascii="宋体" w:hAnsi="Calibri"/>
      <w:sz w:val="24"/>
      <w:szCs w:val="21"/>
    </w:rPr>
  </w:style>
  <w:style w:type="paragraph" w:customStyle="1" w:styleId="245">
    <w:name w:val="正文须知-3级"/>
    <w:basedOn w:val="1"/>
    <w:qFormat/>
    <w:uiPriority w:val="0"/>
    <w:pPr>
      <w:adjustRightInd w:val="0"/>
      <w:snapToGrid w:val="0"/>
      <w:spacing w:line="300" w:lineRule="auto"/>
      <w:ind w:left="851" w:hanging="355" w:hangingChars="355"/>
    </w:pPr>
    <w:rPr>
      <w:rFonts w:ascii="宋体" w:hAnsi="Calibri"/>
      <w:sz w:val="24"/>
      <w:szCs w:val="21"/>
    </w:rPr>
  </w:style>
  <w:style w:type="paragraph" w:customStyle="1" w:styleId="246">
    <w:name w:val="表格1"/>
    <w:basedOn w:val="1"/>
    <w:qFormat/>
    <w:uiPriority w:val="0"/>
    <w:pPr>
      <w:ind w:firstLine="480" w:firstLineChars="200"/>
      <w:jc w:val="center"/>
    </w:pPr>
    <w:rPr>
      <w:sz w:val="24"/>
      <w:szCs w:val="20"/>
    </w:rPr>
  </w:style>
  <w:style w:type="paragraph" w:customStyle="1" w:styleId="247">
    <w:name w:val="无标题条"/>
    <w:next w:val="1"/>
    <w:qFormat/>
    <w:uiPriority w:val="0"/>
    <w:pPr>
      <w:jc w:val="both"/>
    </w:pPr>
    <w:rPr>
      <w:rFonts w:ascii="Times New Roman" w:hAnsi="Times New Roman" w:eastAsia="宋体" w:cs="Times New Roman"/>
      <w:sz w:val="21"/>
      <w:lang w:val="en-US" w:eastAsia="zh-CN" w:bidi="ar-SA"/>
    </w:rPr>
  </w:style>
  <w:style w:type="paragraph" w:customStyle="1" w:styleId="248">
    <w:name w:val="字元 字元2"/>
    <w:basedOn w:val="1"/>
    <w:qFormat/>
    <w:uiPriority w:val="0"/>
    <w:rPr>
      <w:rFonts w:ascii="Tahoma" w:hAnsi="Tahoma"/>
      <w:sz w:val="24"/>
      <w:szCs w:val="20"/>
    </w:rPr>
  </w:style>
  <w:style w:type="paragraph" w:customStyle="1" w:styleId="249">
    <w:name w:val="Char3 Char Char Char2"/>
    <w:basedOn w:val="1"/>
    <w:qFormat/>
    <w:uiPriority w:val="0"/>
    <w:rPr>
      <w:rFonts w:ascii="Tahoma" w:hAnsi="Tahoma"/>
      <w:sz w:val="24"/>
      <w:szCs w:val="20"/>
    </w:rPr>
  </w:style>
  <w:style w:type="paragraph" w:customStyle="1" w:styleId="250">
    <w:name w:val="正文文本缩进2"/>
    <w:basedOn w:val="1"/>
    <w:qFormat/>
    <w:uiPriority w:val="0"/>
    <w:pPr>
      <w:spacing w:line="480" w:lineRule="exact"/>
      <w:ind w:firstLine="480" w:firstLineChars="200"/>
    </w:pPr>
    <w:rPr>
      <w:rFonts w:ascii="宋体" w:hAnsi="宋体"/>
      <w:kern w:val="0"/>
      <w:sz w:val="24"/>
      <w:lang w:val="zh-CN"/>
    </w:rPr>
  </w:style>
  <w:style w:type="paragraph" w:customStyle="1" w:styleId="251">
    <w:name w:val="Char3"/>
    <w:basedOn w:val="1"/>
    <w:qFormat/>
    <w:uiPriority w:val="0"/>
    <w:pPr>
      <w:tabs>
        <w:tab w:val="left" w:pos="360"/>
      </w:tabs>
    </w:pPr>
    <w:rPr>
      <w:sz w:val="24"/>
    </w:rPr>
  </w:style>
  <w:style w:type="paragraph" w:customStyle="1" w:styleId="252">
    <w:name w:val="列出段落2"/>
    <w:basedOn w:val="1"/>
    <w:qFormat/>
    <w:uiPriority w:val="0"/>
    <w:pPr>
      <w:ind w:firstLine="420" w:firstLineChars="200"/>
    </w:pPr>
    <w:rPr>
      <w:rFonts w:ascii="Calibri" w:hAnsi="Calibri"/>
      <w:szCs w:val="22"/>
    </w:rPr>
  </w:style>
  <w:style w:type="paragraph" w:customStyle="1" w:styleId="253">
    <w:name w:val="正文缩进2"/>
    <w:basedOn w:val="1"/>
    <w:qFormat/>
    <w:uiPriority w:val="0"/>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254">
    <w:name w:val="Char2 Char Char Char Char Char Char1"/>
    <w:basedOn w:val="1"/>
    <w:qFormat/>
    <w:uiPriority w:val="0"/>
    <w:pPr>
      <w:widowControl/>
      <w:spacing w:line="400" w:lineRule="exact"/>
      <w:jc w:val="center"/>
    </w:pPr>
  </w:style>
  <w:style w:type="paragraph" w:customStyle="1" w:styleId="255">
    <w:name w:val="Char Char41"/>
    <w:basedOn w:val="1"/>
    <w:qFormat/>
    <w:uiPriority w:val="0"/>
    <w:pPr>
      <w:widowControl/>
      <w:spacing w:line="400" w:lineRule="exact"/>
      <w:jc w:val="center"/>
    </w:pPr>
  </w:style>
  <w:style w:type="paragraph" w:customStyle="1" w:styleId="256">
    <w:name w:val="TOC 11"/>
    <w:basedOn w:val="1"/>
    <w:next w:val="1"/>
    <w:semiHidden/>
    <w:qFormat/>
    <w:uiPriority w:val="0"/>
    <w:pPr>
      <w:adjustRightInd w:val="0"/>
      <w:spacing w:before="120" w:after="120" w:line="312" w:lineRule="atLeast"/>
      <w:jc w:val="left"/>
      <w:textAlignment w:val="baseline"/>
    </w:pPr>
    <w:rPr>
      <w:b/>
      <w:caps/>
      <w:kern w:val="0"/>
      <w:szCs w:val="20"/>
    </w:rPr>
  </w:style>
  <w:style w:type="paragraph" w:customStyle="1" w:styleId="257">
    <w:name w:val="图例"/>
    <w:basedOn w:val="1"/>
    <w:qFormat/>
    <w:uiPriority w:val="0"/>
    <w:pPr>
      <w:spacing w:before="120" w:after="120" w:line="360" w:lineRule="auto"/>
      <w:jc w:val="center"/>
    </w:pPr>
    <w:rPr>
      <w:rFonts w:eastAsia="仿宋_GB2312"/>
      <w:b/>
      <w:sz w:val="24"/>
      <w:szCs w:val="20"/>
    </w:rPr>
  </w:style>
  <w:style w:type="paragraph" w:customStyle="1" w:styleId="258">
    <w:name w:val="Table Paragraph"/>
    <w:basedOn w:val="1"/>
    <w:qFormat/>
    <w:uiPriority w:val="1"/>
    <w:pPr>
      <w:autoSpaceDE w:val="0"/>
      <w:autoSpaceDN w:val="0"/>
      <w:jc w:val="left"/>
    </w:pPr>
    <w:rPr>
      <w:rFonts w:ascii="宋体" w:hAnsi="宋体" w:cs="宋体"/>
      <w:kern w:val="0"/>
      <w:sz w:val="22"/>
      <w:szCs w:val="22"/>
      <w:lang w:eastAsia="en-US"/>
    </w:rPr>
  </w:style>
  <w:style w:type="paragraph" w:customStyle="1" w:styleId="259">
    <w:name w:val="修订2"/>
    <w:semiHidden/>
    <w:qFormat/>
    <w:uiPriority w:val="99"/>
    <w:rPr>
      <w:rFonts w:ascii="Times New Roman" w:hAnsi="Times New Roman" w:eastAsia="宋体" w:cs="Times New Roman"/>
      <w:kern w:val="2"/>
      <w:sz w:val="21"/>
      <w:lang w:val="en-US" w:eastAsia="zh-CN" w:bidi="ar-SA"/>
    </w:rPr>
  </w:style>
  <w:style w:type="paragraph" w:customStyle="1" w:styleId="260">
    <w:name w:val="Balloon Text1"/>
    <w:basedOn w:val="1"/>
    <w:semiHidden/>
    <w:qFormat/>
    <w:uiPriority w:val="0"/>
    <w:rPr>
      <w:sz w:val="18"/>
      <w:szCs w:val="18"/>
    </w:rPr>
  </w:style>
  <w:style w:type="paragraph" w:customStyle="1" w:styleId="261">
    <w:name w:val="Char1 Char Char"/>
    <w:basedOn w:val="1"/>
    <w:qFormat/>
    <w:uiPriority w:val="0"/>
    <w:pPr>
      <w:adjustRightInd w:val="0"/>
      <w:spacing w:line="360" w:lineRule="auto"/>
    </w:pPr>
    <w:rPr>
      <w:kern w:val="0"/>
      <w:sz w:val="24"/>
      <w:szCs w:val="20"/>
    </w:rPr>
  </w:style>
  <w:style w:type="paragraph" w:customStyle="1" w:styleId="262">
    <w:name w:val="批注框文本 Char Char"/>
    <w:basedOn w:val="1"/>
    <w:qFormat/>
    <w:uiPriority w:val="0"/>
    <w:rPr>
      <w:sz w:val="18"/>
      <w:szCs w:val="20"/>
    </w:rPr>
  </w:style>
  <w:style w:type="paragraph" w:customStyle="1" w:styleId="263">
    <w:name w:val="BodyTextIndent"/>
    <w:basedOn w:val="1"/>
    <w:qFormat/>
    <w:uiPriority w:val="0"/>
    <w:pPr>
      <w:widowControl/>
      <w:spacing w:line="480" w:lineRule="atLeast"/>
      <w:ind w:firstLine="540"/>
      <w:textAlignment w:val="baseline"/>
    </w:pPr>
    <w:rPr>
      <w:kern w:val="0"/>
      <w:sz w:val="28"/>
      <w:szCs w:val="20"/>
    </w:rPr>
  </w:style>
  <w:style w:type="table" w:customStyle="1" w:styleId="264">
    <w:name w:val="Table Normal"/>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character" w:customStyle="1" w:styleId="265">
    <w:name w:val="纯文本 字符2"/>
    <w:qFormat/>
    <w:uiPriority w:val="0"/>
    <w:rPr>
      <w:rFonts w:ascii="宋体" w:hAnsi="Courier New"/>
      <w:kern w:val="2"/>
      <w:sz w:val="21"/>
    </w:rPr>
  </w:style>
  <w:style w:type="paragraph" w:customStyle="1" w:styleId="266">
    <w:name w:val="索引 11"/>
    <w:basedOn w:val="1"/>
    <w:next w:val="1"/>
    <w:qFormat/>
    <w:uiPriority w:val="0"/>
    <w:pPr>
      <w:widowControl/>
      <w:jc w:val="left"/>
    </w:pPr>
    <w:rPr>
      <w:rFonts w:ascii="Calibri" w:hAnsi="Calibri"/>
      <w:kern w:val="0"/>
      <w:sz w:val="24"/>
      <w:szCs w:val="20"/>
    </w:rPr>
  </w:style>
  <w:style w:type="paragraph" w:customStyle="1" w:styleId="267">
    <w:name w:val="xl9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68">
    <w:name w:val="xl93"/>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69">
    <w:name w:val="xl94"/>
    <w:basedOn w:val="1"/>
    <w:qFormat/>
    <w:uiPriority w:val="0"/>
    <w:pPr>
      <w:widowControl/>
      <w:spacing w:before="100" w:beforeAutospacing="1" w:after="100" w:afterAutospacing="1"/>
      <w:jc w:val="center"/>
    </w:pPr>
    <w:rPr>
      <w:rFonts w:ascii="宋体" w:hAnsi="宋体" w:cs="宋体"/>
      <w:color w:val="000000"/>
      <w:kern w:val="0"/>
      <w:sz w:val="20"/>
      <w:szCs w:val="20"/>
    </w:rPr>
  </w:style>
  <w:style w:type="paragraph" w:customStyle="1" w:styleId="270">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1">
    <w:name w:val="xl96"/>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72">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4">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75">
    <w:name w:val="xl10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7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7">
    <w:name w:val="xl102"/>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8">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79">
    <w:name w:val="xl10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8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81">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282">
    <w:name w:val="font10"/>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283">
    <w:name w:val="font11"/>
    <w:basedOn w:val="1"/>
    <w:qFormat/>
    <w:uiPriority w:val="0"/>
    <w:pPr>
      <w:widowControl/>
      <w:spacing w:before="100" w:beforeAutospacing="1" w:after="100" w:afterAutospacing="1"/>
      <w:jc w:val="left"/>
    </w:pPr>
    <w:rPr>
      <w:rFonts w:ascii="宋体" w:hAnsi="宋体" w:cs="宋体"/>
      <w:b/>
      <w:bCs/>
      <w:kern w:val="0"/>
      <w:sz w:val="20"/>
      <w:szCs w:val="20"/>
    </w:rPr>
  </w:style>
  <w:style w:type="paragraph" w:customStyle="1" w:styleId="284">
    <w:name w:val="font12"/>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5">
    <w:name w:val="font13"/>
    <w:basedOn w:val="1"/>
    <w:qFormat/>
    <w:uiPriority w:val="0"/>
    <w:pPr>
      <w:widowControl/>
      <w:spacing w:before="100" w:beforeAutospacing="1" w:after="100" w:afterAutospacing="1"/>
      <w:jc w:val="left"/>
    </w:pPr>
    <w:rPr>
      <w:rFonts w:ascii="宋体" w:hAnsi="宋体" w:cs="宋体"/>
      <w:b/>
      <w:bCs/>
      <w:color w:val="FF0000"/>
      <w:kern w:val="0"/>
      <w:sz w:val="20"/>
      <w:szCs w:val="20"/>
    </w:rPr>
  </w:style>
  <w:style w:type="paragraph" w:customStyle="1" w:styleId="286">
    <w:name w:val="xl107"/>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7">
    <w:name w:val="xl108"/>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88">
    <w:name w:val="xl109"/>
    <w:basedOn w:val="1"/>
    <w:qFormat/>
    <w:uiPriority w:val="0"/>
    <w:pPr>
      <w:widowControl/>
      <w:pBdr>
        <w:top w:val="single" w:color="auto" w:sz="4" w:space="0"/>
        <w:left w:val="single" w:color="auto" w:sz="4" w:space="0"/>
        <w:bottom w:val="single" w:color="auto" w:sz="4" w:space="0"/>
        <w:right w:val="single" w:color="auto" w:sz="4" w:space="0"/>
      </w:pBdr>
      <w:shd w:val="clear" w:color="auto" w:fill="FF0000"/>
      <w:spacing w:before="100" w:beforeAutospacing="1" w:after="100" w:afterAutospacing="1"/>
      <w:jc w:val="left"/>
    </w:pPr>
    <w:rPr>
      <w:rFonts w:ascii="宋体" w:hAnsi="宋体" w:cs="宋体"/>
      <w:b/>
      <w:bCs/>
      <w:color w:val="000000"/>
      <w:kern w:val="0"/>
      <w:sz w:val="20"/>
      <w:szCs w:val="20"/>
    </w:rPr>
  </w:style>
  <w:style w:type="paragraph" w:customStyle="1" w:styleId="289">
    <w:name w:val="xl11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000000"/>
      <w:kern w:val="0"/>
      <w:sz w:val="20"/>
      <w:szCs w:val="20"/>
    </w:rPr>
  </w:style>
  <w:style w:type="paragraph" w:customStyle="1" w:styleId="290">
    <w:name w:val="xl111"/>
    <w:basedOn w:val="1"/>
    <w:qFormat/>
    <w:uiPriority w:val="0"/>
    <w:pPr>
      <w:widowControl/>
      <w:spacing w:before="100" w:beforeAutospacing="1" w:after="100" w:afterAutospacing="1"/>
      <w:jc w:val="left"/>
    </w:pPr>
    <w:rPr>
      <w:rFonts w:ascii="宋体" w:hAnsi="宋体" w:cs="宋体"/>
      <w:color w:val="000000"/>
      <w:kern w:val="0"/>
      <w:sz w:val="20"/>
      <w:szCs w:val="20"/>
    </w:rPr>
  </w:style>
  <w:style w:type="paragraph" w:customStyle="1" w:styleId="291">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292">
    <w:name w:val="xl11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color w:val="000000"/>
      <w:kern w:val="0"/>
      <w:sz w:val="20"/>
      <w:szCs w:val="20"/>
    </w:rPr>
  </w:style>
  <w:style w:type="paragraph" w:customStyle="1" w:styleId="293">
    <w:name w:val="xl11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color w:val="000000"/>
      <w:kern w:val="0"/>
      <w:sz w:val="20"/>
      <w:szCs w:val="20"/>
    </w:rPr>
  </w:style>
  <w:style w:type="paragraph" w:customStyle="1" w:styleId="29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5">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6">
    <w:name w:val="xl117"/>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center"/>
    </w:pPr>
    <w:rPr>
      <w:rFonts w:ascii="宋体" w:hAnsi="宋体" w:cs="宋体"/>
      <w:color w:val="000000"/>
      <w:kern w:val="0"/>
      <w:sz w:val="20"/>
      <w:szCs w:val="20"/>
    </w:rPr>
  </w:style>
  <w:style w:type="paragraph" w:customStyle="1" w:styleId="297">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298">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FF0000"/>
      <w:kern w:val="0"/>
      <w:sz w:val="20"/>
      <w:szCs w:val="20"/>
    </w:rPr>
  </w:style>
  <w:style w:type="paragraph" w:customStyle="1" w:styleId="299">
    <w:name w:val="xl1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color w:val="000000"/>
      <w:kern w:val="0"/>
      <w:sz w:val="20"/>
      <w:szCs w:val="20"/>
    </w:rPr>
  </w:style>
  <w:style w:type="paragraph" w:customStyle="1" w:styleId="300">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1">
    <w:name w:val="xl122"/>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302">
    <w:name w:val="xl123"/>
    <w:basedOn w:val="1"/>
    <w:qFormat/>
    <w:uiPriority w:val="0"/>
    <w:pPr>
      <w:widowControl/>
      <w:pBdr>
        <w:top w:val="single" w:color="auto" w:sz="4" w:space="0"/>
        <w:left w:val="single" w:color="auto" w:sz="4" w:space="0"/>
        <w:bottom w:val="single" w:color="auto" w:sz="4" w:space="0"/>
        <w:right w:val="single" w:color="auto" w:sz="4" w:space="0"/>
      </w:pBdr>
      <w:shd w:val="clear" w:color="auto" w:fill="FFFF00"/>
      <w:spacing w:before="100" w:beforeAutospacing="1" w:after="100" w:afterAutospacing="1"/>
      <w:jc w:val="left"/>
    </w:pPr>
    <w:rPr>
      <w:rFonts w:ascii="宋体" w:hAnsi="宋体" w:cs="宋体"/>
      <w:color w:val="000000"/>
      <w:kern w:val="0"/>
      <w:sz w:val="20"/>
      <w:szCs w:val="20"/>
    </w:rPr>
  </w:style>
  <w:style w:type="paragraph" w:customStyle="1" w:styleId="303">
    <w:name w:val="xl124"/>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4">
    <w:name w:val="xl125"/>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05">
    <w:name w:val="xl1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6">
    <w:name w:val="xl1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307">
    <w:name w:val="xl1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8">
    <w:name w:val="xl12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09">
    <w:name w:val="xl130"/>
    <w:basedOn w:val="1"/>
    <w:qFormat/>
    <w:uiPriority w:val="0"/>
    <w:pPr>
      <w:widowControl/>
      <w:pBdr>
        <w:top w:val="single" w:color="auto" w:sz="4" w:space="0"/>
        <w:left w:val="single" w:color="auto" w:sz="4" w:space="0"/>
        <w:bottom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0">
    <w:name w:val="xl131"/>
    <w:basedOn w:val="1"/>
    <w:qFormat/>
    <w:uiPriority w:val="0"/>
    <w:pPr>
      <w:widowControl/>
      <w:pBdr>
        <w:top w:val="single" w:color="auto" w:sz="4" w:space="0"/>
        <w:bottom w:val="single" w:color="auto" w:sz="4" w:space="0"/>
        <w:right w:val="single" w:color="auto" w:sz="4" w:space="0"/>
      </w:pBdr>
      <w:shd w:val="clear" w:color="auto" w:fill="FF0000"/>
      <w:spacing w:before="100" w:beforeAutospacing="1" w:after="100" w:afterAutospacing="1"/>
      <w:jc w:val="center"/>
    </w:pPr>
    <w:rPr>
      <w:rFonts w:ascii="宋体" w:hAnsi="宋体" w:cs="宋体"/>
      <w:b/>
      <w:bCs/>
      <w:color w:val="000000"/>
      <w:kern w:val="0"/>
      <w:sz w:val="20"/>
      <w:szCs w:val="20"/>
    </w:rPr>
  </w:style>
  <w:style w:type="paragraph" w:customStyle="1" w:styleId="311">
    <w:name w:val="xl1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2">
    <w:name w:val="xl1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313">
    <w:name w:val="xl1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4">
    <w:name w:val="xl1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0"/>
      <w:szCs w:val="20"/>
    </w:rPr>
  </w:style>
  <w:style w:type="paragraph" w:customStyle="1" w:styleId="315">
    <w:name w:val="xl136"/>
    <w:basedOn w:val="1"/>
    <w:qFormat/>
    <w:uiPriority w:val="0"/>
    <w:pPr>
      <w:widowControl/>
      <w:pBdr>
        <w:top w:val="single" w:color="auto" w:sz="4" w:space="0"/>
        <w:left w:val="single" w:color="auto" w:sz="4" w:space="0"/>
        <w:bottom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paragraph" w:customStyle="1" w:styleId="316">
    <w:name w:val="xl137"/>
    <w:basedOn w:val="1"/>
    <w:qFormat/>
    <w:uiPriority w:val="0"/>
    <w:pPr>
      <w:widowControl/>
      <w:pBdr>
        <w:top w:val="single" w:color="auto" w:sz="4" w:space="0"/>
        <w:bottom w:val="single" w:color="auto" w:sz="4" w:space="0"/>
        <w:right w:val="single" w:color="auto" w:sz="4" w:space="0"/>
      </w:pBdr>
      <w:shd w:val="clear" w:color="auto" w:fill="FFFFFF"/>
      <w:spacing w:before="100" w:beforeAutospacing="1" w:after="100" w:afterAutospacing="1"/>
      <w:jc w:val="left"/>
    </w:pPr>
    <w:rPr>
      <w:rFonts w:ascii="宋体" w:hAnsi="宋体" w:cs="宋体"/>
      <w:b/>
      <w:bCs/>
      <w:kern w:val="0"/>
      <w:sz w:val="20"/>
      <w:szCs w:val="20"/>
    </w:rPr>
  </w:style>
  <w:style w:type="character" w:customStyle="1" w:styleId="317">
    <w:name w:val="标题 Char2"/>
    <w:basedOn w:val="48"/>
    <w:qFormat/>
    <w:uiPriority w:val="10"/>
    <w:rPr>
      <w:rFonts w:hint="default" w:asciiTheme="majorHAnsi" w:hAnsiTheme="majorHAnsi" w:cstheme="majorBidi"/>
      <w:b/>
      <w:bCs/>
      <w:kern w:val="2"/>
      <w:sz w:val="32"/>
      <w:szCs w:val="32"/>
    </w:rPr>
  </w:style>
  <w:style w:type="character" w:customStyle="1" w:styleId="318">
    <w:name w:val="页码1"/>
    <w:qFormat/>
    <w:uiPriority w:val="0"/>
  </w:style>
  <w:style w:type="character" w:customStyle="1" w:styleId="319">
    <w:name w:val="cf01"/>
    <w:basedOn w:val="48"/>
    <w:qFormat/>
    <w:uiPriority w:val="0"/>
    <w:rPr>
      <w:rFonts w:hint="eastAsia" w:ascii="Microsoft YaHei UI" w:hAnsi="Microsoft YaHei UI" w:eastAsia="Microsoft YaHei UI"/>
      <w:b/>
      <w:bCs/>
      <w:sz w:val="18"/>
      <w:szCs w:val="18"/>
      <w:u w:val="single"/>
    </w:rPr>
  </w:style>
  <w:style w:type="character" w:customStyle="1" w:styleId="320">
    <w:name w:val="正文首行缩进 Char"/>
    <w:link w:val="43"/>
    <w:qFormat/>
    <w:uiPriority w:val="0"/>
    <w:rPr>
      <w:kern w:val="2"/>
      <w:sz w:val="21"/>
      <w:szCs w:val="24"/>
    </w:rPr>
  </w:style>
  <w:style w:type="paragraph" w:customStyle="1" w:styleId="321">
    <w:name w:val="样式1"/>
    <w:basedOn w:val="1"/>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E4CE56-0B0B-46C0-92FF-B501C8B48C96}">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69</Pages>
  <Words>29519</Words>
  <Characters>31539</Characters>
  <Lines>246</Lines>
  <Paragraphs>69</Paragraphs>
  <TotalTime>0</TotalTime>
  <ScaleCrop>false</ScaleCrop>
  <LinksUpToDate>false</LinksUpToDate>
  <CharactersWithSpaces>32716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2022-06-21T02:58:00Z</dcterms:created>
  <dc:creator>尹皓</dc:creator>
  <cp:lastModifiedBy>MR.韓</cp:lastModifiedBy>
  <cp:lastPrinted>2020-04-02T03:13:00Z</cp:lastPrinted>
  <dcterms:modified xsi:type="dcterms:W3CDTF">2023-12-12T09:15:33Z</dcterms:modified>
  <dc:title>02年杜范本稿</dc:title>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DC16D8C2780A464A98323DBAC525C01E</vt:lpwstr>
  </property>
</Properties>
</file>