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2024年11月博兴街道执法队行政执法检查结果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535"/>
        <w:gridCol w:w="1635"/>
        <w:gridCol w:w="1275"/>
        <w:gridCol w:w="962"/>
        <w:gridCol w:w="21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2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（个人隐去真实姓名）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检查结论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检查单编号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</w:t>
            </w:r>
            <w:bookmarkStart w:id="0" w:name="_GoBack"/>
            <w:bookmarkEnd w:id="0"/>
            <w:r>
              <w:rPr>
                <w:rFonts w:hint="default" w:eastAsia="Calibri"/>
                <w:color w:val="000000"/>
                <w:sz w:val="24"/>
                <w:szCs w:val="24"/>
              </w:rPr>
              <w:t>检查对象</w:t>
            </w:r>
          </w:p>
        </w:tc>
        <w:tc>
          <w:tcPr>
            <w:tcW w:w="577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2024-11-30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京开城管021检202410012462</w:t>
            </w:r>
          </w:p>
        </w:tc>
        <w:tc>
          <w:tcPr>
            <w:tcW w:w="681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街面环境秩序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2024-11-30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京开城管009检202410013329</w:t>
            </w:r>
          </w:p>
        </w:tc>
        <w:tc>
          <w:tcPr>
            <w:tcW w:w="681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京开城管021检202410012328</w:t>
            </w:r>
          </w:p>
        </w:tc>
        <w:tc>
          <w:tcPr>
            <w:tcW w:w="681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京开城管021检202410012215</w:t>
            </w:r>
          </w:p>
        </w:tc>
        <w:tc>
          <w:tcPr>
            <w:tcW w:w="681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京开城管021检202410012109</w:t>
            </w:r>
          </w:p>
        </w:tc>
        <w:tc>
          <w:tcPr>
            <w:tcW w:w="681" w:type="pct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京开城管021检202410012098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京开城管021检202410011916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京开城管021检202410011844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京开城管021检202410011740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京开城管021检202410011688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中铁电气化局集团北京建筑工程有限公司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2024-11-26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京开城管026检202410000156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此检查单为</w:t>
            </w:r>
            <w:r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第三方危害石油天然气管道</w:t>
            </w: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京开城管001检202410000368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京开城管021检202410011551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环卫设施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京开城管025检202410000181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此检查单为</w:t>
            </w:r>
            <w:r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第三方危害石油天然气管道</w:t>
            </w: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京开城管001检202410000220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此检查单为</w:t>
            </w:r>
            <w:r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第三方危害石油天然气管道</w:t>
            </w:r>
            <w:r>
              <w:rPr>
                <w:rFonts w:hint="eastAsia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京开城管001检202410000129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京开城管021检202410011407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京开城管021检202410011314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京开城管021检202410011295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京开城管021检202410011179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京开城管021检202410011038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京开城管021检202410010983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京开城管021检202410010893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京开城管021检202410010745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京开城管021检202410010621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京开城管021检202410010538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京开城管021检202410010462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北京千寻和美餐饮管理有限公司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京开城管010检202410012453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北京千寻和美餐饮管理有限公司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京开城管101检202410010966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亦城景园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京开城管010检202410012380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中铁北京工程局集团北京有限公司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京开城管018检202410011078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京开城管018检202410010957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上海宝冶集团有限公司北京建筑工程分公司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京开城管018检202410010847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京开城管018检202410010736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京开城管250检202410005019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2024-11-26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京开城管256检202410007329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牌匾标识（非现场）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2024-11-26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京开城管251检202410000411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京开城管253检202410012731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2024-11-26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京开城管255检202410006865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京开城管256检202410007241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京开城管253检202410012686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京开城管256检202410007169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京开城管021检202410010384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京开城管252检202410006197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京开城管253检202410012556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京开城管255检202410006752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京开城管253检202410012480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京开城管252检202410006060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京开城管021检202410010258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京开城管255检202410006646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京开城管256检202410007082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京开城管256检202410006968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京开城管255检202410006566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京开城管021检202410010166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京开城管253检202410012381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京开城管250检202410004956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京开城管252检202410005948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京开城管253检202410012285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京开城管021检202410010077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京开城管256检202410006853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京开城管255检202410006401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京开城管250检202410004835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京开城管250检202410004739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京开城管252检202410005854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京开城管021检202410009921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京开城管256检202410006796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京开城管255检202410006371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京开城管253检202410012183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京开城管253检202410012029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京开城管255检202410006288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京开城管256检202410006682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京开城管021检202410009870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京开城管252检202410005701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京开城管250检202410004684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中国建筑一局(集团)有限公司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京开城管018检202410010655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京开城管018检202410010520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中铁北京工程局集团北京有限公司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京开城管018检202410010437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中国建筑第四工程局有限公司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京开城管018检202410010307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北京中鼎优尚科技有限公司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京开城管010检202410012290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北京廿四湘餐饮有限公司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京开城管101检202410010845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北京玩家餐饮服务有限公司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2024-11-22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京开城管101检202410010765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京开城管253检202410011969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 10:02:00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京开城管253检202410011812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京开城管250检202410004598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京开城管253检202410011701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京开城管255检202410006157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京开城管256检202410006556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中国核工业中原建设有限公司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京开城管018检202410010242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中航建设集团有限公司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京开城管018检202410010164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北京城建八建设发展有限责任公司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京开城管018检202410010083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中铁电气化局集团北京建筑工程有限公司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2024-11-19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京开城管018检202410009951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北京亦庄城市服务集团股份有限公司楼宇物业服务分公司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京开城管010检202410012132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北京呼伦餐饮服务有限公司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京开城管101检202410010647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北京呼伦餐饮服务有限公司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京开城管010检202410012068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岩德物业管理（北京）有限公司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京开城管101检202410010592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岩德物业管理（北京）有限公司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京开城管010检202410011933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中国建筑第四工程局有限公司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京开城管018检202410009858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京开城管018检202410009781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中铁北京工程局集团北京有限公司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京开城管018检202410009614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中国建筑一局(集团)有限公司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京开城管018检202410009518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京开城管253检202410011645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京开城管256检202410006406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京开城管250检202410004447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京开城管255检202410006006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京开城管252检202410005608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京开城管021检202410009717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京开城管255检202410005975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京开城管253检202410011542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京开城管256检202410006391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京开城管252检202410005585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京开城管250检202410004330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京开城管021检202410009656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京开城管253检202410011442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京开城管250检202410004269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京开城管255检202410005877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京开城管252检202410005456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京开城管021检202410009579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京开城管256检202410006259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京开城管250检202410004134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京开城管253检202410011360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京开城管252检202410005375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京开城管021检202410009497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京开城管255检202410005749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京开城管256检202410006177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京开城管253检202410011250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京开城管255检202410005644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京开城管256检202410006077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京开城管250检202410004034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京开城管021检202410009310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京开城管252检202410005232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京开城管252检202410005112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京开城管255检202410005582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京开城管256检202410005937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京开城管253检202410011121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京开城管250检202410003971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京开城管021检202410009263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京开城管256检202410005872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京开城管253检202410011033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京开城管250检202410003801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京开城管021检202410009193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京开城管252检202410005093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京开城管255检202410005416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京开城管256检202410005793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京开城管253检202410010944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京开城管250检202410003704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京开城管255检202410005331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京开城管021检202410009066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京开城管252检202410004975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京开城管253检202410010824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京开城管256检202410005676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京开城管252检202410004846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京开城管255检202410005263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京开城管021检202410008993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京开城管250检202410003632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京开城管253检202410010734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京开城管253检202410010626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京开城管253检202410010526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京开城管253检202410010402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京开城管256检202410005543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2024-11-11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京开城管256检202410005455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京开城管010检202410011857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京开城管051检202410002030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京开城管010检202410011786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京开城管051检202410001931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中国核工业中原建设有限公司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京开城管018检202410009470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中航建设集团有限公司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京开城管018检202410009388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北京城建八建设发展有限责任公司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京开城管018检202410009290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中铁电气化局集团北京建筑工程有限公司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2024-11-12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京开城管018检202410009124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京开城管253检202410010325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京开城管256检202410005343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京开城管255检202410005193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京开城管253检202410010283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京开城管021检202410008895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京开城管256检202410005271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京开城管253检202410010111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京开城管255检202410005081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京开城管021检202410008770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京开城管253检202410010051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京开城管021检202410008666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京开城管255检202410004922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京开城管256检202410005158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京开城管021检202410008516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京开城管253检202410009919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京开城管255检202410004880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京开城管256检202410005051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北京亦庄城市服务集团股份有限公司楼宇物业服务分公司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京开城管010检202410011620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北京呼伦餐饮服务有限公司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京开城管101检202410010415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北京呼伦餐饮服务有限公司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京开城管010检202410011566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北京玩家餐饮服务有限公司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京开城管101检202410010333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北京玩家餐饮服务有限公司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京开城管010检202410011414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京开城管018检202410009010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京开城管018检202410008936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京开城管018检202410008823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中国建筑第四工程局有限公司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2024-11-08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京开城管018检202410008740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京开城管257检202410002825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2024-11-07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京开城管256检202410004905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京开城管252检202410004789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京开城管252检202410004637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2024-11-05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京开城管257检202410002766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225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4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577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2024-11-04</w:t>
            </w:r>
          </w:p>
        </w:tc>
        <w:tc>
          <w:tcPr>
            <w:tcW w:w="450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339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72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京开城管252检202410004592</w:t>
            </w:r>
          </w:p>
        </w:tc>
        <w:tc>
          <w:tcPr>
            <w:tcW w:w="681" w:type="pct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填表说明：</w:t>
      </w:r>
    </w:p>
    <w:p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1.可参照市级部门执法检查结果公示情况，网址：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instrText xml:space="preserve"> HYPERLINK "https://www.beijing.gov.cn/gongkai/zdlyxxgk/xzzfgs/index.html" </w:instrTex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https://www.beijing.gov.cn/gongkai/zdlyxxgk/xzzfgs/index.html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2.可参照附件2 填写示例进行填写；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2024年1月24日下班前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将电子版材料通过京办反馈至平安办联系人（吕晋蒙）。</w:t>
      </w:r>
    </w:p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1E5EE7"/>
    <w:rsid w:val="6B880FF7"/>
    <w:rsid w:val="FBBDB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2024-12-09T15:23:00Z</dcterms:created>
  <dc:creator>ELma</dc:creator>
  <cp:lastModifiedBy>bda</cp:lastModifiedBy>
  <dcterms:modified xsi:type="dcterms:W3CDTF">2024-12-16T15:23:06Z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BBA7807CC0AA4981A2E5677B6950EF33_11</vt:lpwstr>
  </property>
</Properties>
</file>