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1E2617">
      <w:pPr>
        <w:spacing w:line="560" w:lineRule="exact"/>
        <w:jc w:val="center"/>
        <w:rPr>
          <w:rFonts w:ascii="黑体" w:eastAsia="黑体"/>
          <w:b/>
          <w:sz w:val="32"/>
          <w:szCs w:val="32"/>
        </w:rPr>
      </w:pPr>
      <w:bookmarkStart w:id="0" w:name="_GoBack"/>
      <w:bookmarkEnd w:id="0"/>
      <w:r>
        <w:rPr>
          <w:rFonts w:hint="eastAsia" w:ascii="黑体" w:eastAsia="黑体"/>
          <w:b/>
          <w:sz w:val="32"/>
          <w:szCs w:val="32"/>
        </w:rPr>
        <w:t>北京经济技术开发区2018年预算情况的说明</w:t>
      </w:r>
    </w:p>
    <w:p w14:paraId="23D99B6A">
      <w:pPr>
        <w:widowControl/>
        <w:spacing w:line="560" w:lineRule="exact"/>
        <w:ind w:firstLine="640" w:firstLineChars="200"/>
        <w:jc w:val="left"/>
        <w:rPr>
          <w:rFonts w:ascii="仿宋_GB2312" w:hAnsi="黑体" w:eastAsia="仿宋_GB2312" w:cs="宋体"/>
          <w:b/>
          <w:kern w:val="0"/>
          <w:sz w:val="32"/>
          <w:szCs w:val="32"/>
        </w:rPr>
      </w:pPr>
      <w:r>
        <w:rPr>
          <w:rFonts w:hint="eastAsia" w:ascii="仿宋_GB2312" w:hAnsi="黑体" w:eastAsia="仿宋_GB2312" w:cs="宋体"/>
          <w:b/>
          <w:kern w:val="0"/>
          <w:sz w:val="32"/>
          <w:szCs w:val="32"/>
        </w:rPr>
        <w:t>一、预算管理情况说明</w:t>
      </w:r>
    </w:p>
    <w:p w14:paraId="49692B97">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（一）预算单位</w:t>
      </w:r>
    </w:p>
    <w:p w14:paraId="78006EC4">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北京市政府于1991年12月设立亦庄工业区（北京经济技术开发区前身），1992年7月更名为北京经济技术开发区，1994年8月25日经国务院批准，升级为国家级经济技术开发区。</w:t>
      </w:r>
    </w:p>
    <w:p w14:paraId="5F5935B4">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2000年7月，经北京市机构编制委员会办公室批准（京编办行</w:t>
      </w:r>
      <w:r>
        <w:rPr>
          <w:rFonts w:hint="eastAsia" w:ascii="仿宋_GB2312" w:hAnsi="宋体" w:cs="宋体"/>
          <w:kern w:val="0"/>
          <w:sz w:val="32"/>
          <w:szCs w:val="32"/>
        </w:rPr>
        <w:t>﹝</w:t>
      </w:r>
      <w:r>
        <w:rPr>
          <w:rFonts w:hint="eastAsia" w:ascii="仿宋_GB2312" w:hAnsi="宋体" w:eastAsia="仿宋_GB2312" w:cs="宋体"/>
          <w:kern w:val="0"/>
          <w:sz w:val="32"/>
          <w:szCs w:val="32"/>
        </w:rPr>
        <w:t>2000</w:t>
      </w:r>
      <w:r>
        <w:rPr>
          <w:rFonts w:hint="eastAsia" w:ascii="仿宋_GB2312" w:hAnsi="宋体" w:cs="宋体"/>
          <w:kern w:val="0"/>
          <w:sz w:val="32"/>
          <w:szCs w:val="32"/>
        </w:rPr>
        <w:t>﹞</w:t>
      </w:r>
      <w:r>
        <w:rPr>
          <w:rFonts w:hint="eastAsia" w:ascii="仿宋_GB2312" w:hAnsi="宋体" w:eastAsia="仿宋_GB2312" w:cs="宋体"/>
          <w:kern w:val="0"/>
          <w:sz w:val="32"/>
          <w:szCs w:val="32"/>
        </w:rPr>
        <w:t>21号），北京市财政局驻北京经济技术开发区分局整建制划归北京经济技术开发区管理委员会，成为北京经济技术开发区管理委员会职能机构，更名为北京经济技术开发区财政局。经机构一系列调整最终发展为现行体制，即北京经济技术开发区财政局作为预算主体，代表北京经济技术开发区管委会成为市财政的一级预算单位。北京经济技术开发区</w:t>
      </w:r>
      <w:r>
        <w:rPr>
          <w:rFonts w:hint="eastAsia" w:ascii="仿宋_GB2312" w:hAnsi="黑体" w:eastAsia="仿宋_GB2312"/>
          <w:sz w:val="32"/>
          <w:szCs w:val="32"/>
        </w:rPr>
        <w:t>部门预算以</w:t>
      </w:r>
      <w:r>
        <w:rPr>
          <w:rFonts w:hint="eastAsia" w:ascii="仿宋_GB2312" w:hAnsi="宋体" w:eastAsia="仿宋_GB2312" w:cs="宋体"/>
          <w:kern w:val="0"/>
          <w:sz w:val="32"/>
          <w:szCs w:val="32"/>
        </w:rPr>
        <w:t>北京经济技术开发区</w:t>
      </w:r>
      <w:r>
        <w:rPr>
          <w:rFonts w:hint="eastAsia" w:ascii="仿宋_GB2312" w:hAnsi="黑体" w:eastAsia="仿宋_GB2312"/>
          <w:sz w:val="32"/>
          <w:szCs w:val="32"/>
        </w:rPr>
        <w:t>财政局名义申报，市财政局对</w:t>
      </w:r>
      <w:r>
        <w:rPr>
          <w:rFonts w:hint="eastAsia" w:ascii="仿宋_GB2312" w:hAnsi="宋体" w:eastAsia="仿宋_GB2312" w:cs="宋体"/>
          <w:kern w:val="0"/>
          <w:sz w:val="32"/>
          <w:szCs w:val="32"/>
        </w:rPr>
        <w:t>北京经济技术开发区</w:t>
      </w:r>
      <w:r>
        <w:rPr>
          <w:rFonts w:hint="eastAsia" w:ascii="仿宋_GB2312" w:hAnsi="黑体" w:eastAsia="仿宋_GB2312"/>
          <w:sz w:val="32"/>
          <w:szCs w:val="32"/>
        </w:rPr>
        <w:t>财政局下达预算批复。</w:t>
      </w:r>
    </w:p>
    <w:p w14:paraId="3D459754">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（二）预算收支政策</w:t>
      </w:r>
    </w:p>
    <w:p w14:paraId="12A9D238">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2005年市财政局根据《中华人民共和国预算法》、《北京市预算监督条例》、《北京经济技术开发区条例》、《北京市关于进一步促进高新技术产业发展的若干规定》（京政发</w:t>
      </w:r>
      <w:r>
        <w:rPr>
          <w:rFonts w:hint="eastAsia" w:ascii="仿宋_GB2312" w:hAnsi="宋体" w:cs="宋体"/>
          <w:kern w:val="0"/>
          <w:sz w:val="32"/>
          <w:szCs w:val="32"/>
        </w:rPr>
        <w:t>﹝</w:t>
      </w:r>
      <w:r>
        <w:rPr>
          <w:rFonts w:hint="eastAsia" w:ascii="仿宋_GB2312" w:hAnsi="宋体" w:eastAsia="仿宋_GB2312" w:cs="宋体"/>
          <w:kern w:val="0"/>
          <w:sz w:val="32"/>
          <w:szCs w:val="32"/>
        </w:rPr>
        <w:t>2001</w:t>
      </w:r>
      <w:r>
        <w:rPr>
          <w:rFonts w:hint="eastAsia" w:ascii="仿宋_GB2312" w:hAnsi="宋体" w:cs="宋体"/>
          <w:kern w:val="0"/>
          <w:sz w:val="32"/>
          <w:szCs w:val="32"/>
        </w:rPr>
        <w:t>﹞</w:t>
      </w:r>
      <w:r>
        <w:rPr>
          <w:rFonts w:hint="eastAsia" w:ascii="仿宋_GB2312" w:hAnsi="宋体" w:eastAsia="仿宋_GB2312" w:cs="宋体"/>
          <w:kern w:val="0"/>
          <w:sz w:val="32"/>
          <w:szCs w:val="32"/>
        </w:rPr>
        <w:t>38号）和《北京市人民政府关于完善市与区县分税制财政管理体制的通知》（京政发</w:t>
      </w:r>
      <w:r>
        <w:rPr>
          <w:rFonts w:hint="eastAsia" w:ascii="仿宋_GB2312" w:hAnsi="宋体" w:cs="宋体"/>
          <w:kern w:val="0"/>
          <w:sz w:val="32"/>
          <w:szCs w:val="32"/>
        </w:rPr>
        <w:t>﹝</w:t>
      </w:r>
      <w:r>
        <w:rPr>
          <w:rFonts w:hint="eastAsia" w:ascii="仿宋_GB2312" w:hAnsi="宋体" w:eastAsia="仿宋_GB2312" w:cs="宋体"/>
          <w:kern w:val="0"/>
          <w:sz w:val="32"/>
          <w:szCs w:val="32"/>
        </w:rPr>
        <w:t>2005</w:t>
      </w:r>
      <w:r>
        <w:rPr>
          <w:rFonts w:hint="eastAsia" w:ascii="仿宋_GB2312" w:hAnsi="宋体" w:cs="宋体"/>
          <w:kern w:val="0"/>
          <w:sz w:val="32"/>
          <w:szCs w:val="32"/>
        </w:rPr>
        <w:t>﹞</w:t>
      </w:r>
      <w:r>
        <w:rPr>
          <w:rFonts w:hint="eastAsia" w:ascii="仿宋_GB2312" w:hAnsi="宋体" w:eastAsia="仿宋_GB2312" w:cs="宋体"/>
          <w:kern w:val="0"/>
          <w:sz w:val="32"/>
          <w:szCs w:val="32"/>
        </w:rPr>
        <w:t>16号）等有关法律、法规的规定，结合实际情况，经市政府同意，北京市财政局印发《关于印发&lt;北京经济技术开发区财政管理暂行办法&gt;的通知》（京财预</w:t>
      </w:r>
      <w:r>
        <w:rPr>
          <w:rFonts w:hint="eastAsia" w:ascii="仿宋_GB2312" w:hAnsi="宋体" w:cs="宋体"/>
          <w:kern w:val="0"/>
          <w:sz w:val="32"/>
          <w:szCs w:val="32"/>
        </w:rPr>
        <w:t>﹝</w:t>
      </w:r>
      <w:r>
        <w:rPr>
          <w:rFonts w:hint="eastAsia" w:ascii="仿宋_GB2312" w:hAnsi="宋体" w:eastAsia="仿宋_GB2312" w:cs="宋体"/>
          <w:kern w:val="0"/>
          <w:sz w:val="32"/>
          <w:szCs w:val="32"/>
        </w:rPr>
        <w:t>2005</w:t>
      </w:r>
      <w:r>
        <w:rPr>
          <w:rFonts w:hint="eastAsia" w:ascii="仿宋_GB2312" w:hAnsi="宋体" w:cs="宋体"/>
          <w:kern w:val="0"/>
          <w:sz w:val="32"/>
          <w:szCs w:val="32"/>
        </w:rPr>
        <w:t>﹞</w:t>
      </w:r>
      <w:r>
        <w:rPr>
          <w:rFonts w:hint="eastAsia" w:ascii="仿宋_GB2312" w:hAnsi="宋体" w:eastAsia="仿宋_GB2312" w:cs="宋体"/>
          <w:kern w:val="0"/>
          <w:sz w:val="32"/>
          <w:szCs w:val="32"/>
        </w:rPr>
        <w:t>2336号），明确北京经济技术开发区管理范围内形成的地方财政收入全部留归北京经济技术开发区使用，北京经济技术开发区内的支出项目由管委会根据收入情况统筹安排。北京经济技术开发区收入预算根据北京经济技术开发区经济社会发展情况，合理测算各项收入，编制收入预算。支出预算范围包括为保证北京经济技术开发区管委会及所属机构正常运转、促进经济建设、城市管理及各项社会公共事业发展的项目支出；以及根据北京经济技术开发区债务负担情况，需要由财政资金安排偿还的债务支出等。北京经济技术开发区土地收入按照有关土地政策，在扣除上缴中央及划转其他用途因素外，留归北京经济技术开发区使用，实行“收支两条线管理”。</w:t>
      </w:r>
    </w:p>
    <w:p w14:paraId="65C6436F">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2012年12月31日，中共北京市委、北京市人民政府通过《关于进一步加快推进北京经济技术开发区发展的意见》，意见明确：以北京经济技术开发区和大兴区一体发展为基础,创新完善更有利于北京经济技术开发区扩大发展的财政体制；延续北京经济技术开发区现行财政管理体制3年；对北京经济技术开发区土地出让收入市级留成部分,在扣除按国家规定和市政府对北京经济技术开发区的专项规定计提后全额返还。对重大基础设施建设项目和征地拆迁项目给予重点支持；随着北京经济技术开发区产业空间范围的不断扩展将财政资金使用范围相应扩大至“六园”、综合服务配套区和市政府批准的新拓展区域。</w:t>
      </w:r>
    </w:p>
    <w:p w14:paraId="3892D862">
      <w:pPr>
        <w:widowControl/>
        <w:spacing w:line="560" w:lineRule="exact"/>
        <w:ind w:firstLine="640" w:firstLineChars="200"/>
        <w:jc w:val="left"/>
        <w:rPr>
          <w:rFonts w:ascii="仿宋_GB2312" w:hAnsi="宋体" w:eastAsia="仿宋_GB2312" w:cs="宋体"/>
          <w:kern w:val="0"/>
          <w:sz w:val="32"/>
          <w:szCs w:val="32"/>
        </w:rPr>
      </w:pPr>
      <w:r>
        <w:rPr>
          <w:rFonts w:ascii="仿宋_GB2312" w:hAnsi="宋体" w:eastAsia="仿宋_GB2312" w:cs="宋体"/>
          <w:kern w:val="0"/>
          <w:sz w:val="32"/>
          <w:szCs w:val="32"/>
        </w:rPr>
        <w:t>2016年,营改增政策全面推开，增值税中央地方五五分成，由于</w:t>
      </w:r>
      <w:r>
        <w:rPr>
          <w:rFonts w:hint="eastAsia" w:ascii="仿宋_GB2312" w:hAnsi="宋体" w:eastAsia="仿宋_GB2312" w:cs="宋体"/>
          <w:kern w:val="0"/>
          <w:sz w:val="32"/>
          <w:szCs w:val="32"/>
        </w:rPr>
        <w:t>北京经济技术开发区</w:t>
      </w:r>
      <w:r>
        <w:rPr>
          <w:rFonts w:ascii="仿宋_GB2312" w:hAnsi="宋体" w:eastAsia="仿宋_GB2312" w:cs="宋体"/>
          <w:kern w:val="0"/>
          <w:sz w:val="32"/>
          <w:szCs w:val="32"/>
        </w:rPr>
        <w:t>主导产业为制造业，因此营改增改革政策性收入不降反增。为了弥补北京市减税效应明显的影响，市财政</w:t>
      </w:r>
      <w:r>
        <w:rPr>
          <w:rFonts w:hint="eastAsia" w:ascii="仿宋_GB2312" w:hAnsi="宋体" w:eastAsia="仿宋_GB2312" w:cs="宋体"/>
          <w:kern w:val="0"/>
          <w:sz w:val="32"/>
          <w:szCs w:val="32"/>
        </w:rPr>
        <w:t>印发</w:t>
      </w:r>
      <w:r>
        <w:rPr>
          <w:rFonts w:ascii="仿宋_GB2312" w:hAnsi="宋体" w:eastAsia="仿宋_GB2312" w:cs="宋体"/>
          <w:kern w:val="0"/>
          <w:sz w:val="32"/>
          <w:szCs w:val="32"/>
        </w:rPr>
        <w:t>《北京市财政局关于对北京经济技术开发区营改增改革政策性增收实行滚动上缴的通知》（京财预〔2017〕49号）文件，要求</w:t>
      </w:r>
      <w:r>
        <w:rPr>
          <w:rFonts w:hint="eastAsia" w:ascii="仿宋_GB2312" w:hAnsi="宋体" w:eastAsia="仿宋_GB2312" w:cs="宋体"/>
          <w:kern w:val="0"/>
          <w:sz w:val="32"/>
          <w:szCs w:val="32"/>
        </w:rPr>
        <w:t>北京经济技术开发区</w:t>
      </w:r>
      <w:r>
        <w:rPr>
          <w:rFonts w:ascii="仿宋_GB2312" w:hAnsi="宋体" w:eastAsia="仿宋_GB2312" w:cs="宋体"/>
          <w:kern w:val="0"/>
          <w:sz w:val="32"/>
          <w:szCs w:val="32"/>
        </w:rPr>
        <w:t>营改增改革政策性增收实行滚动上缴。</w:t>
      </w:r>
    </w:p>
    <w:p w14:paraId="56D6F5A6">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（三）预算管理模式</w:t>
      </w:r>
    </w:p>
    <w:p w14:paraId="23FD607C">
      <w:pPr>
        <w:widowControl/>
        <w:spacing w:line="560" w:lineRule="exact"/>
        <w:ind w:firstLine="640" w:firstLineChars="200"/>
        <w:jc w:val="left"/>
        <w:rPr>
          <w:rFonts w:ascii="仿宋_GB2312" w:hAnsi="仿宋" w:eastAsia="仿宋_GB2312" w:cs="Tahoma"/>
          <w:kern w:val="0"/>
          <w:sz w:val="32"/>
          <w:szCs w:val="32"/>
        </w:rPr>
      </w:pPr>
      <w:r>
        <w:rPr>
          <w:rFonts w:hint="eastAsia" w:ascii="仿宋_GB2312" w:hAnsi="宋体" w:eastAsia="仿宋_GB2312" w:cs="宋体"/>
          <w:kern w:val="0"/>
          <w:sz w:val="32"/>
          <w:szCs w:val="32"/>
        </w:rPr>
        <w:t>北京经济技术开发区管委会是市政府派出机构，非一级政府，不具备一级财政的资格，因此北京经济技术开发区没有金库，财政收入缴入市级金库，北京经济技术开发区的收支预算以专项资金的形式纳入市级预算，接受市人大监督审核。尽管北京经济技术开发区无行政区划，但实际管理着约60平方公里的地域，因此北京经济技术开发区财政在管委会内部更偏向于参照政府预算模式进行管理。</w:t>
      </w:r>
    </w:p>
    <w:p w14:paraId="6899CB70">
      <w:pPr>
        <w:spacing w:line="560" w:lineRule="exact"/>
        <w:ind w:firstLine="640" w:firstLineChars="200"/>
        <w:jc w:val="left"/>
        <w:rPr>
          <w:rFonts w:ascii="仿宋_GB2312" w:hAnsi="仿宋" w:eastAsia="仿宋_GB2312" w:cs="Tahoma"/>
          <w:kern w:val="0"/>
          <w:sz w:val="32"/>
          <w:szCs w:val="32"/>
        </w:rPr>
      </w:pPr>
      <w:r>
        <w:rPr>
          <w:rFonts w:hint="eastAsia" w:ascii="仿宋_GB2312" w:hAnsi="仿宋" w:eastAsia="仿宋_GB2312" w:cs="Tahoma"/>
          <w:kern w:val="0"/>
          <w:sz w:val="32"/>
          <w:szCs w:val="32"/>
        </w:rPr>
        <w:t>预算编制方面，</w:t>
      </w:r>
      <w:r>
        <w:rPr>
          <w:rFonts w:hint="eastAsia" w:ascii="仿宋_GB2312" w:hAnsi="宋体" w:eastAsia="仿宋_GB2312" w:cs="宋体"/>
          <w:kern w:val="0"/>
          <w:sz w:val="32"/>
          <w:szCs w:val="32"/>
        </w:rPr>
        <w:t>北京经济技术开发区</w:t>
      </w:r>
      <w:r>
        <w:rPr>
          <w:rFonts w:hint="eastAsia" w:ascii="仿宋_GB2312" w:hAnsi="仿宋" w:eastAsia="仿宋_GB2312" w:cs="Tahoma"/>
          <w:kern w:val="0"/>
          <w:sz w:val="32"/>
          <w:szCs w:val="32"/>
        </w:rPr>
        <w:t>财政局按照政府预算管理模式组织管委会所属部门及单位编制部门预算。为了规范管理，</w:t>
      </w:r>
      <w:r>
        <w:rPr>
          <w:rFonts w:hint="eastAsia" w:ascii="仿宋_GB2312" w:hAnsi="宋体" w:eastAsia="仿宋_GB2312" w:cs="宋体"/>
          <w:kern w:val="0"/>
          <w:sz w:val="32"/>
          <w:szCs w:val="32"/>
        </w:rPr>
        <w:t>北京经济技术开发区</w:t>
      </w:r>
      <w:r>
        <w:rPr>
          <w:rFonts w:hint="eastAsia" w:ascii="仿宋_GB2312" w:hAnsi="仿宋" w:eastAsia="仿宋_GB2312" w:cs="Tahoma"/>
          <w:kern w:val="0"/>
          <w:sz w:val="32"/>
          <w:szCs w:val="32"/>
        </w:rPr>
        <w:t>财政局2009年参考北京市及区县政府预算管理系统，结合自身特点建立了</w:t>
      </w:r>
      <w:r>
        <w:rPr>
          <w:rFonts w:hint="eastAsia" w:ascii="仿宋_GB2312" w:hAnsi="宋体" w:eastAsia="仿宋_GB2312" w:cs="宋体"/>
          <w:kern w:val="0"/>
          <w:sz w:val="32"/>
          <w:szCs w:val="32"/>
        </w:rPr>
        <w:t>北京经济技术开发区</w:t>
      </w:r>
      <w:r>
        <w:rPr>
          <w:rFonts w:hint="eastAsia" w:ascii="仿宋_GB2312" w:hAnsi="仿宋" w:eastAsia="仿宋_GB2312" w:cs="Tahoma"/>
          <w:kern w:val="0"/>
          <w:sz w:val="32"/>
          <w:szCs w:val="32"/>
        </w:rPr>
        <w:t>预算管理系统，每年部门根据重点工作，按照预算管理相关要求据实在系统中申报预算。</w:t>
      </w:r>
    </w:p>
    <w:p w14:paraId="4FC14C00">
      <w:pPr>
        <w:spacing w:line="560" w:lineRule="exact"/>
        <w:ind w:firstLine="640" w:firstLineChars="200"/>
        <w:jc w:val="left"/>
        <w:rPr>
          <w:rFonts w:ascii="仿宋_GB2312" w:hAnsi="黑体" w:eastAsia="仿宋_GB2312" w:cs="黑体"/>
          <w:sz w:val="32"/>
          <w:szCs w:val="32"/>
        </w:rPr>
      </w:pPr>
      <w:r>
        <w:rPr>
          <w:rFonts w:hint="eastAsia" w:ascii="仿宋_GB2312" w:hAnsi="黑体" w:eastAsia="仿宋_GB2312" w:cs="黑体"/>
          <w:sz w:val="32"/>
          <w:szCs w:val="32"/>
        </w:rPr>
        <w:t>资金管理方面，财政局国库科负责财政资金的拨付，非税收入的集中收缴并按月缴入市级金库，汇总编制部门决算，统一管理行政事业单位财政银行开户。自2013年起，</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进行了国库集中支付改革、公务卡改革、建立了财政预算执行动态监控系统，目前除基本建设资金实拨外，其他资金全部纳入集中支付改革。指标管理、财政资金拨付和国库集中支付业务均通过 “</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预算执行一体化系统”管理。</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各内设机构无独立财务，内设职能部门、事业单位和</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基建项目的</w:t>
      </w:r>
      <w:r>
        <w:rPr>
          <w:rFonts w:hint="eastAsia" w:ascii="仿宋_GB2312" w:hAnsi="仿宋" w:eastAsia="仿宋_GB2312"/>
          <w:sz w:val="32"/>
          <w:szCs w:val="32"/>
        </w:rPr>
        <w:t>财务会计核算、年度决算编制、会计业务代理以及会计档案管理、日常报销等财务</w:t>
      </w:r>
      <w:r>
        <w:rPr>
          <w:rFonts w:hint="eastAsia" w:ascii="仿宋_GB2312" w:hAnsi="黑体" w:eastAsia="仿宋_GB2312" w:cs="黑体"/>
          <w:sz w:val="32"/>
          <w:szCs w:val="32"/>
        </w:rPr>
        <w:t>工作，统一由</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财务结算中心进行核算</w:t>
      </w:r>
      <w:r>
        <w:rPr>
          <w:rFonts w:hint="eastAsia" w:ascii="仿宋_GB2312" w:hAnsi="仿宋" w:eastAsia="仿宋_GB2312"/>
          <w:sz w:val="32"/>
          <w:szCs w:val="32"/>
        </w:rPr>
        <w:t>。</w:t>
      </w:r>
    </w:p>
    <w:p w14:paraId="6A138273">
      <w:pPr>
        <w:widowControl/>
        <w:spacing w:line="560" w:lineRule="exact"/>
        <w:ind w:firstLine="640" w:firstLineChars="200"/>
        <w:jc w:val="left"/>
        <w:rPr>
          <w:rFonts w:ascii="仿宋_GB2312" w:hAnsi="仿宋" w:eastAsia="仿宋_GB2312" w:cs="Tahoma"/>
          <w:kern w:val="0"/>
          <w:sz w:val="32"/>
          <w:szCs w:val="32"/>
        </w:rPr>
      </w:pPr>
      <w:r>
        <w:rPr>
          <w:rFonts w:hint="eastAsia" w:ascii="仿宋_GB2312" w:hAnsi="仿宋" w:eastAsia="仿宋_GB2312"/>
          <w:sz w:val="32"/>
          <w:szCs w:val="32"/>
        </w:rPr>
        <w:t>预算执行方面，</w:t>
      </w:r>
      <w:r>
        <w:rPr>
          <w:rFonts w:hint="eastAsia" w:ascii="仿宋_GB2312" w:hAnsi="仿宋" w:eastAsia="仿宋_GB2312" w:cs="Tahoma"/>
          <w:kern w:val="0"/>
          <w:sz w:val="32"/>
          <w:szCs w:val="32"/>
        </w:rPr>
        <w:t>按照区级预算执行情况与市局年初批复的差异、动用结余资金情况向市财政局报送预算调整请示。</w:t>
      </w:r>
    </w:p>
    <w:p w14:paraId="294B156F">
      <w:pPr>
        <w:spacing w:line="560" w:lineRule="exact"/>
        <w:ind w:firstLine="640" w:firstLineChars="200"/>
        <w:jc w:val="left"/>
        <w:rPr>
          <w:rFonts w:ascii="仿宋_GB2312" w:hAnsi="黑体" w:eastAsia="仿宋_GB2312" w:cs="黑体"/>
          <w:sz w:val="32"/>
          <w:szCs w:val="32"/>
        </w:rPr>
      </w:pPr>
      <w:r>
        <w:rPr>
          <w:rFonts w:hint="eastAsia" w:ascii="仿宋_GB2312" w:hAnsi="宋体" w:eastAsia="仿宋_GB2312" w:cs="宋体"/>
          <w:kern w:val="0"/>
          <w:sz w:val="32"/>
          <w:szCs w:val="32"/>
        </w:rPr>
        <w:t>自行管理权限方面，绩效管理工作按照北京市财政局2015年印发的《关于同意北京经济技术开发区财政局自行组织实施预算绩效管理工作的通知》（京财预函</w:t>
      </w:r>
      <w:r>
        <w:rPr>
          <w:rFonts w:hint="eastAsia" w:ascii="仿宋_GB2312" w:hAnsi="宋体" w:cs="宋体"/>
          <w:kern w:val="0"/>
          <w:sz w:val="32"/>
          <w:szCs w:val="32"/>
        </w:rPr>
        <w:t>﹝</w:t>
      </w:r>
      <w:r>
        <w:rPr>
          <w:rFonts w:hint="eastAsia" w:ascii="仿宋_GB2312" w:hAnsi="宋体" w:eastAsia="仿宋_GB2312" w:cs="宋体"/>
          <w:kern w:val="0"/>
          <w:sz w:val="32"/>
          <w:szCs w:val="32"/>
        </w:rPr>
        <w:t>2015</w:t>
      </w:r>
      <w:r>
        <w:rPr>
          <w:rFonts w:hint="eastAsia" w:ascii="仿宋_GB2312" w:hAnsi="宋体" w:cs="宋体"/>
          <w:kern w:val="0"/>
          <w:sz w:val="32"/>
          <w:szCs w:val="32"/>
        </w:rPr>
        <w:t>﹞</w:t>
      </w:r>
      <w:r>
        <w:rPr>
          <w:rFonts w:hint="eastAsia" w:ascii="仿宋_GB2312" w:hAnsi="宋体" w:eastAsia="仿宋_GB2312" w:cs="宋体"/>
          <w:kern w:val="0"/>
          <w:sz w:val="32"/>
          <w:szCs w:val="32"/>
        </w:rPr>
        <w:t>259号）文件，由北京经济技术开发区自行组织实施。</w:t>
      </w:r>
      <w:r>
        <w:rPr>
          <w:rFonts w:hint="eastAsia" w:ascii="仿宋_GB2312" w:hAnsi="黑体" w:eastAsia="仿宋_GB2312" w:cs="黑体"/>
          <w:sz w:val="32"/>
          <w:szCs w:val="32"/>
        </w:rPr>
        <w:t>鉴于</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工作实际，政府采购管理、政府购买服务、财政投资评审均参照市财政局相关制度文件执行，由</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负责组织实施。</w:t>
      </w:r>
    </w:p>
    <w:p w14:paraId="09C31604">
      <w:pPr>
        <w:spacing w:line="560" w:lineRule="exact"/>
        <w:ind w:firstLine="640" w:firstLineChars="200"/>
        <w:jc w:val="left"/>
        <w:rPr>
          <w:rFonts w:ascii="仿宋_GB2312" w:hAnsi="黑体" w:eastAsia="仿宋_GB2312" w:cs="黑体"/>
          <w:sz w:val="32"/>
          <w:szCs w:val="32"/>
        </w:rPr>
      </w:pPr>
      <w:r>
        <w:rPr>
          <w:rFonts w:hint="eastAsia" w:ascii="仿宋_GB2312" w:hAnsi="黑体" w:eastAsia="仿宋_GB2312" w:cs="黑体"/>
          <w:sz w:val="32"/>
          <w:szCs w:val="32"/>
        </w:rPr>
        <w:t>综上所述，</w:t>
      </w:r>
      <w:r>
        <w:rPr>
          <w:rFonts w:hint="eastAsia" w:ascii="仿宋_GB2312" w:hAnsi="宋体" w:eastAsia="仿宋_GB2312" w:cs="宋体"/>
          <w:kern w:val="0"/>
          <w:sz w:val="32"/>
          <w:szCs w:val="32"/>
        </w:rPr>
        <w:t>北京经济技术开发区</w:t>
      </w:r>
      <w:r>
        <w:rPr>
          <w:rFonts w:hint="eastAsia" w:ascii="仿宋_GB2312" w:hAnsi="黑体" w:eastAsia="仿宋_GB2312" w:cs="黑体"/>
          <w:sz w:val="32"/>
          <w:szCs w:val="32"/>
        </w:rPr>
        <w:t>预算管理模式创新地融合了政府预算和部门预算的管理模式，但无论与严格的政府预算还是部门预算相比，均存在着一定差异。即</w:t>
      </w:r>
      <w:r>
        <w:rPr>
          <w:rFonts w:hint="eastAsia" w:ascii="仿宋_GB2312" w:hAnsi="宋体" w:eastAsia="仿宋_GB2312" w:cs="宋体"/>
          <w:kern w:val="0"/>
          <w:sz w:val="32"/>
          <w:szCs w:val="32"/>
        </w:rPr>
        <w:t>北京经济技术开发区</w:t>
      </w:r>
      <w:r>
        <w:rPr>
          <w:rFonts w:ascii="仿宋_GB2312" w:hAnsi="黑体" w:eastAsia="仿宋_GB2312" w:cs="黑体"/>
          <w:sz w:val="32"/>
          <w:szCs w:val="32"/>
        </w:rPr>
        <w:t>的预算收支情况在预算申报、批复、执行的额度和范围上与市财政保持了一致，但在具体口径和构成上</w:t>
      </w:r>
      <w:r>
        <w:rPr>
          <w:rFonts w:hint="eastAsia" w:ascii="仿宋_GB2312" w:hAnsi="黑体" w:eastAsia="仿宋_GB2312" w:cs="黑体"/>
          <w:sz w:val="32"/>
          <w:szCs w:val="32"/>
        </w:rPr>
        <w:t>无法达到一一对应，</w:t>
      </w:r>
      <w:r>
        <w:rPr>
          <w:rFonts w:ascii="仿宋_GB2312" w:hAnsi="黑体" w:eastAsia="仿宋_GB2312" w:cs="黑体"/>
          <w:sz w:val="32"/>
          <w:szCs w:val="32"/>
        </w:rPr>
        <w:t>这一问题在全国范围内的其他国家级经济技术开发区中存在相当的普遍性。</w:t>
      </w:r>
    </w:p>
    <w:p w14:paraId="7B7D1CFA">
      <w:pPr>
        <w:spacing w:line="560" w:lineRule="exact"/>
        <w:ind w:firstLine="640" w:firstLineChars="200"/>
        <w:outlineLvl w:val="0"/>
        <w:rPr>
          <w:rFonts w:ascii="仿宋_GB2312" w:eastAsia="仿宋_GB2312"/>
          <w:b/>
          <w:sz w:val="32"/>
          <w:szCs w:val="32"/>
        </w:rPr>
      </w:pPr>
      <w:r>
        <w:rPr>
          <w:rFonts w:hint="eastAsia" w:ascii="仿宋_GB2312" w:eastAsia="仿宋_GB2312"/>
          <w:b/>
          <w:sz w:val="32"/>
          <w:szCs w:val="32"/>
        </w:rPr>
        <w:t>二、部门情况</w:t>
      </w:r>
    </w:p>
    <w:p w14:paraId="60886CA3">
      <w:pPr>
        <w:spacing w:line="560" w:lineRule="exact"/>
        <w:ind w:firstLine="555"/>
        <w:rPr>
          <w:rFonts w:ascii="仿宋_GB2312" w:eastAsia="仿宋_GB2312"/>
          <w:sz w:val="32"/>
          <w:szCs w:val="32"/>
        </w:rPr>
      </w:pPr>
      <w:r>
        <w:rPr>
          <w:rFonts w:hint="eastAsia" w:ascii="仿宋_GB2312" w:eastAsia="仿宋_GB2312"/>
          <w:sz w:val="32"/>
          <w:szCs w:val="32"/>
        </w:rPr>
        <w:t>（一）部门机构设置、职责</w:t>
      </w:r>
    </w:p>
    <w:p w14:paraId="125FABFF">
      <w:pPr>
        <w:spacing w:line="560" w:lineRule="exact"/>
        <w:ind w:firstLine="555"/>
        <w:rPr>
          <w:rFonts w:ascii="仿宋_GB2312" w:eastAsia="仿宋_GB2312"/>
          <w:sz w:val="32"/>
          <w:szCs w:val="32"/>
        </w:rPr>
      </w:pPr>
      <w:r>
        <w:rPr>
          <w:rFonts w:hint="eastAsia" w:ascii="仿宋_GB2312" w:eastAsia="仿宋_GB2312"/>
          <w:sz w:val="32"/>
          <w:szCs w:val="32"/>
        </w:rPr>
        <w:t>1.部门机构设置</w:t>
      </w:r>
    </w:p>
    <w:p w14:paraId="61EF051F">
      <w:pPr>
        <w:spacing w:line="560" w:lineRule="exact"/>
        <w:ind w:firstLine="640" w:firstLineChars="200"/>
        <w:rPr>
          <w:rFonts w:ascii="仿宋_GB2312" w:eastAsia="仿宋_GB2312"/>
          <w:sz w:val="32"/>
          <w:szCs w:val="32"/>
        </w:rPr>
      </w:pPr>
      <w:r>
        <w:rPr>
          <w:rFonts w:ascii="仿宋_GB2312" w:eastAsia="仿宋_GB2312"/>
          <w:sz w:val="32"/>
          <w:szCs w:val="32"/>
        </w:rPr>
        <w:t>根据《北京经济技术开发区条例》和《中共北京市委办公厅关于成立中共北京经济技术开发区工作委员会的通知》（京办文[1994]12号），设置中共北京市委经济技术开发区工作委员会和北京经济技术开发区管理委员会，</w:t>
      </w:r>
      <w:r>
        <w:rPr>
          <w:rFonts w:hint="eastAsia" w:ascii="仿宋_GB2312" w:hAnsi="宋体" w:eastAsia="仿宋_GB2312" w:cs="宋体"/>
          <w:kern w:val="0"/>
          <w:sz w:val="32"/>
          <w:szCs w:val="32"/>
        </w:rPr>
        <w:t>北京经济技术开发区</w:t>
      </w:r>
      <w:r>
        <w:rPr>
          <w:rFonts w:ascii="仿宋_GB2312" w:eastAsia="仿宋_GB2312"/>
          <w:sz w:val="32"/>
          <w:szCs w:val="32"/>
        </w:rPr>
        <w:t>工委为负责</w:t>
      </w:r>
      <w:r>
        <w:rPr>
          <w:rFonts w:hint="eastAsia" w:ascii="仿宋_GB2312" w:eastAsia="仿宋_GB2312"/>
          <w:sz w:val="32"/>
          <w:szCs w:val="32"/>
        </w:rPr>
        <w:t>北京经济技术</w:t>
      </w:r>
      <w:r>
        <w:rPr>
          <w:rFonts w:ascii="仿宋_GB2312" w:eastAsia="仿宋_GB2312"/>
          <w:sz w:val="32"/>
          <w:szCs w:val="32"/>
        </w:rPr>
        <w:t>开发区党的建设、思想政治工作和干部管理工作的市委派出机构，</w:t>
      </w:r>
      <w:r>
        <w:rPr>
          <w:rFonts w:hint="eastAsia" w:ascii="仿宋_GB2312" w:hAnsi="宋体" w:eastAsia="仿宋_GB2312" w:cs="宋体"/>
          <w:kern w:val="0"/>
          <w:sz w:val="32"/>
          <w:szCs w:val="32"/>
        </w:rPr>
        <w:t>北京经济技术开发区</w:t>
      </w:r>
      <w:r>
        <w:rPr>
          <w:rFonts w:ascii="仿宋_GB2312" w:eastAsia="仿宋_GB2312"/>
          <w:sz w:val="32"/>
          <w:szCs w:val="32"/>
        </w:rPr>
        <w:t>管委为代表市政府对</w:t>
      </w:r>
      <w:r>
        <w:rPr>
          <w:rFonts w:hint="eastAsia" w:ascii="仿宋_GB2312" w:hAnsi="宋体" w:eastAsia="仿宋_GB2312" w:cs="宋体"/>
          <w:kern w:val="0"/>
          <w:sz w:val="32"/>
          <w:szCs w:val="32"/>
        </w:rPr>
        <w:t>北京经济技术开发区</w:t>
      </w:r>
      <w:r>
        <w:rPr>
          <w:rFonts w:ascii="仿宋_GB2312" w:eastAsia="仿宋_GB2312"/>
          <w:sz w:val="32"/>
          <w:szCs w:val="32"/>
        </w:rPr>
        <w:t>实行统一管理的市政府派出机构。</w:t>
      </w:r>
    </w:p>
    <w:p w14:paraId="3C8BED7A">
      <w:pPr>
        <w:spacing w:line="560" w:lineRule="exact"/>
        <w:ind w:firstLine="640" w:firstLineChars="200"/>
        <w:rPr>
          <w:rFonts w:ascii="仿宋_GB2312" w:eastAsia="仿宋_GB2312"/>
          <w:sz w:val="32"/>
          <w:szCs w:val="32"/>
        </w:rPr>
      </w:pPr>
      <w:r>
        <w:rPr>
          <w:rFonts w:hint="eastAsia" w:ascii="仿宋_GB2312" w:eastAsia="仿宋_GB2312"/>
          <w:sz w:val="32"/>
          <w:szCs w:val="32"/>
        </w:rPr>
        <w:t>工委内设7个部门：工委办公室、组织部、宣传部、党群工作部、政法工作部、机关党委、工会。</w:t>
      </w:r>
    </w:p>
    <w:p w14:paraId="4534DE0C">
      <w:pPr>
        <w:spacing w:line="560" w:lineRule="exact"/>
        <w:ind w:firstLine="640" w:firstLineChars="200"/>
        <w:rPr>
          <w:rFonts w:ascii="仿宋_GB2312" w:eastAsia="仿宋_GB2312"/>
          <w:sz w:val="32"/>
          <w:szCs w:val="32"/>
        </w:rPr>
      </w:pPr>
      <w:r>
        <w:rPr>
          <w:rFonts w:hint="eastAsia" w:ascii="仿宋_GB2312" w:eastAsia="仿宋_GB2312"/>
          <w:sz w:val="32"/>
          <w:szCs w:val="32"/>
        </w:rPr>
        <w:t>管委内设18个部门：管委会办公室、发展和改革局、投资促进局、企业发展服务局、科技局、财政局、人事劳动和社会保障局、房屋和土地管理局、建设发展局、征地拆迁办公室、市政管理局、社会发展局、审计局、环境保护局、统计局、安全生产监督管理局、研究室、信息化工作办公室。</w:t>
      </w:r>
    </w:p>
    <w:p w14:paraId="4BC0D86F">
      <w:pPr>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下属事业单位34家，其中公益一类33家，公益二类1家；</w:t>
      </w:r>
    </w:p>
    <w:p w14:paraId="2200ED90">
      <w:pPr>
        <w:spacing w:line="560" w:lineRule="exact"/>
        <w:ind w:firstLine="640" w:firstLineChars="200"/>
        <w:rPr>
          <w:rFonts w:ascii="仿宋_GB2312" w:eastAsia="仿宋_GB2312"/>
          <w:sz w:val="32"/>
          <w:szCs w:val="32"/>
        </w:rPr>
      </w:pPr>
      <w:r>
        <w:rPr>
          <w:rFonts w:hint="eastAsia" w:ascii="仿宋_GB2312" w:hAnsi="仿宋" w:eastAsia="仿宋_GB2312" w:cs="仿宋_GB2312"/>
          <w:sz w:val="32"/>
          <w:szCs w:val="32"/>
        </w:rPr>
        <w:t>公益一类33家，具体为：党群活动服务中心、机关事务管理服务中心、投资促进中心、高层次人才服务中心、党员电教中心、新闻中心、总工会服务（帮扶）中心、政府采购中心、财政国库支付中心、财政监督检查所、财政投资评审中心、财务结算中心、社会保险事业管理中心、劳动监察大队、人力资源公共服务中心、劳动能力鉴定中心、房屋土地权属登记事务中心、北京市土地整理储备中心开发区分中心、物业管理办公室、住房保障事务中心、建设工程安全质量技术中心、基建办公室、民防工程事务中心、水务工作站、社区服务中心、社会保障事务所、体育中心、审计事务中心、环境保护监测站、环境保护管理中心、机动车排放管理站、安全生产执法监察队、信息中心</w:t>
      </w:r>
    </w:p>
    <w:p w14:paraId="7FD727B2">
      <w:pPr>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公益二类1家：建设工程交易中心。</w:t>
      </w:r>
    </w:p>
    <w:p w14:paraId="1476BC13">
      <w:pPr>
        <w:spacing w:line="560" w:lineRule="exact"/>
        <w:ind w:firstLine="555"/>
        <w:rPr>
          <w:rFonts w:ascii="仿宋_GB2312" w:eastAsia="仿宋_GB2312"/>
          <w:sz w:val="32"/>
          <w:szCs w:val="32"/>
        </w:rPr>
      </w:pPr>
      <w:r>
        <w:rPr>
          <w:rFonts w:hint="eastAsia" w:ascii="仿宋_GB2312" w:eastAsia="仿宋_GB2312"/>
          <w:sz w:val="32"/>
          <w:szCs w:val="32"/>
        </w:rPr>
        <w:t>2. 部门职责</w:t>
      </w:r>
    </w:p>
    <w:p w14:paraId="1A1AC27F">
      <w:pPr>
        <w:spacing w:line="560" w:lineRule="exact"/>
        <w:ind w:firstLine="555"/>
        <w:rPr>
          <w:rFonts w:ascii="仿宋_GB2312" w:eastAsia="仿宋_GB2312"/>
          <w:sz w:val="32"/>
          <w:szCs w:val="32"/>
        </w:rPr>
      </w:pPr>
      <w:r>
        <w:rPr>
          <w:rFonts w:hint="eastAsia" w:ascii="仿宋_GB2312" w:hAnsi="宋体" w:eastAsia="仿宋_GB2312" w:cs="宋体"/>
          <w:kern w:val="0"/>
          <w:sz w:val="32"/>
          <w:szCs w:val="32"/>
        </w:rPr>
        <w:t>北京经济技术开发区</w:t>
      </w:r>
      <w:r>
        <w:rPr>
          <w:rFonts w:ascii="仿宋_GB2312" w:eastAsia="仿宋_GB2312"/>
          <w:sz w:val="32"/>
          <w:szCs w:val="32"/>
        </w:rPr>
        <w:t>工委的主要职责：一、贯彻执行党的路线、方针、政策和市委的指示、决定，结合</w:t>
      </w:r>
      <w:r>
        <w:rPr>
          <w:rFonts w:hint="eastAsia" w:ascii="仿宋_GB2312" w:hAnsi="宋体" w:eastAsia="仿宋_GB2312" w:cs="宋体"/>
          <w:kern w:val="0"/>
          <w:sz w:val="32"/>
          <w:szCs w:val="32"/>
        </w:rPr>
        <w:t>北京经济技术开发区</w:t>
      </w:r>
      <w:r>
        <w:rPr>
          <w:rFonts w:ascii="仿宋_GB2312" w:eastAsia="仿宋_GB2312"/>
          <w:sz w:val="32"/>
          <w:szCs w:val="32"/>
        </w:rPr>
        <w:t>实际，提出具体的落实意见并进行督促检查。二、研究</w:t>
      </w:r>
      <w:r>
        <w:rPr>
          <w:rFonts w:hint="eastAsia" w:ascii="仿宋_GB2312" w:hAnsi="宋体" w:eastAsia="仿宋_GB2312" w:cs="宋体"/>
          <w:kern w:val="0"/>
          <w:sz w:val="32"/>
          <w:szCs w:val="32"/>
        </w:rPr>
        <w:t>北京经济技术开发区</w:t>
      </w:r>
      <w:r>
        <w:rPr>
          <w:rFonts w:ascii="仿宋_GB2312" w:eastAsia="仿宋_GB2312"/>
          <w:sz w:val="32"/>
          <w:szCs w:val="32"/>
        </w:rPr>
        <w:t>发展建设中的重大问题，及时向市委提出建议并报告工作。三</w:t>
      </w:r>
      <w:r>
        <w:rPr>
          <w:rFonts w:hint="eastAsia" w:ascii="仿宋_GB2312" w:eastAsia="仿宋_GB2312"/>
          <w:sz w:val="32"/>
          <w:szCs w:val="32"/>
        </w:rPr>
        <w:t>、</w:t>
      </w:r>
      <w:r>
        <w:rPr>
          <w:rFonts w:ascii="仿宋_GB2312" w:eastAsia="仿宋_GB2312"/>
          <w:sz w:val="32"/>
          <w:szCs w:val="32"/>
        </w:rPr>
        <w:t>按照干部管理权限，负责</w:t>
      </w:r>
      <w:r>
        <w:rPr>
          <w:rFonts w:hint="eastAsia" w:ascii="仿宋_GB2312" w:hAnsi="宋体" w:eastAsia="仿宋_GB2312" w:cs="宋体"/>
          <w:kern w:val="0"/>
          <w:sz w:val="32"/>
          <w:szCs w:val="32"/>
        </w:rPr>
        <w:t>北京经济技术开发区</w:t>
      </w:r>
      <w:r>
        <w:rPr>
          <w:rFonts w:ascii="仿宋_GB2312" w:eastAsia="仿宋_GB2312"/>
          <w:sz w:val="32"/>
          <w:szCs w:val="32"/>
        </w:rPr>
        <w:t>干部的教育培养，任免考核和监督工作。四</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思想政治工作和精神文明建设工作。五</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党的基层组织建设工作。六</w:t>
      </w:r>
      <w:r>
        <w:rPr>
          <w:rFonts w:hint="eastAsia" w:ascii="仿宋_GB2312" w:eastAsia="仿宋_GB2312"/>
          <w:sz w:val="32"/>
          <w:szCs w:val="32"/>
        </w:rPr>
        <w:t>、</w:t>
      </w:r>
      <w:r>
        <w:rPr>
          <w:rFonts w:ascii="仿宋_GB2312" w:eastAsia="仿宋_GB2312"/>
          <w:sz w:val="32"/>
          <w:szCs w:val="32"/>
        </w:rPr>
        <w:t>负责协调、指导</w:t>
      </w:r>
      <w:r>
        <w:rPr>
          <w:rFonts w:hint="eastAsia" w:ascii="仿宋_GB2312" w:hAnsi="宋体" w:eastAsia="仿宋_GB2312" w:cs="宋体"/>
          <w:kern w:val="0"/>
          <w:sz w:val="32"/>
          <w:szCs w:val="32"/>
        </w:rPr>
        <w:t>北京经济技术开发区</w:t>
      </w:r>
      <w:r>
        <w:rPr>
          <w:rFonts w:ascii="仿宋_GB2312" w:eastAsia="仿宋_GB2312"/>
          <w:sz w:val="32"/>
          <w:szCs w:val="32"/>
        </w:rPr>
        <w:t>政法工作及社会治安综合治理工作。七</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统战工作。八</w:t>
      </w:r>
      <w:r>
        <w:rPr>
          <w:rFonts w:hint="eastAsia" w:ascii="仿宋_GB2312" w:eastAsia="仿宋_GB2312"/>
          <w:sz w:val="32"/>
          <w:szCs w:val="32"/>
        </w:rPr>
        <w:t>、</w:t>
      </w:r>
      <w:r>
        <w:rPr>
          <w:rFonts w:ascii="仿宋_GB2312" w:eastAsia="仿宋_GB2312"/>
          <w:sz w:val="32"/>
          <w:szCs w:val="32"/>
        </w:rPr>
        <w:t>领导</w:t>
      </w:r>
      <w:r>
        <w:rPr>
          <w:rFonts w:hint="eastAsia" w:ascii="仿宋_GB2312" w:hAnsi="宋体" w:eastAsia="仿宋_GB2312" w:cs="宋体"/>
          <w:kern w:val="0"/>
          <w:sz w:val="32"/>
          <w:szCs w:val="32"/>
        </w:rPr>
        <w:t>北京经济技术开发区</w:t>
      </w:r>
      <w:r>
        <w:rPr>
          <w:rFonts w:ascii="仿宋_GB2312" w:eastAsia="仿宋_GB2312"/>
          <w:sz w:val="32"/>
          <w:szCs w:val="32"/>
        </w:rPr>
        <w:t>工会、共青团等群团组织，指导支持他们依照各自的章程独立负责地开展工作。九</w:t>
      </w:r>
      <w:r>
        <w:rPr>
          <w:rFonts w:hint="eastAsia" w:ascii="仿宋_GB2312" w:eastAsia="仿宋_GB2312"/>
          <w:sz w:val="32"/>
          <w:szCs w:val="32"/>
        </w:rPr>
        <w:t>、</w:t>
      </w:r>
      <w:r>
        <w:rPr>
          <w:rFonts w:ascii="仿宋_GB2312" w:eastAsia="仿宋_GB2312"/>
          <w:sz w:val="32"/>
          <w:szCs w:val="32"/>
        </w:rPr>
        <w:t>完成市委交办的其他工作。</w:t>
      </w:r>
    </w:p>
    <w:p w14:paraId="1D95C628">
      <w:pPr>
        <w:spacing w:line="560" w:lineRule="exact"/>
        <w:ind w:firstLine="555"/>
        <w:rPr>
          <w:rFonts w:ascii="仿宋_GB2312" w:eastAsia="仿宋_GB2312"/>
          <w:sz w:val="32"/>
          <w:szCs w:val="32"/>
        </w:rPr>
      </w:pPr>
      <w:r>
        <w:rPr>
          <w:rFonts w:hint="eastAsia" w:ascii="仿宋_GB2312" w:hAnsi="宋体" w:eastAsia="仿宋_GB2312" w:cs="宋体"/>
          <w:kern w:val="0"/>
          <w:sz w:val="32"/>
          <w:szCs w:val="32"/>
        </w:rPr>
        <w:t>北京经济技术开发区</w:t>
      </w:r>
      <w:r>
        <w:rPr>
          <w:rFonts w:ascii="仿宋_GB2312" w:eastAsia="仿宋_GB2312"/>
          <w:sz w:val="32"/>
          <w:szCs w:val="32"/>
        </w:rPr>
        <w:t>管委</w:t>
      </w:r>
      <w:r>
        <w:rPr>
          <w:rFonts w:hint="eastAsia" w:ascii="仿宋_GB2312" w:eastAsia="仿宋_GB2312"/>
          <w:sz w:val="32"/>
          <w:szCs w:val="32"/>
        </w:rPr>
        <w:t>的主要</w:t>
      </w:r>
      <w:r>
        <w:rPr>
          <w:rFonts w:ascii="仿宋_GB2312" w:eastAsia="仿宋_GB2312"/>
          <w:sz w:val="32"/>
          <w:szCs w:val="32"/>
        </w:rPr>
        <w:t>职责：一、贯彻执行国家的法律、法规和本市的法规、政策，研究拟订</w:t>
      </w:r>
      <w:r>
        <w:rPr>
          <w:rFonts w:hint="eastAsia" w:ascii="仿宋_GB2312" w:hAnsi="宋体" w:eastAsia="仿宋_GB2312" w:cs="宋体"/>
          <w:kern w:val="0"/>
          <w:sz w:val="32"/>
          <w:szCs w:val="32"/>
        </w:rPr>
        <w:t>北京经济技术开发区</w:t>
      </w:r>
      <w:r>
        <w:rPr>
          <w:rFonts w:ascii="仿宋_GB2312" w:eastAsia="仿宋_GB2312"/>
          <w:sz w:val="32"/>
          <w:szCs w:val="32"/>
        </w:rPr>
        <w:t>经济、社会发展规划，经市政府批准后组织实施。二</w:t>
      </w:r>
      <w:r>
        <w:rPr>
          <w:rFonts w:hint="eastAsia" w:ascii="仿宋_GB2312" w:eastAsia="仿宋_GB2312"/>
          <w:sz w:val="32"/>
          <w:szCs w:val="32"/>
        </w:rPr>
        <w:t>、</w:t>
      </w:r>
      <w:r>
        <w:rPr>
          <w:rFonts w:ascii="仿宋_GB2312" w:eastAsia="仿宋_GB2312"/>
          <w:sz w:val="32"/>
          <w:szCs w:val="32"/>
        </w:rPr>
        <w:t>制定并组织实施</w:t>
      </w:r>
      <w:r>
        <w:rPr>
          <w:rFonts w:hint="eastAsia" w:ascii="仿宋_GB2312" w:hAnsi="宋体" w:eastAsia="仿宋_GB2312" w:cs="宋体"/>
          <w:kern w:val="0"/>
          <w:sz w:val="32"/>
          <w:szCs w:val="32"/>
        </w:rPr>
        <w:t>北京经济技术开发区</w:t>
      </w:r>
      <w:r>
        <w:rPr>
          <w:rFonts w:ascii="仿宋_GB2312" w:eastAsia="仿宋_GB2312"/>
          <w:sz w:val="32"/>
          <w:szCs w:val="32"/>
        </w:rPr>
        <w:t>的行政管理规定。三</w:t>
      </w:r>
      <w:r>
        <w:rPr>
          <w:rFonts w:hint="eastAsia" w:ascii="仿宋_GB2312" w:eastAsia="仿宋_GB2312"/>
          <w:sz w:val="32"/>
          <w:szCs w:val="32"/>
        </w:rPr>
        <w:t>、</w:t>
      </w:r>
      <w:r>
        <w:rPr>
          <w:rFonts w:ascii="仿宋_GB2312" w:eastAsia="仿宋_GB2312"/>
          <w:sz w:val="32"/>
          <w:szCs w:val="32"/>
        </w:rPr>
        <w:t>按照规定权限审核、批准</w:t>
      </w:r>
      <w:r>
        <w:rPr>
          <w:rFonts w:hint="eastAsia" w:ascii="仿宋_GB2312" w:hAnsi="宋体" w:eastAsia="仿宋_GB2312" w:cs="宋体"/>
          <w:kern w:val="0"/>
          <w:sz w:val="32"/>
          <w:szCs w:val="32"/>
        </w:rPr>
        <w:t>北京经济技术开发区</w:t>
      </w:r>
      <w:r>
        <w:rPr>
          <w:rFonts w:ascii="仿宋_GB2312" w:eastAsia="仿宋_GB2312"/>
          <w:sz w:val="32"/>
          <w:szCs w:val="32"/>
        </w:rPr>
        <w:t>各类投资项目。四</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土地房屋城市建设管理工作。五</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各项基础设施和公共设施管理工作。六</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财政统计管理工作。七</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人事劳动和社会保障及计划生育管理工作。八、负责</w:t>
      </w:r>
      <w:r>
        <w:rPr>
          <w:rFonts w:hint="eastAsia" w:ascii="仿宋_GB2312" w:hAnsi="宋体" w:eastAsia="仿宋_GB2312" w:cs="宋体"/>
          <w:kern w:val="0"/>
          <w:sz w:val="32"/>
          <w:szCs w:val="32"/>
        </w:rPr>
        <w:t>北京经济技术开发区</w:t>
      </w:r>
      <w:r>
        <w:rPr>
          <w:rFonts w:ascii="仿宋_GB2312" w:eastAsia="仿宋_GB2312"/>
          <w:sz w:val="32"/>
          <w:szCs w:val="32"/>
        </w:rPr>
        <w:t>科技管理和知识产权保护工作，统一管理</w:t>
      </w:r>
      <w:r>
        <w:rPr>
          <w:rFonts w:hint="eastAsia" w:ascii="仿宋_GB2312" w:hAnsi="宋体" w:eastAsia="仿宋_GB2312" w:cs="宋体"/>
          <w:kern w:val="0"/>
          <w:sz w:val="32"/>
          <w:szCs w:val="32"/>
        </w:rPr>
        <w:t>北京经济技术开发区</w:t>
      </w:r>
      <w:r>
        <w:rPr>
          <w:rFonts w:ascii="仿宋_GB2312" w:eastAsia="仿宋_GB2312"/>
          <w:sz w:val="32"/>
          <w:szCs w:val="32"/>
        </w:rPr>
        <w:t>的信息化工作</w:t>
      </w:r>
      <w:r>
        <w:rPr>
          <w:rFonts w:hint="eastAsia" w:ascii="仿宋_GB2312" w:eastAsia="仿宋_GB2312"/>
          <w:sz w:val="32"/>
          <w:szCs w:val="32"/>
        </w:rPr>
        <w:t>。</w:t>
      </w:r>
      <w:r>
        <w:rPr>
          <w:rFonts w:ascii="仿宋_GB2312" w:eastAsia="仿宋_GB2312"/>
          <w:sz w:val="32"/>
          <w:szCs w:val="32"/>
        </w:rPr>
        <w:t>九</w:t>
      </w:r>
      <w:r>
        <w:rPr>
          <w:rFonts w:hint="eastAsia" w:ascii="仿宋_GB2312" w:eastAsia="仿宋_GB2312"/>
          <w:sz w:val="32"/>
          <w:szCs w:val="32"/>
        </w:rPr>
        <w:t>、</w:t>
      </w:r>
      <w:r>
        <w:rPr>
          <w:rFonts w:ascii="仿宋_GB2312" w:eastAsia="仿宋_GB2312"/>
          <w:sz w:val="32"/>
          <w:szCs w:val="32"/>
        </w:rPr>
        <w:t>负责</w:t>
      </w:r>
      <w:r>
        <w:rPr>
          <w:rFonts w:hint="eastAsia" w:ascii="仿宋_GB2312" w:hAnsi="宋体" w:eastAsia="仿宋_GB2312" w:cs="宋体"/>
          <w:kern w:val="0"/>
          <w:sz w:val="32"/>
          <w:szCs w:val="32"/>
        </w:rPr>
        <w:t>北京经济技术开发区</w:t>
      </w:r>
      <w:r>
        <w:rPr>
          <w:rFonts w:ascii="仿宋_GB2312" w:eastAsia="仿宋_GB2312"/>
          <w:sz w:val="32"/>
          <w:szCs w:val="32"/>
        </w:rPr>
        <w:t>环境保护安全生产管理工作</w:t>
      </w:r>
      <w:r>
        <w:rPr>
          <w:rFonts w:hint="eastAsia" w:ascii="仿宋_GB2312" w:eastAsia="仿宋_GB2312"/>
          <w:sz w:val="32"/>
          <w:szCs w:val="32"/>
        </w:rPr>
        <w:t>。</w:t>
      </w:r>
      <w:r>
        <w:rPr>
          <w:rFonts w:ascii="仿宋_GB2312" w:eastAsia="仿宋_GB2312"/>
          <w:sz w:val="32"/>
          <w:szCs w:val="32"/>
        </w:rPr>
        <w:t>十</w:t>
      </w:r>
      <w:r>
        <w:rPr>
          <w:rFonts w:hint="eastAsia" w:ascii="仿宋_GB2312" w:eastAsia="仿宋_GB2312"/>
          <w:sz w:val="32"/>
          <w:szCs w:val="32"/>
        </w:rPr>
        <w:t>、</w:t>
      </w:r>
      <w:r>
        <w:rPr>
          <w:rFonts w:ascii="仿宋_GB2312" w:eastAsia="仿宋_GB2312"/>
          <w:sz w:val="32"/>
          <w:szCs w:val="32"/>
        </w:rPr>
        <w:t>负责兴办、管理</w:t>
      </w:r>
      <w:r>
        <w:rPr>
          <w:rFonts w:hint="eastAsia" w:ascii="仿宋_GB2312" w:hAnsi="宋体" w:eastAsia="仿宋_GB2312" w:cs="宋体"/>
          <w:kern w:val="0"/>
          <w:sz w:val="32"/>
          <w:szCs w:val="32"/>
        </w:rPr>
        <w:t>北京经济技术开发区</w:t>
      </w:r>
      <w:r>
        <w:rPr>
          <w:rFonts w:ascii="仿宋_GB2312" w:eastAsia="仿宋_GB2312"/>
          <w:sz w:val="32"/>
          <w:szCs w:val="32"/>
        </w:rPr>
        <w:t>的教育文化，卫生体育等社会公益事业</w:t>
      </w:r>
      <w:r>
        <w:rPr>
          <w:rFonts w:hint="eastAsia" w:ascii="仿宋_GB2312" w:eastAsia="仿宋_GB2312"/>
          <w:sz w:val="32"/>
          <w:szCs w:val="32"/>
        </w:rPr>
        <w:t>。</w:t>
      </w:r>
      <w:r>
        <w:rPr>
          <w:rFonts w:ascii="仿宋_GB2312" w:eastAsia="仿宋_GB2312"/>
          <w:sz w:val="32"/>
          <w:szCs w:val="32"/>
        </w:rPr>
        <w:t>十一</w:t>
      </w:r>
      <w:r>
        <w:rPr>
          <w:rFonts w:hint="eastAsia" w:ascii="仿宋_GB2312" w:eastAsia="仿宋_GB2312"/>
          <w:sz w:val="32"/>
          <w:szCs w:val="32"/>
        </w:rPr>
        <w:t>、</w:t>
      </w:r>
      <w:r>
        <w:rPr>
          <w:rFonts w:ascii="仿宋_GB2312" w:eastAsia="仿宋_GB2312"/>
          <w:sz w:val="32"/>
          <w:szCs w:val="32"/>
        </w:rPr>
        <w:t>监督、检查、协调有关部门设在</w:t>
      </w:r>
      <w:r>
        <w:rPr>
          <w:rFonts w:hint="eastAsia" w:ascii="仿宋_GB2312" w:hAnsi="宋体" w:eastAsia="仿宋_GB2312" w:cs="宋体"/>
          <w:kern w:val="0"/>
          <w:sz w:val="32"/>
          <w:szCs w:val="32"/>
        </w:rPr>
        <w:t>北京经济技术开发区</w:t>
      </w:r>
      <w:r>
        <w:rPr>
          <w:rFonts w:ascii="仿宋_GB2312" w:eastAsia="仿宋_GB2312"/>
          <w:sz w:val="32"/>
          <w:szCs w:val="32"/>
        </w:rPr>
        <w:t>分支机构的工作</w:t>
      </w:r>
      <w:r>
        <w:rPr>
          <w:rFonts w:hint="eastAsia" w:ascii="仿宋_GB2312" w:eastAsia="仿宋_GB2312"/>
          <w:sz w:val="32"/>
          <w:szCs w:val="32"/>
        </w:rPr>
        <w:t>。</w:t>
      </w:r>
      <w:r>
        <w:rPr>
          <w:rFonts w:ascii="仿宋_GB2312" w:eastAsia="仿宋_GB2312"/>
          <w:sz w:val="32"/>
          <w:szCs w:val="32"/>
        </w:rPr>
        <w:t>十二、承办市政府交办的其他工作。</w:t>
      </w:r>
    </w:p>
    <w:p w14:paraId="08615F92">
      <w:pPr>
        <w:spacing w:line="560" w:lineRule="exact"/>
        <w:ind w:firstLine="555"/>
        <w:rPr>
          <w:rFonts w:ascii="仿宋_GB2312" w:eastAsia="仿宋_GB2312"/>
          <w:sz w:val="32"/>
          <w:szCs w:val="32"/>
        </w:rPr>
      </w:pPr>
      <w:r>
        <w:rPr>
          <w:rFonts w:hint="eastAsia" w:ascii="仿宋_GB2312" w:eastAsia="仿宋_GB2312"/>
          <w:sz w:val="32"/>
          <w:szCs w:val="32"/>
        </w:rPr>
        <w:t>（二）人员构成情况</w:t>
      </w:r>
    </w:p>
    <w:p w14:paraId="692A5667">
      <w:pPr>
        <w:spacing w:line="560" w:lineRule="exact"/>
        <w:ind w:firstLine="640" w:firstLineChars="200"/>
        <w:rPr>
          <w:rFonts w:ascii="仿宋_GB2312" w:eastAsia="仿宋_GB2312"/>
          <w:sz w:val="32"/>
          <w:szCs w:val="32"/>
        </w:rPr>
      </w:pPr>
      <w:r>
        <w:rPr>
          <w:rFonts w:hint="eastAsia" w:ascii="仿宋_GB2312" w:eastAsia="仿宋_GB2312"/>
          <w:sz w:val="32"/>
          <w:szCs w:val="32"/>
        </w:rPr>
        <w:t>北京经济技术开发区行政编制362人（含城管分局66人的行政执法人员编制），实际312人；事业编制451人，实际283人；退休人员99人。</w:t>
      </w:r>
    </w:p>
    <w:p w14:paraId="5A05B9BE">
      <w:pPr>
        <w:spacing w:line="560" w:lineRule="exact"/>
        <w:ind w:firstLine="640" w:firstLineChars="200"/>
        <w:outlineLvl w:val="0"/>
        <w:rPr>
          <w:rFonts w:ascii="仿宋_GB2312" w:eastAsia="仿宋_GB2312"/>
          <w:b/>
          <w:sz w:val="32"/>
          <w:szCs w:val="32"/>
        </w:rPr>
      </w:pPr>
      <w:r>
        <w:rPr>
          <w:rFonts w:hint="eastAsia" w:ascii="仿宋_GB2312" w:eastAsia="仿宋_GB2312"/>
          <w:b/>
          <w:sz w:val="32"/>
          <w:szCs w:val="32"/>
        </w:rPr>
        <w:t>三、收入预算说明</w:t>
      </w:r>
    </w:p>
    <w:p w14:paraId="5002E4B0">
      <w:pPr>
        <w:spacing w:line="560" w:lineRule="exact"/>
        <w:ind w:firstLine="555"/>
        <w:rPr>
          <w:rFonts w:ascii="仿宋_GB2312" w:eastAsia="仿宋_GB2312"/>
          <w:sz w:val="32"/>
          <w:szCs w:val="32"/>
        </w:rPr>
      </w:pPr>
      <w:r>
        <w:rPr>
          <w:rFonts w:hint="eastAsia" w:ascii="仿宋_GB2312" w:eastAsia="仿宋_GB2312"/>
          <w:sz w:val="32"/>
          <w:szCs w:val="32"/>
        </w:rPr>
        <w:t>2018年收入预算1753000万元，比2017年1553000万元增加200000万元，增长12.88%。其中：财政拨款1753000万元，比2017年1553000万元增加200000万元。</w:t>
      </w:r>
    </w:p>
    <w:p w14:paraId="7C59CE73">
      <w:pPr>
        <w:spacing w:line="560" w:lineRule="exact"/>
        <w:ind w:firstLine="555"/>
        <w:outlineLvl w:val="0"/>
        <w:rPr>
          <w:rFonts w:ascii="仿宋_GB2312" w:eastAsia="仿宋_GB2312"/>
          <w:b/>
          <w:sz w:val="32"/>
          <w:szCs w:val="32"/>
        </w:rPr>
      </w:pPr>
      <w:r>
        <w:rPr>
          <w:rFonts w:hint="eastAsia" w:ascii="仿宋_GB2312" w:eastAsia="仿宋_GB2312"/>
          <w:b/>
          <w:sz w:val="32"/>
          <w:szCs w:val="32"/>
        </w:rPr>
        <w:t>四、支出预算说明</w:t>
      </w:r>
    </w:p>
    <w:p w14:paraId="6A3B1867">
      <w:pPr>
        <w:spacing w:line="560" w:lineRule="exact"/>
        <w:ind w:firstLine="555"/>
        <w:rPr>
          <w:rFonts w:ascii="仿宋_GB2312" w:eastAsia="仿宋_GB2312"/>
          <w:sz w:val="32"/>
          <w:szCs w:val="32"/>
        </w:rPr>
      </w:pPr>
      <w:r>
        <w:rPr>
          <w:rFonts w:hint="eastAsia" w:ascii="仿宋_GB2312" w:eastAsia="仿宋_GB2312"/>
          <w:sz w:val="32"/>
          <w:szCs w:val="32"/>
        </w:rPr>
        <w:t>项目支出预算1753000万元，比2017年1553000万元增加200000万元，增长12.88 %，增加原因：集中优势资源，建设全国科技创新中心，构建高精尖经济结构；进一步推进腾笼换鸟，深化弹性土地供应等政策；创新体制机制，促进科技创新成果转移转化；激发市场主体活力，发挥好国有投融资平台作用；加强基础设施建设，不断完善企业持续发展硬环境，</w:t>
      </w:r>
      <w:r>
        <w:rPr>
          <w:rFonts w:hint="eastAsia" w:ascii="仿宋_GB2312" w:eastAsia="仿宋_GB2312" w:cs="楷体_GB2312"/>
          <w:sz w:val="32"/>
          <w:szCs w:val="32"/>
        </w:rPr>
        <w:t>强化企业政策支撑能力，推动城业互促、产城融合</w:t>
      </w:r>
      <w:r>
        <w:rPr>
          <w:rFonts w:hint="eastAsia" w:ascii="仿宋_GB2312" w:eastAsia="仿宋_GB2312"/>
          <w:sz w:val="32"/>
          <w:szCs w:val="32"/>
        </w:rPr>
        <w:t>。</w:t>
      </w:r>
    </w:p>
    <w:p w14:paraId="2D7068F3">
      <w:pPr>
        <w:spacing w:line="560" w:lineRule="exact"/>
        <w:ind w:firstLine="555"/>
        <w:rPr>
          <w:rFonts w:ascii="仿宋_GB2312" w:eastAsia="仿宋_GB2312"/>
          <w:sz w:val="32"/>
          <w:szCs w:val="32"/>
        </w:rPr>
      </w:pPr>
      <w:r>
        <w:rPr>
          <w:rFonts w:hint="eastAsia" w:ascii="仿宋_GB2312" w:eastAsia="仿宋_GB2312"/>
          <w:sz w:val="32"/>
          <w:szCs w:val="32"/>
        </w:rPr>
        <w:t>部门预算项目主要为：</w:t>
      </w:r>
    </w:p>
    <w:p w14:paraId="0BAFD5AE">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1.机构运行保障类项目支出</w:t>
      </w:r>
      <w:r>
        <w:rPr>
          <w:rFonts w:ascii="仿宋_GB2312" w:eastAsia="仿宋_GB2312"/>
          <w:sz w:val="32"/>
          <w:szCs w:val="32"/>
        </w:rPr>
        <w:t>97802.03</w:t>
      </w:r>
      <w:r>
        <w:rPr>
          <w:rFonts w:hint="eastAsia" w:ascii="仿宋_GB2312" w:eastAsia="仿宋_GB2312"/>
          <w:sz w:val="32"/>
          <w:szCs w:val="32"/>
        </w:rPr>
        <w:t>万元，用于保障各行政事业单位机构正常运转所需的支出25532.09万元；保障各行政事业单位机构日常履职所需的各项项目支出72269.94万元。</w:t>
      </w:r>
    </w:p>
    <w:p w14:paraId="2598B680">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2.推动创新创业、构建高精尖经济结构项目支出</w:t>
      </w:r>
      <w:r>
        <w:rPr>
          <w:rFonts w:ascii="仿宋_GB2312" w:eastAsia="仿宋_GB2312"/>
          <w:sz w:val="32"/>
          <w:szCs w:val="32"/>
        </w:rPr>
        <w:t>1209330</w:t>
      </w:r>
      <w:r>
        <w:rPr>
          <w:rFonts w:hint="eastAsia" w:ascii="仿宋_GB2312" w:eastAsia="仿宋_GB2312"/>
          <w:sz w:val="32"/>
          <w:szCs w:val="32"/>
        </w:rPr>
        <w:t>万元，用于科技创新驱动发展支出</w:t>
      </w:r>
      <w:r>
        <w:rPr>
          <w:rFonts w:ascii="仿宋_GB2312" w:eastAsia="仿宋_GB2312"/>
          <w:sz w:val="32"/>
          <w:szCs w:val="32"/>
        </w:rPr>
        <w:t>9</w:t>
      </w:r>
      <w:r>
        <w:rPr>
          <w:rFonts w:hint="eastAsia" w:ascii="仿宋_GB2312" w:eastAsia="仿宋_GB2312"/>
          <w:sz w:val="32"/>
          <w:szCs w:val="32"/>
        </w:rPr>
        <w:t>7101万元、构建高精尖经济结构支出798139万元、扶持企业发展支出</w:t>
      </w:r>
      <w:r>
        <w:rPr>
          <w:rFonts w:ascii="仿宋_GB2312" w:eastAsia="仿宋_GB2312"/>
          <w:sz w:val="32"/>
          <w:szCs w:val="32"/>
        </w:rPr>
        <w:t>314090</w:t>
      </w:r>
      <w:r>
        <w:rPr>
          <w:rFonts w:hint="eastAsia" w:ascii="仿宋_GB2312" w:eastAsia="仿宋_GB2312"/>
          <w:sz w:val="32"/>
          <w:szCs w:val="32"/>
        </w:rPr>
        <w:t>万元。</w:t>
      </w:r>
    </w:p>
    <w:p w14:paraId="3A741A35">
      <w:pPr>
        <w:adjustRightInd w:val="0"/>
        <w:snapToGrid w:val="0"/>
        <w:spacing w:line="560" w:lineRule="exact"/>
        <w:ind w:firstLine="640" w:firstLineChars="200"/>
        <w:rPr>
          <w:rFonts w:ascii="仿宋_GB2312" w:eastAsia="仿宋_GB2312"/>
          <w:color w:val="000000"/>
          <w:sz w:val="32"/>
          <w:szCs w:val="32"/>
        </w:rPr>
      </w:pPr>
      <w:r>
        <w:rPr>
          <w:rFonts w:hint="eastAsia" w:ascii="仿宋_GB2312" w:eastAsia="仿宋_GB2312"/>
          <w:sz w:val="32"/>
          <w:szCs w:val="32"/>
        </w:rPr>
        <w:t>3.加强重点项目建设、促进经济稳增长项目支出14500万元，用于</w:t>
      </w:r>
      <w:r>
        <w:rPr>
          <w:rFonts w:hint="eastAsia" w:ascii="仿宋_GB2312" w:eastAsia="仿宋_GB2312"/>
          <w:color w:val="000000"/>
          <w:sz w:val="32"/>
          <w:szCs w:val="32"/>
        </w:rPr>
        <w:t>主动培育增长新动能激发外贸发展潜力、打造国际化营商环境构建外贸发展新优势。</w:t>
      </w:r>
    </w:p>
    <w:p w14:paraId="752352A0">
      <w:pPr>
        <w:adjustRightInd w:val="0"/>
        <w:snapToGrid w:val="0"/>
        <w:spacing w:line="560" w:lineRule="exact"/>
        <w:ind w:firstLine="640" w:firstLineChars="200"/>
        <w:rPr>
          <w:rFonts w:ascii="仿宋_GB2312" w:eastAsia="仿宋_GB2312"/>
          <w:color w:val="000000"/>
          <w:sz w:val="32"/>
          <w:szCs w:val="32"/>
        </w:rPr>
      </w:pPr>
      <w:r>
        <w:rPr>
          <w:rFonts w:hint="eastAsia" w:ascii="仿宋_GB2312" w:eastAsia="仿宋_GB2312"/>
          <w:sz w:val="32"/>
          <w:szCs w:val="32"/>
        </w:rPr>
        <w:t>4.破解城市发展难题、建设和谐宜居之区项目支出</w:t>
      </w:r>
      <w:r>
        <w:rPr>
          <w:rFonts w:ascii="仿宋_GB2312" w:eastAsia="仿宋_GB2312"/>
          <w:sz w:val="32"/>
          <w:szCs w:val="32"/>
        </w:rPr>
        <w:t>139211.49</w:t>
      </w:r>
      <w:r>
        <w:rPr>
          <w:rFonts w:hint="eastAsia" w:ascii="仿宋_GB2312" w:eastAsia="仿宋_GB2312"/>
          <w:sz w:val="32"/>
          <w:szCs w:val="32"/>
        </w:rPr>
        <w:t>万元，用于大气污染治理、节能减排、营造绿色和谐的商务居住环境等生态环境建设支出</w:t>
      </w:r>
      <w:r>
        <w:rPr>
          <w:rFonts w:ascii="仿宋_GB2312" w:eastAsia="仿宋_GB2312"/>
          <w:sz w:val="32"/>
          <w:szCs w:val="32"/>
        </w:rPr>
        <w:t>80919.66</w:t>
      </w:r>
      <w:r>
        <w:rPr>
          <w:rFonts w:hint="eastAsia" w:ascii="仿宋_GB2312" w:eastAsia="仿宋_GB2312"/>
          <w:sz w:val="32"/>
          <w:szCs w:val="32"/>
        </w:rPr>
        <w:t>万元；核心区管理、市场监管、综配区建设、城市维护、保障社会安全稳定等提高城市规划建设管理水平支出58291.83 万元。</w:t>
      </w:r>
    </w:p>
    <w:p w14:paraId="419205D6">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5.保障和改善民生、促进基本公共服务均等化项目支出</w:t>
      </w:r>
      <w:r>
        <w:rPr>
          <w:rFonts w:ascii="仿宋_GB2312" w:eastAsia="仿宋_GB2312"/>
          <w:sz w:val="32"/>
          <w:szCs w:val="32"/>
        </w:rPr>
        <w:t>257808.10</w:t>
      </w:r>
      <w:r>
        <w:rPr>
          <w:rFonts w:hint="eastAsia" w:ascii="仿宋_GB2312" w:eastAsia="仿宋_GB2312"/>
          <w:sz w:val="32"/>
          <w:szCs w:val="32"/>
        </w:rPr>
        <w:t>万元，用于保障性安居工程建设支出</w:t>
      </w:r>
      <w:r>
        <w:rPr>
          <w:rFonts w:ascii="仿宋_GB2312" w:eastAsia="仿宋_GB2312"/>
          <w:sz w:val="32"/>
          <w:szCs w:val="32"/>
        </w:rPr>
        <w:t>187811.50</w:t>
      </w:r>
      <w:r>
        <w:rPr>
          <w:rFonts w:hint="eastAsia" w:ascii="仿宋_GB2312" w:eastAsia="仿宋_GB2312"/>
          <w:sz w:val="32"/>
          <w:szCs w:val="32"/>
        </w:rPr>
        <w:t>万元；教育、医疗、文化、体育、养老、社保、就业等提升公共服务水平支出69996.6万元；</w:t>
      </w:r>
    </w:p>
    <w:p w14:paraId="7C52A98F">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6.机动财力及总预备费项目支出</w:t>
      </w:r>
      <w:r>
        <w:rPr>
          <w:rFonts w:ascii="仿宋_GB2312" w:eastAsia="仿宋_GB2312"/>
          <w:sz w:val="32"/>
          <w:szCs w:val="32"/>
        </w:rPr>
        <w:t>34348.38</w:t>
      </w:r>
      <w:r>
        <w:rPr>
          <w:rFonts w:hint="eastAsia" w:ascii="仿宋_GB2312" w:eastAsia="仿宋_GB2312"/>
          <w:sz w:val="32"/>
          <w:szCs w:val="32"/>
        </w:rPr>
        <w:t>万元，用于调剂其他各项支出。</w:t>
      </w:r>
    </w:p>
    <w:p w14:paraId="4B3C4E38">
      <w:pPr>
        <w:spacing w:line="560" w:lineRule="exact"/>
        <w:ind w:firstLine="555"/>
        <w:outlineLvl w:val="0"/>
        <w:rPr>
          <w:rFonts w:ascii="仿宋_GB2312" w:eastAsia="仿宋_GB2312"/>
          <w:b/>
          <w:sz w:val="32"/>
          <w:szCs w:val="32"/>
        </w:rPr>
      </w:pPr>
      <w:r>
        <w:rPr>
          <w:rFonts w:hint="eastAsia" w:ascii="仿宋_GB2312" w:eastAsia="仿宋_GB2312"/>
          <w:b/>
          <w:sz w:val="32"/>
          <w:szCs w:val="32"/>
        </w:rPr>
        <w:t>五、部门“三公”经费财政拨款预算说明</w:t>
      </w:r>
    </w:p>
    <w:p w14:paraId="1FE524F2">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（一）</w:t>
      </w:r>
      <w:r>
        <w:rPr>
          <w:rFonts w:hint="eastAsia" w:ascii="仿宋_GB2312" w:eastAsia="仿宋_GB2312"/>
          <w:sz w:val="32"/>
          <w:szCs w:val="32"/>
          <w:lang w:eastAsia="zh-CN"/>
        </w:rPr>
        <w:t>“三公”经费</w:t>
      </w:r>
      <w:r>
        <w:rPr>
          <w:rFonts w:hint="eastAsia" w:ascii="仿宋_GB2312" w:eastAsia="仿宋_GB2312"/>
          <w:sz w:val="32"/>
          <w:szCs w:val="32"/>
        </w:rPr>
        <w:t>的单位范围</w:t>
      </w:r>
    </w:p>
    <w:p w14:paraId="60236D2B">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2018年北京经济技术开发区因公出国（境）费用、公务接待费、公务用车购置和运行维护费开支范围包括三定方案中的25个内设部门和下属33个事业单位。另外,北京经济技术开发区城管分局为北京经济技术开发区管委会代管的行政单位，北京经济技术开发区规划分局为北京市规委垂直管理单位实行属地半垂直管理，上述两个单位的“三公”经费均由北京经济技术开发区管委会负担。</w:t>
      </w:r>
    </w:p>
    <w:p w14:paraId="5AEED9A4">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（二）</w:t>
      </w:r>
      <w:r>
        <w:rPr>
          <w:rFonts w:hint="eastAsia" w:ascii="仿宋_GB2312" w:eastAsia="仿宋_GB2312"/>
          <w:sz w:val="32"/>
          <w:szCs w:val="32"/>
          <w:lang w:eastAsia="zh-CN"/>
        </w:rPr>
        <w:t>“三公”经费</w:t>
      </w:r>
      <w:r>
        <w:rPr>
          <w:rFonts w:hint="eastAsia" w:ascii="仿宋_GB2312" w:eastAsia="仿宋_GB2312"/>
          <w:sz w:val="32"/>
          <w:szCs w:val="32"/>
        </w:rPr>
        <w:t>财政拨款情况说明</w:t>
      </w:r>
    </w:p>
    <w:p w14:paraId="317AB344">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2018年</w:t>
      </w:r>
      <w:r>
        <w:rPr>
          <w:rFonts w:hint="eastAsia" w:ascii="仿宋_GB2312" w:eastAsia="仿宋_GB2312"/>
          <w:sz w:val="32"/>
          <w:szCs w:val="32"/>
          <w:lang w:eastAsia="zh-CN"/>
        </w:rPr>
        <w:t>“三公”经费</w:t>
      </w:r>
      <w:r>
        <w:rPr>
          <w:rFonts w:hint="eastAsia" w:ascii="仿宋_GB2312" w:eastAsia="仿宋_GB2312"/>
          <w:sz w:val="32"/>
          <w:szCs w:val="32"/>
        </w:rPr>
        <w:t>财政拨款预算482.95万元，比2017年</w:t>
      </w:r>
      <w:r>
        <w:rPr>
          <w:rFonts w:hint="eastAsia" w:ascii="仿宋_GB2312" w:eastAsia="仿宋_GB2312"/>
          <w:sz w:val="32"/>
          <w:szCs w:val="32"/>
          <w:lang w:eastAsia="zh-CN"/>
        </w:rPr>
        <w:t>“三公”经费</w:t>
      </w:r>
      <w:r>
        <w:rPr>
          <w:rFonts w:hint="eastAsia" w:ascii="仿宋_GB2312" w:eastAsia="仿宋_GB2312"/>
          <w:sz w:val="32"/>
          <w:szCs w:val="32"/>
        </w:rPr>
        <w:t>财政拨款预算712.44万元减少229.49万元。其中：</w:t>
      </w:r>
    </w:p>
    <w:p w14:paraId="3201EF80">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1.因公出国（境）费用。2018年预算数210.33万元，与2017年预算数持平。2018年因公出国（境）费用主要用于国际旅费、国外城市间交通费、住宿费、伙食费、公杂费等。</w:t>
      </w:r>
    </w:p>
    <w:p w14:paraId="6987E2CC">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公务接待费。2018年预算数50万元，比2017年预算数54.45万元减少4.45万元，主要原因：严格执行中央八项规定，厉行节约，预计公务接待减少。2018年公务接待费主要用于开展国内外相关单位调研接待事项、学习交流、业务研讨，打造创新驱动发展的前沿阵地，构建高精尖经济结构，服务京津冀等相关活动的支出。</w:t>
      </w:r>
    </w:p>
    <w:p w14:paraId="2E049075">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3.公务用车购置和运行维护费。2018年预算数222.62万元，比2017年预算数447.66万元减少225.04万元。一是公务用车购置费2018年预算数33.92万元，比2017年预算数253.46万元减少219.54万元,主要原因：2017年为贯彻北京市环保政策对国Ⅰ国Ⅱ老旧机动车和达到报废年限的小客车进行更新；2018年对达到使用年限的轿车进行更新购置；二是公务用车运行维护费2018年预算数188.7万元，其中：公务用车加油31.5万元，公务用车维修56.25万元，公务用车保险39.95万元，其他61万元。比2017年预算数194.2万元减少5.5万元，主要原因是：根据2018年北京市财政局预算编报的相关规定， 2018年“行政类”和“事业类”单位车辆定额标准比2017年标准调低1000元。</w:t>
      </w:r>
    </w:p>
    <w:p w14:paraId="746DDAEA">
      <w:pPr>
        <w:spacing w:line="560" w:lineRule="exact"/>
        <w:ind w:firstLine="555"/>
        <w:outlineLvl w:val="0"/>
        <w:rPr>
          <w:rFonts w:ascii="仿宋_GB2312" w:eastAsia="仿宋_GB2312"/>
          <w:b/>
          <w:sz w:val="32"/>
          <w:szCs w:val="32"/>
        </w:rPr>
      </w:pPr>
      <w:r>
        <w:rPr>
          <w:rFonts w:hint="eastAsia" w:ascii="仿宋_GB2312" w:eastAsia="仿宋_GB2312"/>
          <w:b/>
          <w:sz w:val="32"/>
          <w:szCs w:val="32"/>
        </w:rPr>
        <w:t>六、其他情况说明</w:t>
      </w:r>
    </w:p>
    <w:p w14:paraId="47EF97BA">
      <w:pPr>
        <w:spacing w:line="560" w:lineRule="exact"/>
        <w:ind w:firstLine="555"/>
        <w:outlineLvl w:val="0"/>
        <w:rPr>
          <w:rFonts w:ascii="仿宋_GB2312" w:eastAsia="仿宋_GB2312" w:hAnsiTheme="minorEastAsia"/>
          <w:sz w:val="32"/>
          <w:szCs w:val="32"/>
        </w:rPr>
      </w:pPr>
      <w:r>
        <w:rPr>
          <w:rFonts w:hint="eastAsia" w:ascii="仿宋_GB2312" w:eastAsia="仿宋_GB2312" w:hAnsiTheme="minorEastAsia"/>
          <w:sz w:val="32"/>
          <w:szCs w:val="32"/>
        </w:rPr>
        <w:t>（一）部门政府采购预算说明</w:t>
      </w:r>
    </w:p>
    <w:p w14:paraId="3D3C57C1">
      <w:pPr>
        <w:spacing w:line="560" w:lineRule="exact"/>
        <w:ind w:firstLine="640" w:firstLineChars="200"/>
        <w:rPr>
          <w:rFonts w:ascii="仿宋_GB2312" w:eastAsia="仿宋_GB2312"/>
          <w:sz w:val="32"/>
          <w:szCs w:val="32"/>
        </w:rPr>
      </w:pPr>
      <w:r>
        <w:rPr>
          <w:rFonts w:hint="eastAsia" w:ascii="仿宋_GB2312" w:eastAsia="仿宋_GB2312"/>
          <w:sz w:val="32"/>
          <w:szCs w:val="32"/>
        </w:rPr>
        <w:t>2018年北京经济技术开发区部门政府采购预算总额17413.78万元，其中：政府采购货物预算4144.07万元，政府采购服务预算13269.71万元。</w:t>
      </w:r>
    </w:p>
    <w:p w14:paraId="2CD3CCFA">
      <w:pPr>
        <w:spacing w:line="560" w:lineRule="exact"/>
        <w:ind w:firstLine="555"/>
        <w:outlineLvl w:val="0"/>
        <w:rPr>
          <w:rFonts w:ascii="仿宋_GB2312" w:eastAsia="仿宋_GB2312" w:hAnsiTheme="minorEastAsia"/>
          <w:sz w:val="32"/>
          <w:szCs w:val="32"/>
        </w:rPr>
      </w:pPr>
      <w:r>
        <w:rPr>
          <w:rFonts w:hint="eastAsia" w:ascii="仿宋_GB2312" w:eastAsia="仿宋_GB2312" w:hAnsiTheme="minorEastAsia"/>
          <w:sz w:val="32"/>
          <w:szCs w:val="32"/>
        </w:rPr>
        <w:t>（二）部门政府购买服务预算说明</w:t>
      </w:r>
    </w:p>
    <w:p w14:paraId="4B163F7D">
      <w:pPr>
        <w:spacing w:line="560" w:lineRule="exact"/>
        <w:ind w:firstLine="645"/>
        <w:rPr>
          <w:rFonts w:ascii="仿宋_GB2312" w:eastAsia="仿宋_GB2312"/>
          <w:color w:val="000000"/>
          <w:sz w:val="32"/>
          <w:szCs w:val="32"/>
        </w:rPr>
      </w:pPr>
      <w:r>
        <w:rPr>
          <w:rFonts w:hint="eastAsia" w:ascii="仿宋_GB2312" w:eastAsia="仿宋_GB2312"/>
          <w:color w:val="000000"/>
          <w:sz w:val="32"/>
          <w:szCs w:val="32"/>
        </w:rPr>
        <w:t>本部门无政府</w:t>
      </w:r>
      <w:r>
        <w:rPr>
          <w:rFonts w:ascii="仿宋_GB2312" w:eastAsia="仿宋_GB2312"/>
          <w:color w:val="000000"/>
          <w:sz w:val="32"/>
          <w:szCs w:val="32"/>
        </w:rPr>
        <w:t>购买服务预算。</w:t>
      </w:r>
    </w:p>
    <w:p w14:paraId="07658CED">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（三）机关运行经费说明</w:t>
      </w:r>
    </w:p>
    <w:p w14:paraId="3E7AD489">
      <w:pPr>
        <w:spacing w:line="560" w:lineRule="exact"/>
        <w:ind w:firstLine="640" w:firstLineChars="200"/>
        <w:rPr>
          <w:rFonts w:ascii="黑体" w:eastAsia="黑体"/>
          <w:b/>
          <w:sz w:val="32"/>
          <w:szCs w:val="32"/>
        </w:rPr>
      </w:pPr>
      <w:r>
        <w:rPr>
          <w:rFonts w:hint="eastAsia" w:ascii="仿宋_GB2312" w:eastAsia="仿宋_GB2312"/>
          <w:color w:val="000000"/>
          <w:sz w:val="32"/>
          <w:szCs w:val="32"/>
        </w:rPr>
        <w:t>本部门不在机关运行经费统计范围之内。</w:t>
      </w:r>
    </w:p>
    <w:p w14:paraId="01A81D87">
      <w:pPr>
        <w:spacing w:line="560" w:lineRule="exact"/>
        <w:ind w:firstLine="645"/>
        <w:rPr>
          <w:rFonts w:ascii="仿宋_GB2312" w:eastAsia="仿宋_GB2312"/>
          <w:color w:val="000000"/>
          <w:sz w:val="32"/>
          <w:szCs w:val="32"/>
        </w:rPr>
      </w:pPr>
      <w:r>
        <w:rPr>
          <w:rFonts w:hint="eastAsia" w:ascii="仿宋_GB2312" w:eastAsia="仿宋_GB2312"/>
          <w:color w:val="000000"/>
          <w:sz w:val="32"/>
          <w:szCs w:val="32"/>
        </w:rPr>
        <w:t>（四）项目支出绩效目标情况说明</w:t>
      </w:r>
    </w:p>
    <w:p w14:paraId="343D9EFA">
      <w:pPr>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2018年，填报绩效目标的预算项目5个，占全部预算项目6个的83.33%。填报绩效目标的项目支出预算</w:t>
      </w:r>
      <w:r>
        <w:rPr>
          <w:rFonts w:ascii="仿宋_GB2312" w:eastAsia="仿宋_GB2312"/>
          <w:sz w:val="32"/>
          <w:szCs w:val="32"/>
        </w:rPr>
        <w:t>1655197.97</w:t>
      </w:r>
      <w:r>
        <w:rPr>
          <w:rFonts w:hint="eastAsia" w:ascii="仿宋_GB2312" w:hAnsi="宋体" w:eastAsia="仿宋_GB2312" w:cs="宋体"/>
          <w:kern w:val="0"/>
          <w:sz w:val="32"/>
          <w:szCs w:val="32"/>
        </w:rPr>
        <w:t>万元，占全部项目支出预算的94.42%</w:t>
      </w:r>
      <w:r>
        <w:rPr>
          <w:rFonts w:hint="eastAsia" w:ascii="仿宋_GB2312" w:eastAsia="仿宋_GB2312"/>
          <w:color w:val="000000"/>
          <w:sz w:val="32"/>
          <w:szCs w:val="32"/>
        </w:rPr>
        <w:t>（详见附件</w:t>
      </w:r>
      <w:r>
        <w:rPr>
          <w:rFonts w:ascii="仿宋_GB2312" w:eastAsia="仿宋_GB2312"/>
          <w:color w:val="000000"/>
          <w:sz w:val="32"/>
          <w:szCs w:val="32"/>
        </w:rPr>
        <w:t>11</w:t>
      </w:r>
      <w:r>
        <w:rPr>
          <w:rFonts w:hint="eastAsia" w:ascii="仿宋_GB2312" w:eastAsia="仿宋_GB2312"/>
          <w:color w:val="000000"/>
          <w:sz w:val="32"/>
          <w:szCs w:val="32"/>
        </w:rPr>
        <w:t>）</w:t>
      </w:r>
      <w:r>
        <w:rPr>
          <w:rFonts w:hint="eastAsia" w:ascii="仿宋_GB2312" w:hAnsi="宋体" w:eastAsia="仿宋_GB2312" w:cs="宋体"/>
          <w:kern w:val="0"/>
          <w:sz w:val="32"/>
          <w:szCs w:val="32"/>
        </w:rPr>
        <w:t>。</w:t>
      </w:r>
    </w:p>
    <w:p w14:paraId="6BB134FE">
      <w:pPr>
        <w:spacing w:line="560" w:lineRule="exact"/>
        <w:ind w:firstLine="645"/>
        <w:rPr>
          <w:rFonts w:ascii="仿宋_GB2312" w:hAnsi="宋体" w:eastAsia="仿宋_GB2312" w:cs="宋体"/>
          <w:kern w:val="0"/>
          <w:sz w:val="32"/>
          <w:szCs w:val="32"/>
        </w:rPr>
      </w:pPr>
      <w:r>
        <w:rPr>
          <w:rFonts w:hint="eastAsia" w:ascii="仿宋_GB2312" w:eastAsia="仿宋_GB2312"/>
          <w:color w:val="000000"/>
          <w:sz w:val="32"/>
          <w:szCs w:val="32"/>
        </w:rPr>
        <w:t>（五）政府性基金预算财政拨款情况说明</w:t>
      </w:r>
    </w:p>
    <w:p w14:paraId="583E6CD5">
      <w:pPr>
        <w:spacing w:line="560" w:lineRule="exact"/>
        <w:ind w:firstLine="640" w:firstLineChars="200"/>
        <w:rPr>
          <w:rFonts w:ascii="仿宋_GB2312" w:hAnsi="仿宋_GB2312" w:eastAsia="仿宋_GB2312" w:cs="仿宋_GB2312"/>
          <w:sz w:val="32"/>
          <w:szCs w:val="32"/>
        </w:rPr>
      </w:pPr>
      <w:r>
        <w:rPr>
          <w:rFonts w:hint="eastAsia" w:ascii="仿宋_GB2312" w:hAnsi="宋体" w:eastAsia="仿宋_GB2312" w:cs="宋体"/>
          <w:color w:val="000000"/>
          <w:kern w:val="0"/>
          <w:sz w:val="32"/>
          <w:szCs w:val="32"/>
        </w:rPr>
        <w:t>北京经济技术开发区政府性基金预算包含在市级政府性基金预算中，由市局经建二处批复北京经济技术开发区后执行。</w:t>
      </w:r>
    </w:p>
    <w:p w14:paraId="0C41C1BD">
      <w:pPr>
        <w:spacing w:line="560" w:lineRule="exact"/>
        <w:ind w:firstLine="640" w:firstLineChars="200"/>
        <w:rPr>
          <w:rFonts w:ascii="仿宋_GB2312" w:eastAsia="仿宋_GB2312"/>
          <w:color w:val="000000"/>
          <w:sz w:val="32"/>
          <w:szCs w:val="32"/>
        </w:rPr>
      </w:pPr>
      <w:r>
        <w:rPr>
          <w:rFonts w:hint="eastAsia" w:ascii="仿宋_GB2312" w:hAnsi="宋体" w:eastAsia="仿宋_GB2312" w:cs="宋体"/>
          <w:color w:val="000000"/>
          <w:kern w:val="0"/>
          <w:sz w:val="32"/>
          <w:szCs w:val="32"/>
        </w:rPr>
        <w:t>2018年北京经济技术开发区政府性基金预算收入1000000万元，其中土地成本500000万元，土地收益500000万元；支出1000000万元，</w:t>
      </w:r>
      <w:r>
        <w:rPr>
          <w:rFonts w:hint="eastAsia" w:ascii="仿宋_GB2312" w:eastAsia="仿宋_GB2312"/>
          <w:color w:val="000000"/>
          <w:sz w:val="32"/>
          <w:szCs w:val="32"/>
        </w:rPr>
        <w:t>其中：一是返还土地成本支出500000万元，主要用于12平方成本返还397851.26万元，固投资金80048.74万元，产业园区基础设施建设资金22100万元；二是返还土地收益支出500000万元，主要用于固投资金交通治堵投入70000万元，根据开发区城市发展情况投向公租房回购、产业转型升级、基础设施建设等拟安排支出430000万元，按照具体项目向市财政局申报。</w:t>
      </w:r>
    </w:p>
    <w:p w14:paraId="1D836BFF">
      <w:pPr>
        <w:spacing w:line="560" w:lineRule="exact"/>
        <w:ind w:firstLine="645"/>
        <w:rPr>
          <w:rFonts w:ascii="仿宋_GB2312" w:eastAsia="仿宋_GB2312"/>
          <w:color w:val="000000"/>
          <w:sz w:val="32"/>
          <w:szCs w:val="32"/>
        </w:rPr>
      </w:pPr>
      <w:r>
        <w:rPr>
          <w:rFonts w:hint="eastAsia" w:ascii="仿宋_GB2312" w:eastAsia="仿宋_GB2312"/>
          <w:color w:val="000000"/>
          <w:sz w:val="32"/>
          <w:szCs w:val="32"/>
        </w:rPr>
        <w:t>（六）国有资本经营预算财政拨款情况说明</w:t>
      </w:r>
    </w:p>
    <w:p w14:paraId="7B71A105">
      <w:pPr>
        <w:spacing w:line="560" w:lineRule="exact"/>
        <w:ind w:firstLine="640" w:firstLineChars="200"/>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北京经济技术开发区国有资本经营预算包含在市级国有资本经营预算中，由市局资产处批复北京经济技术开发区后执行。</w:t>
      </w:r>
    </w:p>
    <w:p w14:paraId="6E35904A">
      <w:pPr>
        <w:spacing w:line="560" w:lineRule="exact"/>
        <w:ind w:firstLine="640" w:firstLineChars="200"/>
        <w:rPr>
          <w:rFonts w:ascii="仿宋_GB2312" w:eastAsia="仿宋_GB2312"/>
          <w:color w:val="000000"/>
          <w:sz w:val="32"/>
          <w:szCs w:val="32"/>
        </w:rPr>
      </w:pPr>
      <w:r>
        <w:rPr>
          <w:rFonts w:hint="eastAsia" w:ascii="仿宋_GB2312" w:hAnsi="宋体" w:eastAsia="仿宋_GB2312" w:cs="宋体"/>
          <w:color w:val="000000"/>
          <w:kern w:val="0"/>
          <w:sz w:val="32"/>
          <w:szCs w:val="32"/>
        </w:rPr>
        <w:t>2018年北京经济技术开发区国有资本经营预算收入</w:t>
      </w:r>
      <w:r>
        <w:rPr>
          <w:rFonts w:hint="eastAsia" w:ascii="仿宋_GB2312" w:eastAsia="仿宋_GB2312"/>
          <w:sz w:val="32"/>
          <w:szCs w:val="32"/>
        </w:rPr>
        <w:t>12564.23</w:t>
      </w:r>
      <w:r>
        <w:rPr>
          <w:rFonts w:hint="eastAsia" w:ascii="仿宋_GB2312" w:hAnsi="宋体" w:eastAsia="仿宋_GB2312" w:cs="宋体"/>
          <w:color w:val="000000"/>
          <w:kern w:val="0"/>
          <w:sz w:val="32"/>
          <w:szCs w:val="32"/>
        </w:rPr>
        <w:t>万元；支出</w:t>
      </w:r>
      <w:r>
        <w:rPr>
          <w:rFonts w:hint="eastAsia" w:ascii="仿宋_GB2312" w:eastAsia="仿宋_GB2312"/>
          <w:sz w:val="32"/>
          <w:szCs w:val="32"/>
        </w:rPr>
        <w:t>12564.23</w:t>
      </w:r>
      <w:r>
        <w:rPr>
          <w:rFonts w:hint="eastAsia" w:ascii="仿宋_GB2312" w:hAnsi="宋体" w:eastAsia="仿宋_GB2312" w:cs="宋体"/>
          <w:color w:val="000000"/>
          <w:kern w:val="0"/>
          <w:sz w:val="32"/>
          <w:szCs w:val="32"/>
        </w:rPr>
        <w:t>万元，</w:t>
      </w:r>
      <w:r>
        <w:rPr>
          <w:rFonts w:hint="eastAsia" w:ascii="仿宋_GB2312" w:eastAsia="仿宋_GB2312"/>
          <w:color w:val="000000"/>
          <w:sz w:val="32"/>
          <w:szCs w:val="32"/>
        </w:rPr>
        <w:t>主要用于增资亦国投和亦庄控股，投向安鹏行远新能源项目、芯动能项目以及产业升级改造项目、信息基础设施建设项目等。</w:t>
      </w:r>
    </w:p>
    <w:p w14:paraId="7721EBF5">
      <w:pPr>
        <w:spacing w:line="560" w:lineRule="exact"/>
        <w:ind w:firstLine="645"/>
        <w:rPr>
          <w:rFonts w:ascii="仿宋_GB2312" w:eastAsia="仿宋_GB2312"/>
          <w:color w:val="000000"/>
          <w:sz w:val="32"/>
          <w:szCs w:val="32"/>
        </w:rPr>
      </w:pPr>
      <w:r>
        <w:rPr>
          <w:rFonts w:hint="eastAsia" w:ascii="仿宋_GB2312" w:eastAsia="仿宋_GB2312"/>
          <w:color w:val="000000"/>
          <w:sz w:val="32"/>
          <w:szCs w:val="32"/>
        </w:rPr>
        <w:t>（七）国有资产占用情况说明</w:t>
      </w:r>
    </w:p>
    <w:p w14:paraId="0FEF3BBE">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截止2017年底，本部门固定资产总额55909.03万元，其中：车辆128辆，3495.02万元；单位价值50万元以上的通用设备12台、3570.44万元，单位价值100万元以上的专用设备5台、1192.98万元。</w:t>
      </w:r>
    </w:p>
    <w:p w14:paraId="0C79D246">
      <w:pPr>
        <w:spacing w:line="560" w:lineRule="exact"/>
        <w:ind w:firstLine="640" w:firstLineChars="200"/>
        <w:rPr>
          <w:rFonts w:ascii="仿宋_GB2312" w:eastAsia="仿宋_GB2312"/>
          <w:b/>
          <w:color w:val="000000"/>
          <w:sz w:val="32"/>
          <w:szCs w:val="32"/>
        </w:rPr>
      </w:pPr>
      <w:r>
        <w:rPr>
          <w:rFonts w:hint="eastAsia" w:ascii="仿宋_GB2312" w:eastAsia="仿宋_GB2312"/>
          <w:b/>
          <w:color w:val="000000"/>
          <w:sz w:val="32"/>
          <w:szCs w:val="32"/>
        </w:rPr>
        <w:t>七、</w:t>
      </w:r>
      <w:r>
        <w:rPr>
          <w:rFonts w:ascii="仿宋_GB2312" w:eastAsia="仿宋_GB2312"/>
          <w:b/>
          <w:color w:val="000000"/>
          <w:sz w:val="32"/>
          <w:szCs w:val="32"/>
        </w:rPr>
        <w:t>名词解释</w:t>
      </w:r>
    </w:p>
    <w:p w14:paraId="4D2E453A">
      <w:pPr>
        <w:spacing w:line="560" w:lineRule="exact"/>
        <w:ind w:firstLine="645"/>
        <w:rPr>
          <w:rFonts w:ascii="仿宋_GB2312" w:eastAsia="仿宋_GB2312"/>
          <w:color w:val="000000"/>
          <w:sz w:val="32"/>
          <w:szCs w:val="32"/>
        </w:rPr>
      </w:pPr>
      <w:r>
        <w:rPr>
          <w:rFonts w:hint="eastAsia" w:ascii="仿宋_GB2312" w:eastAsia="仿宋_GB2312"/>
          <w:color w:val="000000"/>
          <w:sz w:val="32"/>
          <w:szCs w:val="32"/>
        </w:rPr>
        <w:t>“三公”经费财政拨款预算数：指本部门当年部门预算安排的因公出国（境）费用、公务接待费、公务用车购置和运行维护费预算数。</w:t>
      </w:r>
    </w:p>
    <w:p w14:paraId="7CD28054">
      <w:pPr>
        <w:spacing w:line="560" w:lineRule="exact"/>
        <w:ind w:firstLine="645"/>
        <w:rPr>
          <w:rFonts w:ascii="仿宋_GB2312" w:eastAsia="仿宋_GB2312"/>
          <w:color w:val="000000"/>
          <w:sz w:val="32"/>
          <w:szCs w:val="32"/>
        </w:rPr>
      </w:pPr>
      <w:r>
        <w:rPr>
          <w:rFonts w:hint="eastAsia" w:ascii="仿宋_GB2312" w:eastAsia="仿宋_GB2312"/>
          <w:color w:val="000000"/>
          <w:sz w:val="32"/>
          <w:szCs w:val="32"/>
        </w:rPr>
        <w:t>机关运行经费：指为保障行政单位（含参照公务员法管理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5499C457">
      <w:pPr>
        <w:spacing w:line="560" w:lineRule="exact"/>
        <w:ind w:firstLine="640" w:firstLineChars="200"/>
        <w:rPr>
          <w:rFonts w:ascii="Arial" w:hAnsi="Arial" w:cs="Arial"/>
          <w:kern w:val="0"/>
          <w:sz w:val="32"/>
          <w:szCs w:val="32"/>
        </w:rPr>
      </w:pPr>
    </w:p>
    <w:p w14:paraId="2DA0D324">
      <w:pPr>
        <w:autoSpaceDE w:val="0"/>
        <w:autoSpaceDN w:val="0"/>
        <w:adjustRightInd w:val="0"/>
        <w:spacing w:line="560" w:lineRule="exact"/>
        <w:ind w:firstLine="640" w:firstLineChars="200"/>
        <w:jc w:val="left"/>
        <w:rPr>
          <w:rFonts w:ascii="仿宋_GB2312" w:eastAsia="仿宋_GB2312" w:cs="宋体"/>
          <w:color w:val="000000"/>
          <w:kern w:val="0"/>
          <w:sz w:val="32"/>
          <w:szCs w:val="32"/>
          <w:lang w:val="zh-CN"/>
        </w:rPr>
      </w:pPr>
      <w:r>
        <w:rPr>
          <w:rFonts w:hint="eastAsia" w:ascii="仿宋_GB2312" w:eastAsia="仿宋_GB2312"/>
          <w:sz w:val="32"/>
          <w:szCs w:val="32"/>
        </w:rPr>
        <w:t>附件：</w:t>
      </w:r>
      <w:r>
        <w:rPr>
          <w:rFonts w:hint="eastAsia" w:ascii="仿宋_GB2312" w:eastAsia="仿宋_GB2312" w:cs="宋体"/>
          <w:color w:val="000000"/>
          <w:kern w:val="0"/>
          <w:sz w:val="32"/>
          <w:szCs w:val="32"/>
          <w:lang w:val="zh-CN"/>
        </w:rPr>
        <w:t>1.收支总表</w:t>
      </w:r>
    </w:p>
    <w:p w14:paraId="535A4E36">
      <w:pPr>
        <w:autoSpaceDE w:val="0"/>
        <w:autoSpaceDN w:val="0"/>
        <w:adjustRightInd w:val="0"/>
        <w:spacing w:line="560" w:lineRule="exact"/>
        <w:jc w:val="left"/>
        <w:rPr>
          <w:rFonts w:ascii="仿宋_GB2312" w:eastAsia="仿宋_GB2312" w:cs="宋体"/>
          <w:color w:val="000000"/>
          <w:kern w:val="0"/>
          <w:sz w:val="32"/>
          <w:szCs w:val="32"/>
          <w:lang w:val="zh-CN"/>
        </w:rPr>
      </w:pPr>
      <w:r>
        <w:rPr>
          <w:rFonts w:hint="eastAsia" w:ascii="仿宋_GB2312" w:eastAsia="仿宋_GB2312" w:cs="宋体"/>
          <w:color w:val="000000"/>
          <w:kern w:val="0"/>
          <w:sz w:val="32"/>
          <w:szCs w:val="32"/>
          <w:lang w:val="zh-CN"/>
        </w:rPr>
        <w:t>2.收入</w:t>
      </w:r>
      <w:r>
        <w:rPr>
          <w:rFonts w:ascii="仿宋_GB2312" w:eastAsia="仿宋_GB2312" w:cs="宋体"/>
          <w:color w:val="000000"/>
          <w:kern w:val="0"/>
          <w:sz w:val="32"/>
          <w:szCs w:val="32"/>
          <w:lang w:val="zh-CN"/>
        </w:rPr>
        <w:t>总表</w:t>
      </w:r>
    </w:p>
    <w:p w14:paraId="39A4BF46">
      <w:pPr>
        <w:autoSpaceDE w:val="0"/>
        <w:autoSpaceDN w:val="0"/>
        <w:adjustRightInd w:val="0"/>
        <w:spacing w:line="560" w:lineRule="exact"/>
        <w:jc w:val="left"/>
        <w:rPr>
          <w:rFonts w:ascii="仿宋_GB2312" w:eastAsia="仿宋_GB2312" w:cs="宋体"/>
          <w:color w:val="000000"/>
          <w:kern w:val="0"/>
          <w:sz w:val="32"/>
          <w:szCs w:val="32"/>
          <w:lang w:val="zh-CN"/>
        </w:rPr>
      </w:pPr>
      <w:r>
        <w:rPr>
          <w:rFonts w:hint="eastAsia" w:ascii="仿宋_GB2312" w:eastAsia="仿宋_GB2312" w:cs="宋体"/>
          <w:color w:val="000000"/>
          <w:kern w:val="0"/>
          <w:sz w:val="32"/>
          <w:szCs w:val="32"/>
          <w:lang w:val="zh-CN"/>
        </w:rPr>
        <w:t>3.支出总表</w:t>
      </w:r>
    </w:p>
    <w:p w14:paraId="3D1320CC">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4.</w:t>
      </w:r>
      <w:r>
        <w:rPr>
          <w:rFonts w:hint="eastAsia" w:ascii="仿宋_GB2312" w:eastAsia="仿宋_GB2312" w:cs="宋体"/>
          <w:color w:val="000000"/>
          <w:kern w:val="0"/>
          <w:sz w:val="32"/>
          <w:szCs w:val="32"/>
          <w:lang w:val="zh-CN"/>
        </w:rPr>
        <w:t>财政拨款</w:t>
      </w:r>
      <w:r>
        <w:rPr>
          <w:rFonts w:ascii="仿宋_GB2312" w:eastAsia="仿宋_GB2312" w:cs="宋体"/>
          <w:color w:val="000000"/>
          <w:kern w:val="0"/>
          <w:sz w:val="32"/>
          <w:szCs w:val="32"/>
          <w:lang w:val="zh-CN"/>
        </w:rPr>
        <w:t>收支总表</w:t>
      </w:r>
    </w:p>
    <w:p w14:paraId="3C933C4A">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5</w:t>
      </w:r>
      <w:r>
        <w:rPr>
          <w:rFonts w:hint="eastAsia" w:ascii="仿宋_GB2312" w:eastAsia="仿宋_GB2312" w:cs="宋体"/>
          <w:color w:val="000000"/>
          <w:kern w:val="0"/>
          <w:sz w:val="32"/>
          <w:szCs w:val="32"/>
          <w:lang w:val="zh-CN"/>
        </w:rPr>
        <w:t>.一般</w:t>
      </w:r>
      <w:r>
        <w:rPr>
          <w:rFonts w:ascii="仿宋_GB2312" w:eastAsia="仿宋_GB2312" w:cs="宋体"/>
          <w:color w:val="000000"/>
          <w:kern w:val="0"/>
          <w:sz w:val="32"/>
          <w:szCs w:val="32"/>
          <w:lang w:val="zh-CN"/>
        </w:rPr>
        <w:t>公共预算</w:t>
      </w:r>
      <w:r>
        <w:rPr>
          <w:rFonts w:hint="eastAsia" w:ascii="仿宋_GB2312" w:eastAsia="仿宋_GB2312" w:cs="宋体"/>
          <w:color w:val="000000"/>
          <w:kern w:val="0"/>
          <w:sz w:val="32"/>
          <w:szCs w:val="32"/>
          <w:lang w:val="zh-CN"/>
        </w:rPr>
        <w:t>财政拨款</w:t>
      </w:r>
      <w:r>
        <w:rPr>
          <w:rFonts w:ascii="仿宋_GB2312" w:eastAsia="仿宋_GB2312" w:cs="宋体"/>
          <w:color w:val="000000"/>
          <w:kern w:val="0"/>
          <w:sz w:val="32"/>
          <w:szCs w:val="32"/>
          <w:lang w:val="zh-CN"/>
        </w:rPr>
        <w:t>支出表</w:t>
      </w:r>
    </w:p>
    <w:p w14:paraId="0355D667">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6</w:t>
      </w:r>
      <w:r>
        <w:rPr>
          <w:rFonts w:hint="eastAsia" w:ascii="仿宋_GB2312" w:eastAsia="仿宋_GB2312" w:cs="宋体"/>
          <w:color w:val="000000"/>
          <w:kern w:val="0"/>
          <w:sz w:val="32"/>
          <w:szCs w:val="32"/>
          <w:lang w:val="zh-CN"/>
        </w:rPr>
        <w:t>.一般</w:t>
      </w:r>
      <w:r>
        <w:rPr>
          <w:rFonts w:ascii="仿宋_GB2312" w:eastAsia="仿宋_GB2312" w:cs="宋体"/>
          <w:color w:val="000000"/>
          <w:kern w:val="0"/>
          <w:sz w:val="32"/>
          <w:szCs w:val="32"/>
          <w:lang w:val="zh-CN"/>
        </w:rPr>
        <w:t>公共预算</w:t>
      </w:r>
      <w:r>
        <w:rPr>
          <w:rFonts w:hint="eastAsia" w:ascii="仿宋_GB2312" w:eastAsia="仿宋_GB2312" w:cs="宋体"/>
          <w:color w:val="000000"/>
          <w:kern w:val="0"/>
          <w:sz w:val="32"/>
          <w:szCs w:val="32"/>
          <w:lang w:val="zh-CN"/>
        </w:rPr>
        <w:t>财政拨款</w:t>
      </w:r>
      <w:r>
        <w:rPr>
          <w:rFonts w:ascii="仿宋_GB2312" w:eastAsia="仿宋_GB2312" w:cs="宋体"/>
          <w:color w:val="000000"/>
          <w:kern w:val="0"/>
          <w:sz w:val="32"/>
          <w:szCs w:val="32"/>
          <w:lang w:val="zh-CN"/>
        </w:rPr>
        <w:t>基本支出表</w:t>
      </w:r>
    </w:p>
    <w:p w14:paraId="724B2CCA">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7</w:t>
      </w:r>
      <w:r>
        <w:rPr>
          <w:rFonts w:hint="eastAsia" w:ascii="仿宋_GB2312" w:eastAsia="仿宋_GB2312" w:cs="宋体"/>
          <w:color w:val="000000"/>
          <w:kern w:val="0"/>
          <w:sz w:val="32"/>
          <w:szCs w:val="32"/>
          <w:lang w:val="zh-CN"/>
        </w:rPr>
        <w:t>.一般公共</w:t>
      </w:r>
      <w:r>
        <w:rPr>
          <w:rFonts w:ascii="仿宋_GB2312" w:eastAsia="仿宋_GB2312" w:cs="宋体"/>
          <w:color w:val="000000"/>
          <w:kern w:val="0"/>
          <w:sz w:val="32"/>
          <w:szCs w:val="32"/>
          <w:lang w:val="zh-CN"/>
        </w:rPr>
        <w:t>预算</w:t>
      </w:r>
      <w:r>
        <w:rPr>
          <w:rFonts w:hint="eastAsia" w:ascii="仿宋_GB2312" w:eastAsia="仿宋_GB2312" w:cs="宋体"/>
          <w:color w:val="000000"/>
          <w:kern w:val="0"/>
          <w:sz w:val="32"/>
          <w:szCs w:val="32"/>
          <w:lang w:val="zh-CN"/>
        </w:rPr>
        <w:t>财政拨款</w:t>
      </w:r>
      <w:r>
        <w:rPr>
          <w:rFonts w:ascii="仿宋_GB2312" w:eastAsia="仿宋_GB2312" w:cs="宋体"/>
          <w:color w:val="000000"/>
          <w:kern w:val="0"/>
          <w:sz w:val="32"/>
          <w:szCs w:val="32"/>
          <w:lang w:val="zh-CN"/>
        </w:rPr>
        <w:t>项目支出表</w:t>
      </w:r>
    </w:p>
    <w:p w14:paraId="120F245E">
      <w:pPr>
        <w:autoSpaceDE w:val="0"/>
        <w:autoSpaceDN w:val="0"/>
        <w:adjustRightInd w:val="0"/>
        <w:spacing w:line="560" w:lineRule="exact"/>
        <w:ind w:firstLine="1600" w:firstLineChars="500"/>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8.政府性基金预算</w:t>
      </w:r>
      <w:r>
        <w:rPr>
          <w:rFonts w:hint="eastAsia" w:ascii="仿宋_GB2312" w:eastAsia="仿宋_GB2312" w:cs="宋体"/>
          <w:color w:val="000000"/>
          <w:kern w:val="0"/>
          <w:sz w:val="32"/>
          <w:szCs w:val="32"/>
          <w:lang w:val="zh-CN"/>
        </w:rPr>
        <w:t>财政拨款</w:t>
      </w:r>
      <w:r>
        <w:rPr>
          <w:rFonts w:ascii="仿宋_GB2312" w:eastAsia="仿宋_GB2312" w:cs="宋体"/>
          <w:color w:val="000000"/>
          <w:kern w:val="0"/>
          <w:sz w:val="32"/>
          <w:szCs w:val="32"/>
          <w:lang w:val="zh-CN"/>
        </w:rPr>
        <w:t>支出表</w:t>
      </w:r>
    </w:p>
    <w:p w14:paraId="5A84E1DC">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9.财政拨款（</w:t>
      </w:r>
      <w:r>
        <w:rPr>
          <w:rFonts w:hint="eastAsia" w:ascii="仿宋_GB2312" w:eastAsia="仿宋_GB2312" w:cs="宋体"/>
          <w:color w:val="000000"/>
          <w:kern w:val="0"/>
          <w:sz w:val="32"/>
          <w:szCs w:val="32"/>
          <w:lang w:val="zh-CN"/>
        </w:rPr>
        <w:t>含</w:t>
      </w:r>
      <w:r>
        <w:rPr>
          <w:rFonts w:ascii="仿宋_GB2312" w:eastAsia="仿宋_GB2312" w:cs="宋体"/>
          <w:color w:val="000000"/>
          <w:kern w:val="0"/>
          <w:sz w:val="32"/>
          <w:szCs w:val="32"/>
          <w:lang w:val="zh-CN"/>
        </w:rPr>
        <w:t>一般公共预算和政府性基金预算）</w:t>
      </w:r>
    </w:p>
    <w:p w14:paraId="69E1FAF8">
      <w:pPr>
        <w:autoSpaceDE w:val="0"/>
        <w:autoSpaceDN w:val="0"/>
        <w:adjustRightInd w:val="0"/>
        <w:spacing w:line="560" w:lineRule="exact"/>
        <w:ind w:firstLine="1760" w:firstLineChars="550"/>
        <w:jc w:val="left"/>
        <w:rPr>
          <w:rFonts w:ascii="仿宋_GB2312" w:eastAsia="仿宋_GB2312" w:cs="宋体"/>
          <w:color w:val="000000"/>
          <w:kern w:val="0"/>
          <w:sz w:val="32"/>
          <w:szCs w:val="32"/>
          <w:lang w:val="zh-CN"/>
        </w:rPr>
      </w:pPr>
      <w:r>
        <w:rPr>
          <w:rFonts w:hint="eastAsia" w:ascii="仿宋_GB2312" w:eastAsia="仿宋_GB2312" w:cs="宋体"/>
          <w:color w:val="000000"/>
          <w:kern w:val="0"/>
          <w:sz w:val="32"/>
          <w:szCs w:val="32"/>
          <w:lang w:val="zh-CN"/>
        </w:rPr>
        <w:t>“三公</w:t>
      </w:r>
      <w:r>
        <w:rPr>
          <w:rFonts w:ascii="仿宋_GB2312" w:eastAsia="仿宋_GB2312" w:cs="宋体"/>
          <w:color w:val="000000"/>
          <w:kern w:val="0"/>
          <w:sz w:val="32"/>
          <w:szCs w:val="32"/>
          <w:lang w:val="zh-CN"/>
        </w:rPr>
        <w:t>”</w:t>
      </w:r>
      <w:r>
        <w:rPr>
          <w:rFonts w:hint="eastAsia" w:ascii="仿宋_GB2312" w:eastAsia="仿宋_GB2312" w:cs="宋体"/>
          <w:color w:val="000000"/>
          <w:kern w:val="0"/>
          <w:sz w:val="32"/>
          <w:szCs w:val="32"/>
          <w:lang w:val="zh-CN"/>
        </w:rPr>
        <w:t>经费支出</w:t>
      </w:r>
      <w:r>
        <w:rPr>
          <w:rFonts w:ascii="仿宋_GB2312" w:eastAsia="仿宋_GB2312" w:cs="宋体"/>
          <w:color w:val="000000"/>
          <w:kern w:val="0"/>
          <w:sz w:val="32"/>
          <w:szCs w:val="32"/>
          <w:lang w:val="zh-CN"/>
        </w:rPr>
        <w:t>表</w:t>
      </w:r>
    </w:p>
    <w:p w14:paraId="6EFC3060">
      <w:pPr>
        <w:autoSpaceDE w:val="0"/>
        <w:autoSpaceDN w:val="0"/>
        <w:adjustRightInd w:val="0"/>
        <w:spacing w:line="560" w:lineRule="exact"/>
        <w:ind w:firstLine="1600" w:firstLineChars="500"/>
        <w:jc w:val="left"/>
        <w:rPr>
          <w:rFonts w:ascii="仿宋_GB2312" w:eastAsia="仿宋_GB2312" w:cs="宋体"/>
          <w:color w:val="000000"/>
          <w:kern w:val="0"/>
          <w:sz w:val="32"/>
          <w:szCs w:val="32"/>
          <w:lang w:val="zh-CN"/>
        </w:rPr>
      </w:pPr>
      <w:r>
        <w:rPr>
          <w:rFonts w:ascii="仿宋_GB2312" w:eastAsia="仿宋_GB2312" w:cs="宋体"/>
          <w:color w:val="000000"/>
          <w:kern w:val="0"/>
          <w:sz w:val="32"/>
          <w:szCs w:val="32"/>
          <w:lang w:val="zh-CN"/>
        </w:rPr>
        <w:t>10</w:t>
      </w:r>
      <w:r>
        <w:rPr>
          <w:rFonts w:hint="eastAsia" w:ascii="仿宋_GB2312" w:eastAsia="仿宋_GB2312" w:cs="宋体"/>
          <w:color w:val="000000"/>
          <w:kern w:val="0"/>
          <w:sz w:val="32"/>
          <w:szCs w:val="32"/>
          <w:lang w:val="zh-CN"/>
        </w:rPr>
        <w:t>.政府</w:t>
      </w:r>
      <w:r>
        <w:rPr>
          <w:rFonts w:ascii="仿宋_GB2312" w:eastAsia="仿宋_GB2312" w:cs="宋体"/>
          <w:color w:val="000000"/>
          <w:kern w:val="0"/>
          <w:sz w:val="32"/>
          <w:szCs w:val="32"/>
          <w:lang w:val="zh-CN"/>
        </w:rPr>
        <w:t>购买服务预算</w:t>
      </w:r>
      <w:r>
        <w:rPr>
          <w:rFonts w:hint="eastAsia" w:ascii="仿宋_GB2312" w:eastAsia="仿宋_GB2312" w:cs="宋体"/>
          <w:color w:val="000000"/>
          <w:kern w:val="0"/>
          <w:sz w:val="32"/>
          <w:szCs w:val="32"/>
          <w:lang w:val="zh-CN"/>
        </w:rPr>
        <w:t>财政拨款</w:t>
      </w:r>
      <w:r>
        <w:rPr>
          <w:rFonts w:ascii="仿宋_GB2312" w:eastAsia="仿宋_GB2312" w:cs="宋体"/>
          <w:color w:val="000000"/>
          <w:kern w:val="0"/>
          <w:sz w:val="32"/>
          <w:szCs w:val="32"/>
          <w:lang w:val="zh-CN"/>
        </w:rPr>
        <w:t>明细表</w:t>
      </w:r>
    </w:p>
    <w:p w14:paraId="1DA14B6D">
      <w:pPr>
        <w:autoSpaceDE w:val="0"/>
        <w:autoSpaceDN w:val="0"/>
        <w:adjustRightInd w:val="0"/>
        <w:spacing w:line="560" w:lineRule="exact"/>
        <w:ind w:firstLine="1600" w:firstLineChars="500"/>
        <w:jc w:val="left"/>
        <w:rPr>
          <w:rFonts w:ascii="仿宋_GB2312" w:eastAsia="仿宋_GB2312" w:cs="宋体"/>
          <w:color w:val="000000"/>
          <w:kern w:val="0"/>
          <w:sz w:val="32"/>
          <w:szCs w:val="32"/>
          <w:lang w:val="zh-CN"/>
        </w:rPr>
      </w:pPr>
      <w:r>
        <w:rPr>
          <w:rFonts w:hint="eastAsia" w:ascii="仿宋_GB2312" w:eastAsia="仿宋_GB2312" w:cs="宋体"/>
          <w:color w:val="000000"/>
          <w:kern w:val="0"/>
          <w:sz w:val="32"/>
          <w:szCs w:val="32"/>
          <w:lang w:val="zh-CN"/>
        </w:rPr>
        <w:t>1</w:t>
      </w:r>
      <w:r>
        <w:rPr>
          <w:rFonts w:ascii="仿宋_GB2312" w:eastAsia="仿宋_GB2312" w:cs="宋体"/>
          <w:color w:val="000000"/>
          <w:kern w:val="0"/>
          <w:sz w:val="32"/>
          <w:szCs w:val="32"/>
          <w:lang w:val="zh-CN"/>
        </w:rPr>
        <w:t>1.项目支出绩效目标申报表</w:t>
      </w:r>
    </w:p>
    <w:p w14:paraId="5E32DB58">
      <w:pPr>
        <w:rPr>
          <w:sz w:val="32"/>
          <w:szCs w:val="32"/>
        </w:rPr>
      </w:pPr>
    </w:p>
    <w:p w14:paraId="2587D0D7">
      <w:pPr>
        <w:rPr>
          <w:sz w:val="32"/>
          <w:szCs w:val="32"/>
        </w:rPr>
      </w:pPr>
    </w:p>
    <w:p w14:paraId="5BBBD14E">
      <w:pPr>
        <w:widowControl/>
        <w:jc w:val="left"/>
        <w:rPr>
          <w:sz w:val="32"/>
          <w:szCs w:val="32"/>
        </w:rPr>
        <w:sectPr>
          <w:footerReference r:id="rId3" w:type="default"/>
          <w:footerReference r:id="rId4" w:type="even"/>
          <w:pgSz w:w="11906" w:h="16838"/>
          <w:pgMar w:top="1440" w:right="1797" w:bottom="1440" w:left="1797" w:header="851" w:footer="992" w:gutter="0"/>
          <w:pgNumType w:fmt="numberInDash"/>
          <w:cols w:space="425" w:num="1"/>
          <w:docGrid w:type="linesAndChars" w:linePitch="312" w:charSpace="0"/>
        </w:sectPr>
      </w:pPr>
      <w:r>
        <w:rPr>
          <w:sz w:val="32"/>
          <w:szCs w:val="32"/>
        </w:rPr>
        <w:br w:type="page"/>
      </w:r>
    </w:p>
    <w:p w14:paraId="639DB463">
      <w:pPr>
        <w:spacing w:line="560" w:lineRule="exact"/>
        <w:jc w:val="left"/>
        <w:rPr>
          <w:rFonts w:ascii="仿宋_GB2312" w:hAnsi="黑体" w:eastAsia="仿宋_GB2312"/>
          <w:sz w:val="32"/>
          <w:szCs w:val="32"/>
        </w:rPr>
      </w:pPr>
    </w:p>
    <w:sectPr>
      <w:footerReference r:id="rId5" w:type="default"/>
      <w:footerReference r:id="rId6" w:type="even"/>
      <w:pgSz w:w="11906" w:h="16838"/>
      <w:pgMar w:top="1440" w:right="1797" w:bottom="1440" w:left="1797" w:header="851" w:footer="992" w:gutter="0"/>
      <w:pgNumType w:fmt="numberInDash"/>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10" w:usb3="00000000" w:csb0="00040000"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E6F70">
    <w:pPr>
      <w:pStyle w:val="5"/>
      <w:jc w:val="right"/>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w:t>
    </w:r>
    <w:r>
      <w:rPr>
        <w:rFonts w:ascii="Times New Roman" w:hAnsi="Times New Roman"/>
        <w:sz w:val="28"/>
        <w:szCs w:val="28"/>
      </w:rPr>
      <w:t xml:space="preserve"> 13 -</w:t>
    </w:r>
    <w:r>
      <w:rPr>
        <w:rFonts w:ascii="Times New Roman" w:hAnsi="Times New Roman"/>
        <w:sz w:val="28"/>
        <w:szCs w:val="28"/>
      </w:rPr>
      <w:fldChar w:fldCharType="end"/>
    </w:r>
  </w:p>
  <w:p w14:paraId="1C3D64CE">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C32585">
    <w:pPr>
      <w:pStyle w:val="5"/>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w:t>
    </w:r>
    <w:r>
      <w:rPr>
        <w:rFonts w:ascii="Times New Roman" w:hAnsi="Times New Roman"/>
        <w:sz w:val="28"/>
        <w:szCs w:val="28"/>
      </w:rPr>
      <w:t xml:space="preserve"> 12 -</w:t>
    </w:r>
    <w:r>
      <w:rPr>
        <w:rFonts w:ascii="Times New Roman" w:hAnsi="Times New Roman"/>
        <w:sz w:val="28"/>
        <w:szCs w:val="28"/>
      </w:rPr>
      <w:fldChar w:fldCharType="end"/>
    </w:r>
  </w:p>
  <w:p w14:paraId="6EDA3BE0">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ED9FE">
    <w:pPr>
      <w:pStyle w:val="5"/>
      <w:jc w:val="right"/>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w:t>
    </w:r>
    <w:r>
      <w:rPr>
        <w:rFonts w:ascii="Times New Roman" w:hAnsi="Times New Roman"/>
        <w:sz w:val="28"/>
        <w:szCs w:val="28"/>
      </w:rPr>
      <w:t xml:space="preserve"> 17 -</w:t>
    </w:r>
    <w:r>
      <w:rPr>
        <w:rFonts w:ascii="Times New Roman" w:hAnsi="Times New Roman"/>
        <w:sz w:val="28"/>
        <w:szCs w:val="28"/>
      </w:rPr>
      <w:fldChar w:fldCharType="end"/>
    </w:r>
  </w:p>
  <w:p w14:paraId="245A1820">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D1471">
    <w:pPr>
      <w:pStyle w:val="5"/>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w:t>
    </w:r>
    <w:r>
      <w:rPr>
        <w:rFonts w:ascii="Times New Roman" w:hAnsi="Times New Roman"/>
        <w:sz w:val="28"/>
        <w:szCs w:val="28"/>
      </w:rPr>
      <w:t xml:space="preserve"> 14 -</w:t>
    </w:r>
    <w:r>
      <w:rPr>
        <w:rFonts w:ascii="Times New Roman" w:hAnsi="Times New Roman"/>
        <w:sz w:val="28"/>
        <w:szCs w:val="28"/>
      </w:rPr>
      <w:fldChar w:fldCharType="end"/>
    </w:r>
  </w:p>
  <w:p w14:paraId="3CDE311B">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70774E"/>
    <w:rsid w:val="00000843"/>
    <w:rsid w:val="00003020"/>
    <w:rsid w:val="00004EAE"/>
    <w:rsid w:val="00004FD4"/>
    <w:rsid w:val="00007621"/>
    <w:rsid w:val="00010471"/>
    <w:rsid w:val="000260AB"/>
    <w:rsid w:val="000308F6"/>
    <w:rsid w:val="000350A4"/>
    <w:rsid w:val="00036948"/>
    <w:rsid w:val="00036E7A"/>
    <w:rsid w:val="00036FF0"/>
    <w:rsid w:val="00037F66"/>
    <w:rsid w:val="000439A3"/>
    <w:rsid w:val="000464F5"/>
    <w:rsid w:val="00050821"/>
    <w:rsid w:val="00052ABE"/>
    <w:rsid w:val="00054320"/>
    <w:rsid w:val="00060094"/>
    <w:rsid w:val="00067D26"/>
    <w:rsid w:val="00067D7A"/>
    <w:rsid w:val="00074CD2"/>
    <w:rsid w:val="00075196"/>
    <w:rsid w:val="000778C4"/>
    <w:rsid w:val="00080416"/>
    <w:rsid w:val="00080690"/>
    <w:rsid w:val="0008156B"/>
    <w:rsid w:val="00087315"/>
    <w:rsid w:val="000939FD"/>
    <w:rsid w:val="000974EE"/>
    <w:rsid w:val="000A0B8D"/>
    <w:rsid w:val="000A416B"/>
    <w:rsid w:val="000A559B"/>
    <w:rsid w:val="000B2D14"/>
    <w:rsid w:val="000B3D6B"/>
    <w:rsid w:val="000C0ADC"/>
    <w:rsid w:val="000D2685"/>
    <w:rsid w:val="000D7EB2"/>
    <w:rsid w:val="000E0C46"/>
    <w:rsid w:val="000E1258"/>
    <w:rsid w:val="000E24A8"/>
    <w:rsid w:val="000E3795"/>
    <w:rsid w:val="000E623F"/>
    <w:rsid w:val="000E6335"/>
    <w:rsid w:val="000F3DBB"/>
    <w:rsid w:val="000F45FF"/>
    <w:rsid w:val="000F5D94"/>
    <w:rsid w:val="001116D5"/>
    <w:rsid w:val="00113C21"/>
    <w:rsid w:val="00116076"/>
    <w:rsid w:val="00116136"/>
    <w:rsid w:val="001165A0"/>
    <w:rsid w:val="0011739A"/>
    <w:rsid w:val="0012221F"/>
    <w:rsid w:val="00131B9D"/>
    <w:rsid w:val="00134D7A"/>
    <w:rsid w:val="00136A27"/>
    <w:rsid w:val="00136A2B"/>
    <w:rsid w:val="001375F9"/>
    <w:rsid w:val="00143995"/>
    <w:rsid w:val="00144FA2"/>
    <w:rsid w:val="00151BA2"/>
    <w:rsid w:val="001526CF"/>
    <w:rsid w:val="001553D7"/>
    <w:rsid w:val="00162845"/>
    <w:rsid w:val="00163FC8"/>
    <w:rsid w:val="00170B62"/>
    <w:rsid w:val="00170E67"/>
    <w:rsid w:val="00172D9F"/>
    <w:rsid w:val="00173E43"/>
    <w:rsid w:val="00174831"/>
    <w:rsid w:val="00177E21"/>
    <w:rsid w:val="001804C7"/>
    <w:rsid w:val="00180FA4"/>
    <w:rsid w:val="001815EA"/>
    <w:rsid w:val="00182CC2"/>
    <w:rsid w:val="001833EB"/>
    <w:rsid w:val="00185A08"/>
    <w:rsid w:val="00185D73"/>
    <w:rsid w:val="0018752F"/>
    <w:rsid w:val="00187586"/>
    <w:rsid w:val="00190F30"/>
    <w:rsid w:val="00195E8F"/>
    <w:rsid w:val="001978EF"/>
    <w:rsid w:val="001A26E4"/>
    <w:rsid w:val="001A5A19"/>
    <w:rsid w:val="001A6430"/>
    <w:rsid w:val="001A668C"/>
    <w:rsid w:val="001B18AD"/>
    <w:rsid w:val="001B4FB0"/>
    <w:rsid w:val="001C1422"/>
    <w:rsid w:val="001C24A2"/>
    <w:rsid w:val="001C404A"/>
    <w:rsid w:val="001C4438"/>
    <w:rsid w:val="001C57E5"/>
    <w:rsid w:val="001C6009"/>
    <w:rsid w:val="001C71E2"/>
    <w:rsid w:val="001D05E8"/>
    <w:rsid w:val="001D09BC"/>
    <w:rsid w:val="001D0B1F"/>
    <w:rsid w:val="001D30CA"/>
    <w:rsid w:val="001D4A4C"/>
    <w:rsid w:val="001D618A"/>
    <w:rsid w:val="001D6DD6"/>
    <w:rsid w:val="001E47F9"/>
    <w:rsid w:val="00205895"/>
    <w:rsid w:val="002119F7"/>
    <w:rsid w:val="00212535"/>
    <w:rsid w:val="00214422"/>
    <w:rsid w:val="00214803"/>
    <w:rsid w:val="00216118"/>
    <w:rsid w:val="002164C8"/>
    <w:rsid w:val="00220A6C"/>
    <w:rsid w:val="002221A8"/>
    <w:rsid w:val="00222215"/>
    <w:rsid w:val="0022283F"/>
    <w:rsid w:val="00222CD2"/>
    <w:rsid w:val="002244C2"/>
    <w:rsid w:val="0022496C"/>
    <w:rsid w:val="00224AC8"/>
    <w:rsid w:val="00225525"/>
    <w:rsid w:val="0022625F"/>
    <w:rsid w:val="00226D02"/>
    <w:rsid w:val="00235C1B"/>
    <w:rsid w:val="00235F54"/>
    <w:rsid w:val="00241090"/>
    <w:rsid w:val="0024231F"/>
    <w:rsid w:val="0025170A"/>
    <w:rsid w:val="002627B2"/>
    <w:rsid w:val="002729D1"/>
    <w:rsid w:val="00273677"/>
    <w:rsid w:val="00273A26"/>
    <w:rsid w:val="00281AE1"/>
    <w:rsid w:val="00282484"/>
    <w:rsid w:val="002920CC"/>
    <w:rsid w:val="00292A6C"/>
    <w:rsid w:val="00293EC3"/>
    <w:rsid w:val="002966C5"/>
    <w:rsid w:val="002A259A"/>
    <w:rsid w:val="002A461F"/>
    <w:rsid w:val="002A50A9"/>
    <w:rsid w:val="002A69E9"/>
    <w:rsid w:val="002B45F2"/>
    <w:rsid w:val="002C2DB5"/>
    <w:rsid w:val="002C4EA4"/>
    <w:rsid w:val="002D1496"/>
    <w:rsid w:val="002D2EC2"/>
    <w:rsid w:val="002D54C9"/>
    <w:rsid w:val="002E33CD"/>
    <w:rsid w:val="002E69B9"/>
    <w:rsid w:val="002F0E5E"/>
    <w:rsid w:val="002F1B0F"/>
    <w:rsid w:val="002F44EA"/>
    <w:rsid w:val="002F5860"/>
    <w:rsid w:val="002F5EC3"/>
    <w:rsid w:val="002F6EDA"/>
    <w:rsid w:val="00305EFC"/>
    <w:rsid w:val="0030750E"/>
    <w:rsid w:val="00307A45"/>
    <w:rsid w:val="0031009B"/>
    <w:rsid w:val="003108F9"/>
    <w:rsid w:val="00316506"/>
    <w:rsid w:val="00321CA5"/>
    <w:rsid w:val="00322A2F"/>
    <w:rsid w:val="003317F3"/>
    <w:rsid w:val="00333385"/>
    <w:rsid w:val="003337BF"/>
    <w:rsid w:val="00334D6D"/>
    <w:rsid w:val="00335CE3"/>
    <w:rsid w:val="00337154"/>
    <w:rsid w:val="00340630"/>
    <w:rsid w:val="00344DC8"/>
    <w:rsid w:val="0034598A"/>
    <w:rsid w:val="0035433D"/>
    <w:rsid w:val="00362ACD"/>
    <w:rsid w:val="003739A3"/>
    <w:rsid w:val="00375A47"/>
    <w:rsid w:val="00375AA4"/>
    <w:rsid w:val="0037610B"/>
    <w:rsid w:val="00377299"/>
    <w:rsid w:val="0037739B"/>
    <w:rsid w:val="00380E8D"/>
    <w:rsid w:val="00386864"/>
    <w:rsid w:val="00394314"/>
    <w:rsid w:val="0039575E"/>
    <w:rsid w:val="003960E8"/>
    <w:rsid w:val="00397525"/>
    <w:rsid w:val="00397572"/>
    <w:rsid w:val="003A5CB7"/>
    <w:rsid w:val="003A6FAA"/>
    <w:rsid w:val="003B0697"/>
    <w:rsid w:val="003B172D"/>
    <w:rsid w:val="003B2C7E"/>
    <w:rsid w:val="003B3DF2"/>
    <w:rsid w:val="003B51D4"/>
    <w:rsid w:val="003C436A"/>
    <w:rsid w:val="003C68CF"/>
    <w:rsid w:val="003D094E"/>
    <w:rsid w:val="003D2372"/>
    <w:rsid w:val="003D24B2"/>
    <w:rsid w:val="003D59A7"/>
    <w:rsid w:val="003D6667"/>
    <w:rsid w:val="003D6A5B"/>
    <w:rsid w:val="003E3592"/>
    <w:rsid w:val="003E4FC4"/>
    <w:rsid w:val="003E609B"/>
    <w:rsid w:val="003E612F"/>
    <w:rsid w:val="003F0739"/>
    <w:rsid w:val="003F3BD4"/>
    <w:rsid w:val="00401AD4"/>
    <w:rsid w:val="00402EEA"/>
    <w:rsid w:val="004044AE"/>
    <w:rsid w:val="004133C4"/>
    <w:rsid w:val="00420077"/>
    <w:rsid w:val="004202F3"/>
    <w:rsid w:val="00421D48"/>
    <w:rsid w:val="00424167"/>
    <w:rsid w:val="004262A2"/>
    <w:rsid w:val="0043341D"/>
    <w:rsid w:val="00435511"/>
    <w:rsid w:val="00441583"/>
    <w:rsid w:val="00446B1E"/>
    <w:rsid w:val="004519D0"/>
    <w:rsid w:val="004562A6"/>
    <w:rsid w:val="00456BC6"/>
    <w:rsid w:val="00470C88"/>
    <w:rsid w:val="00471119"/>
    <w:rsid w:val="004717D6"/>
    <w:rsid w:val="00471945"/>
    <w:rsid w:val="00472065"/>
    <w:rsid w:val="004722EB"/>
    <w:rsid w:val="00472E87"/>
    <w:rsid w:val="00472F80"/>
    <w:rsid w:val="004801DD"/>
    <w:rsid w:val="004838A0"/>
    <w:rsid w:val="0048776E"/>
    <w:rsid w:val="004932C2"/>
    <w:rsid w:val="00493480"/>
    <w:rsid w:val="00493E22"/>
    <w:rsid w:val="00495365"/>
    <w:rsid w:val="00495FDB"/>
    <w:rsid w:val="00497B23"/>
    <w:rsid w:val="004A133E"/>
    <w:rsid w:val="004A4D48"/>
    <w:rsid w:val="004A6C04"/>
    <w:rsid w:val="004B1734"/>
    <w:rsid w:val="004B73C2"/>
    <w:rsid w:val="004C0EE1"/>
    <w:rsid w:val="004C0FD6"/>
    <w:rsid w:val="004C4DA2"/>
    <w:rsid w:val="004C4E9D"/>
    <w:rsid w:val="004C6CD4"/>
    <w:rsid w:val="004D0150"/>
    <w:rsid w:val="004D1E60"/>
    <w:rsid w:val="004D6139"/>
    <w:rsid w:val="004E6152"/>
    <w:rsid w:val="004E708B"/>
    <w:rsid w:val="004F07B7"/>
    <w:rsid w:val="004F0AFA"/>
    <w:rsid w:val="004F12A0"/>
    <w:rsid w:val="004F200B"/>
    <w:rsid w:val="004F53C7"/>
    <w:rsid w:val="00500471"/>
    <w:rsid w:val="005024AE"/>
    <w:rsid w:val="0050361D"/>
    <w:rsid w:val="005037A9"/>
    <w:rsid w:val="00503F3F"/>
    <w:rsid w:val="00507CB1"/>
    <w:rsid w:val="00521E23"/>
    <w:rsid w:val="00522A84"/>
    <w:rsid w:val="00524309"/>
    <w:rsid w:val="005272DC"/>
    <w:rsid w:val="00527876"/>
    <w:rsid w:val="00530093"/>
    <w:rsid w:val="00535D71"/>
    <w:rsid w:val="0053608E"/>
    <w:rsid w:val="005372D2"/>
    <w:rsid w:val="00541F55"/>
    <w:rsid w:val="005430E4"/>
    <w:rsid w:val="0054365E"/>
    <w:rsid w:val="005458FD"/>
    <w:rsid w:val="005524CE"/>
    <w:rsid w:val="005530B2"/>
    <w:rsid w:val="00553FFB"/>
    <w:rsid w:val="00557AFD"/>
    <w:rsid w:val="00557BD4"/>
    <w:rsid w:val="00562205"/>
    <w:rsid w:val="00570193"/>
    <w:rsid w:val="00570F77"/>
    <w:rsid w:val="005714E2"/>
    <w:rsid w:val="005779D1"/>
    <w:rsid w:val="0058132E"/>
    <w:rsid w:val="00582813"/>
    <w:rsid w:val="005841E3"/>
    <w:rsid w:val="00584663"/>
    <w:rsid w:val="00590E9A"/>
    <w:rsid w:val="00594239"/>
    <w:rsid w:val="005955FE"/>
    <w:rsid w:val="00595FED"/>
    <w:rsid w:val="005A18C6"/>
    <w:rsid w:val="005A3155"/>
    <w:rsid w:val="005A3407"/>
    <w:rsid w:val="005A5729"/>
    <w:rsid w:val="005A5797"/>
    <w:rsid w:val="005B04BF"/>
    <w:rsid w:val="005B1CBB"/>
    <w:rsid w:val="005B626A"/>
    <w:rsid w:val="005C49C7"/>
    <w:rsid w:val="005C5B06"/>
    <w:rsid w:val="005C6DDB"/>
    <w:rsid w:val="005C7B03"/>
    <w:rsid w:val="005D20B2"/>
    <w:rsid w:val="005D600F"/>
    <w:rsid w:val="005E0041"/>
    <w:rsid w:val="005E064C"/>
    <w:rsid w:val="005E3AC3"/>
    <w:rsid w:val="005E44D0"/>
    <w:rsid w:val="005E45C6"/>
    <w:rsid w:val="005E6032"/>
    <w:rsid w:val="005E77FE"/>
    <w:rsid w:val="005F1B74"/>
    <w:rsid w:val="005F4CCF"/>
    <w:rsid w:val="005F6DCE"/>
    <w:rsid w:val="005F7143"/>
    <w:rsid w:val="00606BC1"/>
    <w:rsid w:val="006079E4"/>
    <w:rsid w:val="00612173"/>
    <w:rsid w:val="0061334F"/>
    <w:rsid w:val="006144FB"/>
    <w:rsid w:val="006220FA"/>
    <w:rsid w:val="006221CA"/>
    <w:rsid w:val="0062225B"/>
    <w:rsid w:val="00622B7F"/>
    <w:rsid w:val="00622C43"/>
    <w:rsid w:val="00624DDB"/>
    <w:rsid w:val="006255F0"/>
    <w:rsid w:val="00625730"/>
    <w:rsid w:val="00625951"/>
    <w:rsid w:val="006275B3"/>
    <w:rsid w:val="006324C6"/>
    <w:rsid w:val="006350F7"/>
    <w:rsid w:val="00635359"/>
    <w:rsid w:val="0063585A"/>
    <w:rsid w:val="00637167"/>
    <w:rsid w:val="00640112"/>
    <w:rsid w:val="00643995"/>
    <w:rsid w:val="00644F8A"/>
    <w:rsid w:val="00646C83"/>
    <w:rsid w:val="00646FD9"/>
    <w:rsid w:val="006536D5"/>
    <w:rsid w:val="00655B91"/>
    <w:rsid w:val="00657916"/>
    <w:rsid w:val="00663865"/>
    <w:rsid w:val="00671126"/>
    <w:rsid w:val="0067255E"/>
    <w:rsid w:val="00672AAA"/>
    <w:rsid w:val="006741DE"/>
    <w:rsid w:val="00684050"/>
    <w:rsid w:val="006854B5"/>
    <w:rsid w:val="00695804"/>
    <w:rsid w:val="006A0E4B"/>
    <w:rsid w:val="006A0FC5"/>
    <w:rsid w:val="006A3CA2"/>
    <w:rsid w:val="006A4300"/>
    <w:rsid w:val="006A7141"/>
    <w:rsid w:val="006A7B3B"/>
    <w:rsid w:val="006B0356"/>
    <w:rsid w:val="006B5659"/>
    <w:rsid w:val="006B6B4F"/>
    <w:rsid w:val="006C0871"/>
    <w:rsid w:val="006C3D0F"/>
    <w:rsid w:val="006D2BE7"/>
    <w:rsid w:val="006D390E"/>
    <w:rsid w:val="006D3C99"/>
    <w:rsid w:val="006D604A"/>
    <w:rsid w:val="006D63CB"/>
    <w:rsid w:val="006D69EE"/>
    <w:rsid w:val="006E0024"/>
    <w:rsid w:val="006F48D6"/>
    <w:rsid w:val="0070124D"/>
    <w:rsid w:val="00701468"/>
    <w:rsid w:val="00702DD2"/>
    <w:rsid w:val="00703043"/>
    <w:rsid w:val="007035AB"/>
    <w:rsid w:val="00705965"/>
    <w:rsid w:val="007070CC"/>
    <w:rsid w:val="00707170"/>
    <w:rsid w:val="0070774E"/>
    <w:rsid w:val="007120AB"/>
    <w:rsid w:val="00713DF3"/>
    <w:rsid w:val="00716267"/>
    <w:rsid w:val="00721214"/>
    <w:rsid w:val="007213CE"/>
    <w:rsid w:val="007220F1"/>
    <w:rsid w:val="00722DA2"/>
    <w:rsid w:val="00725422"/>
    <w:rsid w:val="00730DB3"/>
    <w:rsid w:val="00734D85"/>
    <w:rsid w:val="00736234"/>
    <w:rsid w:val="00737308"/>
    <w:rsid w:val="00743CCF"/>
    <w:rsid w:val="007467CD"/>
    <w:rsid w:val="0075249D"/>
    <w:rsid w:val="0075325A"/>
    <w:rsid w:val="00753554"/>
    <w:rsid w:val="00762E9E"/>
    <w:rsid w:val="007632A6"/>
    <w:rsid w:val="00764DCC"/>
    <w:rsid w:val="0076584B"/>
    <w:rsid w:val="00767E1E"/>
    <w:rsid w:val="0077227B"/>
    <w:rsid w:val="00773B78"/>
    <w:rsid w:val="00774BBB"/>
    <w:rsid w:val="0078011C"/>
    <w:rsid w:val="00781D38"/>
    <w:rsid w:val="007836AE"/>
    <w:rsid w:val="00785EDD"/>
    <w:rsid w:val="007869A3"/>
    <w:rsid w:val="00792506"/>
    <w:rsid w:val="00792A16"/>
    <w:rsid w:val="00792E4D"/>
    <w:rsid w:val="0079487D"/>
    <w:rsid w:val="007950BE"/>
    <w:rsid w:val="007972D3"/>
    <w:rsid w:val="007A1790"/>
    <w:rsid w:val="007A26D6"/>
    <w:rsid w:val="007A3E1D"/>
    <w:rsid w:val="007A4896"/>
    <w:rsid w:val="007A7D5C"/>
    <w:rsid w:val="007B0270"/>
    <w:rsid w:val="007B2B04"/>
    <w:rsid w:val="007B4912"/>
    <w:rsid w:val="007B52C5"/>
    <w:rsid w:val="007C34CD"/>
    <w:rsid w:val="007C3D69"/>
    <w:rsid w:val="007C7060"/>
    <w:rsid w:val="007D22C1"/>
    <w:rsid w:val="007D2B2D"/>
    <w:rsid w:val="007D79B3"/>
    <w:rsid w:val="007E2EDF"/>
    <w:rsid w:val="007E6DAA"/>
    <w:rsid w:val="007F054E"/>
    <w:rsid w:val="007F19F3"/>
    <w:rsid w:val="007F34BE"/>
    <w:rsid w:val="007F401A"/>
    <w:rsid w:val="008021E7"/>
    <w:rsid w:val="00805367"/>
    <w:rsid w:val="00805F16"/>
    <w:rsid w:val="00812159"/>
    <w:rsid w:val="00813729"/>
    <w:rsid w:val="00821862"/>
    <w:rsid w:val="008242C8"/>
    <w:rsid w:val="00824BDD"/>
    <w:rsid w:val="0082561D"/>
    <w:rsid w:val="008269E3"/>
    <w:rsid w:val="0083043D"/>
    <w:rsid w:val="0083274C"/>
    <w:rsid w:val="008367C4"/>
    <w:rsid w:val="00837270"/>
    <w:rsid w:val="008449C1"/>
    <w:rsid w:val="00844EDE"/>
    <w:rsid w:val="00845573"/>
    <w:rsid w:val="0084685F"/>
    <w:rsid w:val="00852D6A"/>
    <w:rsid w:val="00854647"/>
    <w:rsid w:val="00855394"/>
    <w:rsid w:val="00864363"/>
    <w:rsid w:val="008645B2"/>
    <w:rsid w:val="0086784A"/>
    <w:rsid w:val="00867AE3"/>
    <w:rsid w:val="00867FA5"/>
    <w:rsid w:val="0087047A"/>
    <w:rsid w:val="00870BC7"/>
    <w:rsid w:val="00872223"/>
    <w:rsid w:val="00874569"/>
    <w:rsid w:val="0087637D"/>
    <w:rsid w:val="008770C7"/>
    <w:rsid w:val="00882BC8"/>
    <w:rsid w:val="008841FA"/>
    <w:rsid w:val="008856E9"/>
    <w:rsid w:val="008911FA"/>
    <w:rsid w:val="008A0DCE"/>
    <w:rsid w:val="008A17BE"/>
    <w:rsid w:val="008B2E7B"/>
    <w:rsid w:val="008B52D1"/>
    <w:rsid w:val="008B5FD4"/>
    <w:rsid w:val="008B6C32"/>
    <w:rsid w:val="008B7611"/>
    <w:rsid w:val="008C6A6F"/>
    <w:rsid w:val="008D0046"/>
    <w:rsid w:val="008D192D"/>
    <w:rsid w:val="008D4D05"/>
    <w:rsid w:val="008D5385"/>
    <w:rsid w:val="008D544E"/>
    <w:rsid w:val="008E1888"/>
    <w:rsid w:val="008E3C70"/>
    <w:rsid w:val="008E4C8C"/>
    <w:rsid w:val="008E5ACD"/>
    <w:rsid w:val="008E765B"/>
    <w:rsid w:val="008F2149"/>
    <w:rsid w:val="008F3CD0"/>
    <w:rsid w:val="008F3E9B"/>
    <w:rsid w:val="00900CAD"/>
    <w:rsid w:val="00903B98"/>
    <w:rsid w:val="00910AB6"/>
    <w:rsid w:val="00912DD2"/>
    <w:rsid w:val="0091449B"/>
    <w:rsid w:val="009144A9"/>
    <w:rsid w:val="009152F4"/>
    <w:rsid w:val="009171D8"/>
    <w:rsid w:val="00925AB5"/>
    <w:rsid w:val="00932731"/>
    <w:rsid w:val="009346F4"/>
    <w:rsid w:val="0094155A"/>
    <w:rsid w:val="0094197C"/>
    <w:rsid w:val="00942F12"/>
    <w:rsid w:val="009431B9"/>
    <w:rsid w:val="009438D1"/>
    <w:rsid w:val="00945015"/>
    <w:rsid w:val="00945240"/>
    <w:rsid w:val="00947663"/>
    <w:rsid w:val="0095495D"/>
    <w:rsid w:val="00955B8B"/>
    <w:rsid w:val="00972727"/>
    <w:rsid w:val="00973761"/>
    <w:rsid w:val="009834FB"/>
    <w:rsid w:val="0099164A"/>
    <w:rsid w:val="00995578"/>
    <w:rsid w:val="009A2741"/>
    <w:rsid w:val="009A2FE3"/>
    <w:rsid w:val="009A44E8"/>
    <w:rsid w:val="009A5702"/>
    <w:rsid w:val="009A6C88"/>
    <w:rsid w:val="009A7004"/>
    <w:rsid w:val="009A7801"/>
    <w:rsid w:val="009B1E81"/>
    <w:rsid w:val="009B3504"/>
    <w:rsid w:val="009B487B"/>
    <w:rsid w:val="009B51FC"/>
    <w:rsid w:val="009B59C8"/>
    <w:rsid w:val="009B6259"/>
    <w:rsid w:val="009D2C24"/>
    <w:rsid w:val="009E0D76"/>
    <w:rsid w:val="009E30B2"/>
    <w:rsid w:val="009E4CE2"/>
    <w:rsid w:val="009E5E0B"/>
    <w:rsid w:val="009E6E47"/>
    <w:rsid w:val="009F10E2"/>
    <w:rsid w:val="009F1259"/>
    <w:rsid w:val="009F13E1"/>
    <w:rsid w:val="009F2736"/>
    <w:rsid w:val="009F64B7"/>
    <w:rsid w:val="00A02FF2"/>
    <w:rsid w:val="00A02FF7"/>
    <w:rsid w:val="00A036D0"/>
    <w:rsid w:val="00A0486C"/>
    <w:rsid w:val="00A07459"/>
    <w:rsid w:val="00A07C44"/>
    <w:rsid w:val="00A07E41"/>
    <w:rsid w:val="00A102A4"/>
    <w:rsid w:val="00A1108D"/>
    <w:rsid w:val="00A15383"/>
    <w:rsid w:val="00A229A2"/>
    <w:rsid w:val="00A22FFE"/>
    <w:rsid w:val="00A24F61"/>
    <w:rsid w:val="00A26293"/>
    <w:rsid w:val="00A2743A"/>
    <w:rsid w:val="00A3120D"/>
    <w:rsid w:val="00A32CE3"/>
    <w:rsid w:val="00A33736"/>
    <w:rsid w:val="00A33FE3"/>
    <w:rsid w:val="00A3746A"/>
    <w:rsid w:val="00A37BF8"/>
    <w:rsid w:val="00A43D22"/>
    <w:rsid w:val="00A4430D"/>
    <w:rsid w:val="00A46699"/>
    <w:rsid w:val="00A61152"/>
    <w:rsid w:val="00A612C3"/>
    <w:rsid w:val="00A62AA6"/>
    <w:rsid w:val="00A63020"/>
    <w:rsid w:val="00A636AB"/>
    <w:rsid w:val="00A64D40"/>
    <w:rsid w:val="00A65B2B"/>
    <w:rsid w:val="00A661CE"/>
    <w:rsid w:val="00A664A0"/>
    <w:rsid w:val="00A67182"/>
    <w:rsid w:val="00A715CE"/>
    <w:rsid w:val="00A76F5B"/>
    <w:rsid w:val="00A77343"/>
    <w:rsid w:val="00A801F3"/>
    <w:rsid w:val="00A80BCF"/>
    <w:rsid w:val="00A820E5"/>
    <w:rsid w:val="00A853A6"/>
    <w:rsid w:val="00A91370"/>
    <w:rsid w:val="00A93F6B"/>
    <w:rsid w:val="00A9676D"/>
    <w:rsid w:val="00A96B32"/>
    <w:rsid w:val="00A9781C"/>
    <w:rsid w:val="00AA0C06"/>
    <w:rsid w:val="00AA2AA5"/>
    <w:rsid w:val="00AA4192"/>
    <w:rsid w:val="00AA47DC"/>
    <w:rsid w:val="00AA5343"/>
    <w:rsid w:val="00AA6490"/>
    <w:rsid w:val="00AA706E"/>
    <w:rsid w:val="00AB062E"/>
    <w:rsid w:val="00AB0CC6"/>
    <w:rsid w:val="00AB341F"/>
    <w:rsid w:val="00AB56AE"/>
    <w:rsid w:val="00AC4EE2"/>
    <w:rsid w:val="00AC570D"/>
    <w:rsid w:val="00AD5888"/>
    <w:rsid w:val="00AD6933"/>
    <w:rsid w:val="00AE0AA2"/>
    <w:rsid w:val="00AE0EB3"/>
    <w:rsid w:val="00AE385B"/>
    <w:rsid w:val="00AE431B"/>
    <w:rsid w:val="00AE6322"/>
    <w:rsid w:val="00AE77EF"/>
    <w:rsid w:val="00AF0B43"/>
    <w:rsid w:val="00AF169B"/>
    <w:rsid w:val="00AF62ED"/>
    <w:rsid w:val="00B0117C"/>
    <w:rsid w:val="00B02D09"/>
    <w:rsid w:val="00B0333B"/>
    <w:rsid w:val="00B04CFE"/>
    <w:rsid w:val="00B06C64"/>
    <w:rsid w:val="00B071E6"/>
    <w:rsid w:val="00B147CF"/>
    <w:rsid w:val="00B26635"/>
    <w:rsid w:val="00B2773F"/>
    <w:rsid w:val="00B30E1A"/>
    <w:rsid w:val="00B33BB2"/>
    <w:rsid w:val="00B34D05"/>
    <w:rsid w:val="00B37565"/>
    <w:rsid w:val="00B37730"/>
    <w:rsid w:val="00B37DC8"/>
    <w:rsid w:val="00B40135"/>
    <w:rsid w:val="00B4293B"/>
    <w:rsid w:val="00B47C96"/>
    <w:rsid w:val="00B50000"/>
    <w:rsid w:val="00B522D1"/>
    <w:rsid w:val="00B529CD"/>
    <w:rsid w:val="00B55532"/>
    <w:rsid w:val="00B55985"/>
    <w:rsid w:val="00B6099D"/>
    <w:rsid w:val="00B60B89"/>
    <w:rsid w:val="00B62B73"/>
    <w:rsid w:val="00B62F3D"/>
    <w:rsid w:val="00B715BE"/>
    <w:rsid w:val="00B72E0A"/>
    <w:rsid w:val="00B75179"/>
    <w:rsid w:val="00B76F15"/>
    <w:rsid w:val="00B80C3B"/>
    <w:rsid w:val="00B8100C"/>
    <w:rsid w:val="00B820D9"/>
    <w:rsid w:val="00B82786"/>
    <w:rsid w:val="00B8356A"/>
    <w:rsid w:val="00B84F7C"/>
    <w:rsid w:val="00B860FF"/>
    <w:rsid w:val="00B9091B"/>
    <w:rsid w:val="00B912B0"/>
    <w:rsid w:val="00B93880"/>
    <w:rsid w:val="00B94E23"/>
    <w:rsid w:val="00BA5ACB"/>
    <w:rsid w:val="00BB41D5"/>
    <w:rsid w:val="00BB6F5D"/>
    <w:rsid w:val="00BC0F8F"/>
    <w:rsid w:val="00BC3B4D"/>
    <w:rsid w:val="00BC6E74"/>
    <w:rsid w:val="00BD3B3E"/>
    <w:rsid w:val="00BE1A12"/>
    <w:rsid w:val="00BE25C8"/>
    <w:rsid w:val="00BE2A08"/>
    <w:rsid w:val="00BF29D6"/>
    <w:rsid w:val="00BF6C7C"/>
    <w:rsid w:val="00BF746D"/>
    <w:rsid w:val="00C02201"/>
    <w:rsid w:val="00C02F30"/>
    <w:rsid w:val="00C051D3"/>
    <w:rsid w:val="00C0570B"/>
    <w:rsid w:val="00C07F9D"/>
    <w:rsid w:val="00C13E2E"/>
    <w:rsid w:val="00C15AB6"/>
    <w:rsid w:val="00C271AB"/>
    <w:rsid w:val="00C331B9"/>
    <w:rsid w:val="00C33829"/>
    <w:rsid w:val="00C350D6"/>
    <w:rsid w:val="00C35D2B"/>
    <w:rsid w:val="00C362D0"/>
    <w:rsid w:val="00C40AB4"/>
    <w:rsid w:val="00C441AB"/>
    <w:rsid w:val="00C45CBA"/>
    <w:rsid w:val="00C463CC"/>
    <w:rsid w:val="00C46DC5"/>
    <w:rsid w:val="00C54E6A"/>
    <w:rsid w:val="00C5644D"/>
    <w:rsid w:val="00C5718F"/>
    <w:rsid w:val="00C57507"/>
    <w:rsid w:val="00C57659"/>
    <w:rsid w:val="00C6205B"/>
    <w:rsid w:val="00C65246"/>
    <w:rsid w:val="00C7675F"/>
    <w:rsid w:val="00C80A2B"/>
    <w:rsid w:val="00C8272D"/>
    <w:rsid w:val="00C828B0"/>
    <w:rsid w:val="00C83FCC"/>
    <w:rsid w:val="00C878D6"/>
    <w:rsid w:val="00C87D12"/>
    <w:rsid w:val="00C91B01"/>
    <w:rsid w:val="00C950F3"/>
    <w:rsid w:val="00CA002A"/>
    <w:rsid w:val="00CA4B82"/>
    <w:rsid w:val="00CB1559"/>
    <w:rsid w:val="00CB1ABB"/>
    <w:rsid w:val="00CB6429"/>
    <w:rsid w:val="00CB6BF4"/>
    <w:rsid w:val="00CC3297"/>
    <w:rsid w:val="00CC3CB0"/>
    <w:rsid w:val="00CD00C1"/>
    <w:rsid w:val="00CD01BC"/>
    <w:rsid w:val="00CD0BCE"/>
    <w:rsid w:val="00CD25BE"/>
    <w:rsid w:val="00CD2BFD"/>
    <w:rsid w:val="00CD4124"/>
    <w:rsid w:val="00CD4420"/>
    <w:rsid w:val="00CE0587"/>
    <w:rsid w:val="00CE0A21"/>
    <w:rsid w:val="00CE2CD7"/>
    <w:rsid w:val="00CE4195"/>
    <w:rsid w:val="00CE5CFA"/>
    <w:rsid w:val="00CF15ED"/>
    <w:rsid w:val="00CF2D7C"/>
    <w:rsid w:val="00CF6931"/>
    <w:rsid w:val="00D03175"/>
    <w:rsid w:val="00D074CA"/>
    <w:rsid w:val="00D117DC"/>
    <w:rsid w:val="00D12765"/>
    <w:rsid w:val="00D21F69"/>
    <w:rsid w:val="00D2366F"/>
    <w:rsid w:val="00D24858"/>
    <w:rsid w:val="00D24D62"/>
    <w:rsid w:val="00D25218"/>
    <w:rsid w:val="00D30718"/>
    <w:rsid w:val="00D333D1"/>
    <w:rsid w:val="00D363B9"/>
    <w:rsid w:val="00D37576"/>
    <w:rsid w:val="00D419AB"/>
    <w:rsid w:val="00D4356C"/>
    <w:rsid w:val="00D437C0"/>
    <w:rsid w:val="00D44D52"/>
    <w:rsid w:val="00D4682E"/>
    <w:rsid w:val="00D54123"/>
    <w:rsid w:val="00D54FE6"/>
    <w:rsid w:val="00D57433"/>
    <w:rsid w:val="00D61A2C"/>
    <w:rsid w:val="00D636F9"/>
    <w:rsid w:val="00D655CA"/>
    <w:rsid w:val="00D65614"/>
    <w:rsid w:val="00D65B7B"/>
    <w:rsid w:val="00D670E6"/>
    <w:rsid w:val="00D67DD0"/>
    <w:rsid w:val="00D67E36"/>
    <w:rsid w:val="00D717ED"/>
    <w:rsid w:val="00D72B18"/>
    <w:rsid w:val="00D74523"/>
    <w:rsid w:val="00D77017"/>
    <w:rsid w:val="00D84B91"/>
    <w:rsid w:val="00D867A7"/>
    <w:rsid w:val="00D8691F"/>
    <w:rsid w:val="00D86A0D"/>
    <w:rsid w:val="00D91344"/>
    <w:rsid w:val="00D94F6D"/>
    <w:rsid w:val="00D954B2"/>
    <w:rsid w:val="00D954D1"/>
    <w:rsid w:val="00D957CA"/>
    <w:rsid w:val="00D96C29"/>
    <w:rsid w:val="00DA1907"/>
    <w:rsid w:val="00DA2238"/>
    <w:rsid w:val="00DA27E0"/>
    <w:rsid w:val="00DA6B8C"/>
    <w:rsid w:val="00DB21BB"/>
    <w:rsid w:val="00DB4F7D"/>
    <w:rsid w:val="00DB7912"/>
    <w:rsid w:val="00DC1141"/>
    <w:rsid w:val="00DC60B5"/>
    <w:rsid w:val="00DD320D"/>
    <w:rsid w:val="00DD51FD"/>
    <w:rsid w:val="00DD5E2D"/>
    <w:rsid w:val="00DE0170"/>
    <w:rsid w:val="00DE1A3D"/>
    <w:rsid w:val="00DE3139"/>
    <w:rsid w:val="00DE3223"/>
    <w:rsid w:val="00DE3872"/>
    <w:rsid w:val="00DF18E1"/>
    <w:rsid w:val="00DF2415"/>
    <w:rsid w:val="00DF3150"/>
    <w:rsid w:val="00DF3F0C"/>
    <w:rsid w:val="00DF72FC"/>
    <w:rsid w:val="00E037C4"/>
    <w:rsid w:val="00E12A53"/>
    <w:rsid w:val="00E15002"/>
    <w:rsid w:val="00E152DB"/>
    <w:rsid w:val="00E21B78"/>
    <w:rsid w:val="00E21F7F"/>
    <w:rsid w:val="00E229E4"/>
    <w:rsid w:val="00E25D9D"/>
    <w:rsid w:val="00E25F56"/>
    <w:rsid w:val="00E2614E"/>
    <w:rsid w:val="00E27783"/>
    <w:rsid w:val="00E27B00"/>
    <w:rsid w:val="00E27C63"/>
    <w:rsid w:val="00E319D0"/>
    <w:rsid w:val="00E4083F"/>
    <w:rsid w:val="00E40E8D"/>
    <w:rsid w:val="00E42209"/>
    <w:rsid w:val="00E42395"/>
    <w:rsid w:val="00E428B9"/>
    <w:rsid w:val="00E43312"/>
    <w:rsid w:val="00E43379"/>
    <w:rsid w:val="00E449CA"/>
    <w:rsid w:val="00E507AC"/>
    <w:rsid w:val="00E5561D"/>
    <w:rsid w:val="00E61F2B"/>
    <w:rsid w:val="00E62FA4"/>
    <w:rsid w:val="00E673DE"/>
    <w:rsid w:val="00E67D28"/>
    <w:rsid w:val="00E724A1"/>
    <w:rsid w:val="00E74A62"/>
    <w:rsid w:val="00E75216"/>
    <w:rsid w:val="00E76F8B"/>
    <w:rsid w:val="00E82B45"/>
    <w:rsid w:val="00E8434F"/>
    <w:rsid w:val="00E846D6"/>
    <w:rsid w:val="00E857DE"/>
    <w:rsid w:val="00E86E76"/>
    <w:rsid w:val="00E920C6"/>
    <w:rsid w:val="00E9392C"/>
    <w:rsid w:val="00E94210"/>
    <w:rsid w:val="00E94266"/>
    <w:rsid w:val="00E95BCC"/>
    <w:rsid w:val="00EA0A6E"/>
    <w:rsid w:val="00EA0E42"/>
    <w:rsid w:val="00EA2FC1"/>
    <w:rsid w:val="00EA4062"/>
    <w:rsid w:val="00EA4D3D"/>
    <w:rsid w:val="00EA52A2"/>
    <w:rsid w:val="00EB02F4"/>
    <w:rsid w:val="00EB0A7F"/>
    <w:rsid w:val="00EB0C93"/>
    <w:rsid w:val="00EB1AF6"/>
    <w:rsid w:val="00EB1B28"/>
    <w:rsid w:val="00EB1CA3"/>
    <w:rsid w:val="00EB2AA3"/>
    <w:rsid w:val="00EB5170"/>
    <w:rsid w:val="00EB6B63"/>
    <w:rsid w:val="00ED03D3"/>
    <w:rsid w:val="00ED30F5"/>
    <w:rsid w:val="00ED5AF9"/>
    <w:rsid w:val="00ED5C05"/>
    <w:rsid w:val="00EE6A6B"/>
    <w:rsid w:val="00EF05D6"/>
    <w:rsid w:val="00EF1B17"/>
    <w:rsid w:val="00EF22F5"/>
    <w:rsid w:val="00EF25D1"/>
    <w:rsid w:val="00EF2790"/>
    <w:rsid w:val="00EF27DF"/>
    <w:rsid w:val="00EF4876"/>
    <w:rsid w:val="00EF5386"/>
    <w:rsid w:val="00EF5950"/>
    <w:rsid w:val="00EF68D5"/>
    <w:rsid w:val="00F027A9"/>
    <w:rsid w:val="00F050E4"/>
    <w:rsid w:val="00F053A7"/>
    <w:rsid w:val="00F05486"/>
    <w:rsid w:val="00F10C49"/>
    <w:rsid w:val="00F10F36"/>
    <w:rsid w:val="00F15B2D"/>
    <w:rsid w:val="00F15FD0"/>
    <w:rsid w:val="00F16500"/>
    <w:rsid w:val="00F24AD7"/>
    <w:rsid w:val="00F24EAA"/>
    <w:rsid w:val="00F30637"/>
    <w:rsid w:val="00F330B4"/>
    <w:rsid w:val="00F37998"/>
    <w:rsid w:val="00F37F16"/>
    <w:rsid w:val="00F410AD"/>
    <w:rsid w:val="00F41F44"/>
    <w:rsid w:val="00F421AB"/>
    <w:rsid w:val="00F4229E"/>
    <w:rsid w:val="00F42A3C"/>
    <w:rsid w:val="00F4477A"/>
    <w:rsid w:val="00F4733F"/>
    <w:rsid w:val="00F4742E"/>
    <w:rsid w:val="00F50675"/>
    <w:rsid w:val="00F51101"/>
    <w:rsid w:val="00F51CF9"/>
    <w:rsid w:val="00F52E36"/>
    <w:rsid w:val="00F60AA5"/>
    <w:rsid w:val="00F60D40"/>
    <w:rsid w:val="00F6221A"/>
    <w:rsid w:val="00F630FE"/>
    <w:rsid w:val="00F6321F"/>
    <w:rsid w:val="00F6489C"/>
    <w:rsid w:val="00F649DD"/>
    <w:rsid w:val="00F707E9"/>
    <w:rsid w:val="00F70ED2"/>
    <w:rsid w:val="00F7372D"/>
    <w:rsid w:val="00F77BD6"/>
    <w:rsid w:val="00F77E69"/>
    <w:rsid w:val="00F813AC"/>
    <w:rsid w:val="00F82A63"/>
    <w:rsid w:val="00F8320B"/>
    <w:rsid w:val="00F83D55"/>
    <w:rsid w:val="00F85E32"/>
    <w:rsid w:val="00F8657C"/>
    <w:rsid w:val="00F910C5"/>
    <w:rsid w:val="00F92C39"/>
    <w:rsid w:val="00F944FB"/>
    <w:rsid w:val="00F96E5F"/>
    <w:rsid w:val="00FA20CB"/>
    <w:rsid w:val="00FA2204"/>
    <w:rsid w:val="00FA693F"/>
    <w:rsid w:val="00FA6979"/>
    <w:rsid w:val="00FB134E"/>
    <w:rsid w:val="00FB3B6D"/>
    <w:rsid w:val="00FB44D3"/>
    <w:rsid w:val="00FC0A01"/>
    <w:rsid w:val="00FC61C8"/>
    <w:rsid w:val="00FD15E9"/>
    <w:rsid w:val="00FD1D2F"/>
    <w:rsid w:val="00FD2EDE"/>
    <w:rsid w:val="00FD3188"/>
    <w:rsid w:val="00FD5C5D"/>
    <w:rsid w:val="00FD5D62"/>
    <w:rsid w:val="00FD7E1A"/>
    <w:rsid w:val="00FD7F75"/>
    <w:rsid w:val="00FE0CF7"/>
    <w:rsid w:val="00FE1216"/>
    <w:rsid w:val="00FE4C4C"/>
    <w:rsid w:val="00FF04E1"/>
    <w:rsid w:val="00FF0E31"/>
    <w:rsid w:val="00FF30FB"/>
    <w:rsid w:val="00FF3243"/>
    <w:rsid w:val="00FF49EB"/>
    <w:rsid w:val="00FF4AC9"/>
    <w:rsid w:val="00FF7268"/>
    <w:rsid w:val="6B213ED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Document Map"/>
    <w:basedOn w:val="1"/>
    <w:link w:val="18"/>
    <w:semiHidden/>
    <w:unhideWhenUsed/>
    <w:qFormat/>
    <w:uiPriority w:val="99"/>
    <w:rPr>
      <w:rFonts w:ascii="宋体"/>
      <w:sz w:val="18"/>
      <w:szCs w:val="18"/>
    </w:rPr>
  </w:style>
  <w:style w:type="paragraph" w:styleId="3">
    <w:name w:val="Date"/>
    <w:basedOn w:val="1"/>
    <w:next w:val="1"/>
    <w:link w:val="17"/>
    <w:semiHidden/>
    <w:unhideWhenUsed/>
    <w:qFormat/>
    <w:uiPriority w:val="99"/>
    <w:pPr>
      <w:ind w:left="100" w:leftChars="2500"/>
    </w:pPr>
  </w:style>
  <w:style w:type="paragraph" w:styleId="4">
    <w:name w:val="Balloon Text"/>
    <w:basedOn w:val="1"/>
    <w:link w:val="16"/>
    <w:semiHidden/>
    <w:unhideWhenUsed/>
    <w:qFormat/>
    <w:uiPriority w:val="99"/>
    <w:rPr>
      <w:sz w:val="18"/>
      <w:szCs w:val="18"/>
    </w:rPr>
  </w:style>
  <w:style w:type="paragraph" w:styleId="5">
    <w:name w:val="footer"/>
    <w:basedOn w:val="1"/>
    <w:link w:val="13"/>
    <w:unhideWhenUsed/>
    <w:uiPriority w:val="99"/>
    <w:pPr>
      <w:tabs>
        <w:tab w:val="center" w:pos="4153"/>
        <w:tab w:val="right" w:pos="8306"/>
      </w:tabs>
      <w:snapToGrid w:val="0"/>
      <w:jc w:val="left"/>
    </w:pPr>
    <w:rPr>
      <w:sz w:val="18"/>
      <w:szCs w:val="18"/>
    </w:rPr>
  </w:style>
  <w:style w:type="paragraph" w:styleId="6">
    <w:name w:val="header"/>
    <w:basedOn w:val="1"/>
    <w:link w:val="12"/>
    <w:semiHidden/>
    <w:unhideWhenUsed/>
    <w:uiPriority w:val="99"/>
    <w:pPr>
      <w:pBdr>
        <w:bottom w:val="single" w:color="auto" w:sz="6" w:space="1"/>
      </w:pBdr>
      <w:tabs>
        <w:tab w:val="center" w:pos="4153"/>
        <w:tab w:val="right" w:pos="8306"/>
      </w:tabs>
      <w:snapToGrid w:val="0"/>
      <w:jc w:val="center"/>
    </w:pPr>
    <w:rPr>
      <w:sz w:val="18"/>
      <w:szCs w:val="18"/>
    </w:rPr>
  </w:style>
  <w:style w:type="paragraph" w:styleId="7">
    <w:name w:val="footnote text"/>
    <w:basedOn w:val="1"/>
    <w:link w:val="15"/>
    <w:semiHidden/>
    <w:unhideWhenUsed/>
    <w:qFormat/>
    <w:uiPriority w:val="99"/>
    <w:pPr>
      <w:snapToGrid w:val="0"/>
      <w:jc w:val="left"/>
    </w:pPr>
    <w:rPr>
      <w:sz w:val="18"/>
      <w:szCs w:val="18"/>
    </w:rPr>
  </w:style>
  <w:style w:type="character" w:styleId="10">
    <w:name w:val="Strong"/>
    <w:qFormat/>
    <w:uiPriority w:val="22"/>
    <w:rPr>
      <w:b/>
      <w:bCs/>
    </w:rPr>
  </w:style>
  <w:style w:type="character" w:styleId="11">
    <w:name w:val="footnote reference"/>
    <w:basedOn w:val="9"/>
    <w:semiHidden/>
    <w:unhideWhenUsed/>
    <w:qFormat/>
    <w:uiPriority w:val="99"/>
    <w:rPr>
      <w:vertAlign w:val="superscript"/>
    </w:rPr>
  </w:style>
  <w:style w:type="character" w:customStyle="1" w:styleId="12">
    <w:name w:val="页眉 Char"/>
    <w:basedOn w:val="9"/>
    <w:link w:val="6"/>
    <w:semiHidden/>
    <w:uiPriority w:val="99"/>
    <w:rPr>
      <w:sz w:val="18"/>
      <w:szCs w:val="18"/>
    </w:rPr>
  </w:style>
  <w:style w:type="character" w:customStyle="1" w:styleId="13">
    <w:name w:val="页脚 Char"/>
    <w:basedOn w:val="9"/>
    <w:link w:val="5"/>
    <w:qFormat/>
    <w:uiPriority w:val="99"/>
    <w:rPr>
      <w:sz w:val="18"/>
      <w:szCs w:val="18"/>
    </w:rPr>
  </w:style>
  <w:style w:type="paragraph" w:customStyle="1" w:styleId="14">
    <w:name w:val="Char Char Char Char"/>
    <w:basedOn w:val="1"/>
    <w:uiPriority w:val="0"/>
    <w:rPr>
      <w:rFonts w:ascii="Times New Roman" w:hAnsi="Times New Roman"/>
      <w:szCs w:val="20"/>
    </w:rPr>
  </w:style>
  <w:style w:type="character" w:customStyle="1" w:styleId="15">
    <w:name w:val="脚注文本 Char"/>
    <w:basedOn w:val="9"/>
    <w:link w:val="7"/>
    <w:semiHidden/>
    <w:qFormat/>
    <w:uiPriority w:val="99"/>
    <w:rPr>
      <w:kern w:val="2"/>
      <w:sz w:val="18"/>
      <w:szCs w:val="18"/>
    </w:rPr>
  </w:style>
  <w:style w:type="character" w:customStyle="1" w:styleId="16">
    <w:name w:val="批注框文本 Char"/>
    <w:basedOn w:val="9"/>
    <w:link w:val="4"/>
    <w:semiHidden/>
    <w:qFormat/>
    <w:uiPriority w:val="99"/>
    <w:rPr>
      <w:kern w:val="2"/>
      <w:sz w:val="18"/>
      <w:szCs w:val="18"/>
    </w:rPr>
  </w:style>
  <w:style w:type="character" w:customStyle="1" w:styleId="17">
    <w:name w:val="日期 Char"/>
    <w:basedOn w:val="9"/>
    <w:link w:val="3"/>
    <w:semiHidden/>
    <w:qFormat/>
    <w:uiPriority w:val="99"/>
    <w:rPr>
      <w:kern w:val="2"/>
      <w:sz w:val="21"/>
      <w:szCs w:val="22"/>
    </w:rPr>
  </w:style>
  <w:style w:type="character" w:customStyle="1" w:styleId="18">
    <w:name w:val="文档结构图 Char"/>
    <w:basedOn w:val="9"/>
    <w:link w:val="2"/>
    <w:semiHidden/>
    <w:qFormat/>
    <w:uiPriority w:val="99"/>
    <w:rPr>
      <w:rFonts w:ascii="宋体"/>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289D35-84E4-4788-B024-5C28535249D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6241</Words>
  <Characters>6824</Characters>
  <Lines>49</Lines>
  <Paragraphs>13</Paragraphs>
  <TotalTime>245</TotalTime>
  <ScaleCrop>false</ScaleCrop>
  <LinksUpToDate>false</LinksUpToDate>
  <CharactersWithSpaces>6829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2018-02-27T03:08:00Z</dcterms:created>
  <dc:creator>Administrator</dc:creator>
  <cp:lastModifiedBy>名字不重要</cp:lastModifiedBy>
  <cp:lastPrinted>2018-01-15T02:15:00Z</cp:lastPrinted>
  <dcterms:modified xsi:type="dcterms:W3CDTF">2025-03-13T05:35:51Z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eyJoZGlkIjoiNzdjMzE4MGRjYzlmYzc1ZDA5NmEyZjM0NWU3ZTRmNTUiLCJ1c2VySWQiOiI2ODg0NzY1NzYifQ==</vt:lpwstr>
  </property>
  <property fmtid="{D5CDD505-2E9C-101B-9397-08002B2CF9AE}" pid="4" name="ICV">
    <vt:lpwstr>3B157915EC4B41C28A0A2C618C561505_12</vt:lpwstr>
  </property>
</Properties>
</file>