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Style w:val="8"/>
          <w:rFonts w:hint="eastAsia" w:ascii="仿宋" w:hAnsi="仿宋" w:eastAsia="仿宋" w:cs="仿宋"/>
          <w:b/>
          <w:bCs w:val="0"/>
          <w:color w:val="404040"/>
          <w:sz w:val="40"/>
          <w:szCs w:val="40"/>
        </w:rPr>
      </w:pPr>
      <w:r>
        <w:rPr>
          <w:rStyle w:val="8"/>
          <w:rFonts w:hint="eastAsia" w:ascii="仿宋" w:hAnsi="仿宋" w:eastAsia="仿宋" w:cs="仿宋"/>
          <w:b/>
          <w:bCs w:val="0"/>
          <w:color w:val="404040"/>
          <w:sz w:val="40"/>
          <w:szCs w:val="40"/>
        </w:rPr>
        <w:t>亦城亦嘉家园共有产权住房项目概况</w:t>
      </w:r>
    </w:p>
    <w:p>
      <w:pPr>
        <w:pStyle w:val="2"/>
      </w:pP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亦城亦嘉家园项目位于北京通州区马驹桥镇，项目四至为：东至通州物流园八号路，南至兴贸一街，西至通州物流园七号路，北至兴贸北街。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项目规划总建筑面积约20.56万平方米，其中共有产权房10.53万平方米，容积率2.3。项目住宅总套数1312套（含回迁房173套），共有产权房1139套，本次配售房源</w:t>
      </w:r>
      <w:r>
        <w:rPr>
          <w:rFonts w:hint="eastAsia" w:ascii="仿宋" w:hAnsi="仿宋" w:eastAsia="仿宋" w:cs="仿宋"/>
          <w:color w:val="404040"/>
          <w:sz w:val="28"/>
          <w:szCs w:val="28"/>
          <w:lang w:val="en-US" w:eastAsia="zh-CN"/>
        </w:rPr>
        <w:t>304</w:t>
      </w:r>
      <w:r>
        <w:rPr>
          <w:rFonts w:hint="eastAsia" w:ascii="仿宋" w:hAnsi="仿宋" w:eastAsia="仿宋" w:cs="仿宋"/>
          <w:color w:val="404040"/>
          <w:sz w:val="28"/>
          <w:szCs w:val="28"/>
        </w:rPr>
        <w:t>套，分别为单套建筑面积约</w:t>
      </w:r>
      <w:r>
        <w:rPr>
          <w:rFonts w:hint="eastAsia" w:ascii="仿宋" w:hAnsi="仿宋" w:eastAsia="仿宋" w:cs="仿宋"/>
          <w:color w:val="404040"/>
          <w:sz w:val="28"/>
          <w:szCs w:val="28"/>
          <w:lang w:val="en-US" w:eastAsia="zh-CN"/>
        </w:rPr>
        <w:t>70</w:t>
      </w:r>
      <w:r>
        <w:rPr>
          <w:rFonts w:hint="eastAsia" w:ascii="仿宋" w:hAnsi="仿宋" w:eastAsia="仿宋" w:cs="仿宋"/>
          <w:color w:val="404040"/>
          <w:sz w:val="28"/>
          <w:szCs w:val="28"/>
        </w:rPr>
        <w:t>-120平方米的一居至三居，销售均价25500元/㎡，全装修交房。</w:t>
      </w:r>
    </w:p>
    <w:p>
      <w:pPr>
        <w:pStyle w:val="5"/>
        <w:widowControl/>
        <w:spacing w:beforeAutospacing="0" w:afterAutospacing="0" w:line="360" w:lineRule="auto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　（一）交通路网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轨道交通：地铁亦庄线经海路站。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公交路线：T28路、专47路、T29路</w:t>
      </w:r>
      <w:r>
        <w:rPr>
          <w:rFonts w:hint="eastAsia" w:ascii="仿宋" w:hAnsi="仿宋" w:eastAsia="仿宋" w:cs="仿宋"/>
          <w:color w:val="404040"/>
          <w:sz w:val="28"/>
          <w:szCs w:val="28"/>
          <w:lang w:eastAsia="zh-Hans"/>
        </w:rPr>
        <w:t>融商三路北口</w:t>
      </w:r>
      <w:r>
        <w:rPr>
          <w:rFonts w:hint="eastAsia" w:ascii="仿宋" w:hAnsi="仿宋" w:eastAsia="仿宋" w:cs="仿宋"/>
          <w:color w:val="404040"/>
          <w:sz w:val="28"/>
          <w:szCs w:val="28"/>
        </w:rPr>
        <w:t>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（二）周边配套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医院：亦庄同仁医院、通州第二医院、北京中医药大学东方医院。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商场：百尚购物中心、马驹桥商业街、龙湖天街、大族广场、亦庄创意生活广场，城乡世纪广场、华联力宝购物中心。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学校：红黄蓝幼儿园、通州区马驹桥镇中心幼儿园、九年一贯制拔翠骏源学校、马驹桥中心小学、红星小学。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超市：和平门生鲜超市、华联生活超市、盒马邻里、京客隆超市、永辉超市等。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银行：中国农业银行、中国工商银行、交通银行、北京银行、兴业银行、平安银行、招商银行等。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公园：通明湖公园、马驹桥湿地公园、南海子公园。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（三）基础数据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亦城亦嘉家园共有产权住房地上建筑面积约12.46万平方米，其中共有产权房10.53万平方米，容积率为2.3，绿地率为30%。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亦城亦嘉家园住宅楼共20栋楼，其中19栋楼为共有产权住宅，分别为1号楼、2号楼、3号楼、4号楼、5号楼、6号楼、7号楼、10号楼、11号楼(不含回迁房部分）、12号楼(不含回迁房部分）、13号楼、14号楼、15号楼、16号楼、17号楼、18号楼、19号楼、20号楼、21号楼、22号楼（回迁房）；各住宅楼单元为一梯两户和两梯两户设计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 1号楼共3个单元。建筑层数为地下两层，地上十一层，建筑高度32.6米，层高为2.9米，全部为共有产权住房，66套。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2号楼共2个单元。建筑层数为地下三层，地上十五层，建筑高度44.2米，层高为2.9米，全部为共有产权住房，60套。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3号楼共4个单元。建筑层数为地下三层，地上十一层，建筑高度32.6米，层高为2.9米，全部为共有产权住房，88套。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4号楼共4个单元。建筑层数为地下两层，地上十一层，建筑高度32.6米，层高为2.9米，全部为共有产权住房，88套。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5号楼共2个单元。建筑层数为地下两层，地上十五层，建筑高度44.2米，层高为2.9米，全部为共有产权住房，60套。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6号楼共3个单元。建筑层数为地下三层，其中1、2单元，地上九层，建筑高度26.8米，层高为2.9米，3单元地上七层，建筑高度21米，层高为2.9米，全部为共有产权住房，59套。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7号楼共4个单元。建筑层数为地下三层，其中1、2单元，地上八层，建筑高度23.9米，层高为2.9米，3、4单元，地上九层，建筑高度26.8米，层高为2.9米，全部为共有产权住房，68套。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10号楼共3个单元。建筑层数为地下三层，其中1、2单元，地上六层，建筑高度18.1米，层高为2.9米，3单元，地上七层，建筑高度21米，层高为2.9米，全部为共有产权住房，38套。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11号楼共2个单元。建筑层数为地下三层，地上十五层，建筑高度44.2米，层高为2.9米，除首层东侧两户、西侧一户物业用房和回迁房外，其它部分为共有产权住房，58套。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12号楼共2个单元。建筑层数为地下三层，地上十五层，建筑高度44.2米，层高为2.9米，除首层整层商服和回迁房外，其它部分为共有产权住房，32套。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13号楼共4个单元。建筑层数为地下三层，其中1、2、3单元，地上七层，建筑高度21米，层高为2.9米，4单元，地上五层，建筑高度15.2米，层高为2.9米，全部为共有产权住房，52套。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14号楼共2个单元。建筑层数为地下两层，地上十二层，建筑高度35.5米，层高为2.9米，全部为共有产权住房，48套。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15号楼共4个单元。建筑层数为地下三层，地上十一层，建筑高度32.6米，层高为2.9米，全部为共有产权住房，88套。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16号楼共4个单元。建筑层数为地下三层，其中1、2单元，地上九层，建筑高度26.8米，层高为2.9米，3、4单元，地上八层，建筑高度23.9米，层高为2.9米，全部为共有产权住房，68套。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17号楼共2个单元。建筑层数为地下三层，地上十四层，建筑高度41.3米，层高为2.9米，全部为共有产权住房，56套。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18号楼共3个单元。建筑层数为地下三层，其中1、2单元，地上八层，建筑高度23.9米，层高为2.9米，3单元地上五层，建筑高度15.2米，层高为2.9米，全部为共有产权住房，50套。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19号楼共4个单元。建筑层数为地下三层，地上十一层，建筑高度32.6米，层高为2.9米，全部为共有产权住房，88套。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20号楼共2个单元。建筑层数为地下两层，地上五层，建筑高度15.2米，层高为2.9米，全部为共有产权住房，20套。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21号楼共4个单元。建筑层数为地下三层，地上七层，建筑高度21米，层高为2.9米，除首层东侧四户为小型商服外，全部为共有产权住房，52套。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22号楼共2个单元。建筑层数为地下三层，其中1单元，地上十五层，建筑高度44.2米，层高为2.9米，2单元，地上十四层，建筑高度41.3米，层高为2.9米，全部为回迁房。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户型情况：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A1（A1反）户型（两居室）：建筑面积约90㎡，共780户。户型位于1号楼1单元1—11层、1号楼1单元2—11层、1号楼2单元2—11层、1号楼2单元1—11层、1号楼3单元1—11层、1号楼3单元2—11层、3号楼1单元2—11层、3号楼1单元1—11层、3号楼2单元1—11层、3号楼2单元2—11层、3号楼3单元2—11层、3号楼3单元1—11层、3号楼4单元1—11层、3号楼4单元2—11层、4号楼1单元2—11层、4号楼1单元1—11层、4号楼2单元1—11层、4号楼2单元2—11层、4号楼3单元2—11层、4号楼3单元1—11层、4号楼4单元1—11层、4号楼4单元2—11层、6号楼1单元1-9层、6号楼2单元1—9层、6号楼3单元1—7层、7号楼1~2单元1—9层、7号楼3~4单元1—8层、10号楼1~2单元1—6层、10号楼3单元1—7层、13号楼1~3单元1—7层、13号楼4单元1—5层、15号楼1~4单元1—11层、16号楼1~ 2单元1—9层、16号楼3~4单元1—8层、18号楼1单元1—8层、18号楼2单元1—8层、18号楼3单元1—5层、19号楼1~4单元1—11层、20号楼1~2单元1—5层、21号楼1~2单元2—7层、21号楼3单元1—7层、21号楼4单元1—7层。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窗户为铝合金材质，起居室门窗洞口宽约2.4米，高约1.7米；主卧窗洞口宽约1.7米，高约1.5米；次卧室窗洞口宽约1.5米，高约1.5米；厨房窗洞口宽约1.5米，高约1.5米；卫生间窗洞口宽约0.7米，高约1.5米，卫生间为暗卫；本户型主卧有封闭阳台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A2户型（两居室）：建筑面积约90㎡，共17户。户型位于6号楼2单元1—9层、18号楼2单元1—8层。窗户为铝合金材质，起居室门窗洞口宽约2.4米，高约1.7米；主卧窗洞口宽约1.7米，高约1.5米；次卧室窗洞口宽约1.5米，高约1.5米；厨房窗洞口宽约1.5米，高约1.5米；卫生间窗洞口宽约0.7米，高约1.5米，卫生间为暗卫；本户型主卧有封闭阳台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A3户型（两居室）：建筑面积约90㎡，共15户。户型位于6号楼2单元2—9层、18号楼2单元2—8层。窗户为铝合金材质，起居室门窗洞口宽约2.4米，高约1.7米；主卧窗洞口宽约1.7米，高约1.5米；次卧室窗洞口宽约1.5米，高约1.5米；厨房窗洞口宽约1.5米，高约1.5米；卫生间窗洞口宽约0.7米，高约1.5米，卫生间为暗卫；本户型主卧有封闭阳台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B1（B1反）户型（三居室）：建筑面积约120㎡，共112户。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本户型位于2号楼1—15层、5号楼1—15层、14号楼1—12层、17号楼1—14层。窗户为铝合金材质，起居室门窗洞口宽约2.4米，高约1.7米；主卧窗洞口宽约1.7米，高约1.5米；次卧室一窗洞口宽约1.5米，高约1.5米；次卧室二窗洞口宽约1.5米，高约1.5米厨房窗洞口宽约1.5米，高约1.5米；卫生间窗洞口宽约0.7米，高约1.5米，卫生间为暗卫；本户型主卧有封闭阳台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B2（B2反）户型（三居室）：建筑面积约120㎡，共108户。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本户型位于2号楼2—15层、5号楼2—15层、14号楼1—12层、17号楼住宅楼1—14层。窗户为铝合金材质，起居室门窗洞口宽约2.4米，高约1.7米；主卧窗洞口宽约1.7米，高约1.5米；次卧室一窗洞口宽约1.5米，高约1.5米；次卧室二窗洞口宽约1.5米，高约1.5米厨房窗洞口宽约1.5米，高约1.5米；卫生间窗洞口宽约0.7米，高约1.5米，卫生间为暗卫；本户型主卧有封闭阳台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C1（C1反）户型（两居室）：建筑面积约75㎡，共32户。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C1户型位于11号楼1单元1—15层、12号楼住宅楼1单元11—12层。C1反户型位于11号楼2单元1—15层。窗户为铝合金材质，起居室门窗洞口宽约2.4米，高约1.7米；主卧窗洞口宽约1.7米，高约1.5米；次卧室窗洞口宽约1.5米，高约1.5米；厨房窗洞口宽约1.5米，高约1.5米；卫生间窗洞口宽约0.7米，高约1.5米，卫生间为暗卫；本户型主卧有封闭阳台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C2（C2反）户型（一居室）：建筑面积约65㎡，共56户。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本户型位于11号楼1单元2—15层、11号楼2单元2—15层、12号楼1单元2—15层、12号楼2单元2—15层。窗户为铝合金材质，起居室门窗洞口宽约2.4米，高约1.7米；卧室窗洞口宽约1.7米，高约1.5米；厨房窗洞口宽约1.5米，高约1.5米；卫生间窗洞口宽约0.7米，高约1.5米，卫生间为暗卫；本户型起居室有封闭阳台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C3户型（三居室）：建筑面积约105㎡，共2户。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本户型位于12号楼1单元11—12层。窗户为铝合金材质，起居室门窗洞口宽约2.4米，高约1.7米；主卧窗洞口宽约1.7米，高约1.5米；次卧室一窗洞口宽约1.5米，高约1.5米；次卧室二窗洞口宽约1.5米，高约1.5米厨房窗洞口宽约1.5米，高约1.5米；卫生间窗洞口宽约0.7米，高约1.5米，卫生间为暗卫；本户型主卧有封闭阳台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A1a（A1a反）户型（一居室）：建筑面积约70㎡，共11户。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A1a户型位于1号楼1-3单元1层、3号楼1-4单元1层、4号楼1-4单元1层。A1a反户型位于1号楼1-3单元1层、3号楼1-4单元1层、4号楼1-4单元1层。窗户为铝合金材质，起居室门窗洞口宽约2.4米，高约1.7米；卧室窗洞口宽约1.7米，高约1.5米；厨房窗洞口宽约1.5米，高约1.5米；卫生间窗洞口宽约0.7米，高约1.5米，卫生间为暗卫；本户型起居室有封闭阳台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A3a户型（一居室）：建筑面积约72㎡，共2户。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本户型位于6号楼2单元1层、18号楼2单元1层。窗户为铝合金材质，起居室门窗洞口宽约2.4米，高约1.7米；卧室窗洞口宽约1.7米，高约1.5米；厨房窗洞口宽约1.5米，高约1.5米；卫生间窗洞口宽约0.7米，高约1.5米，卫生间为暗卫；本户型卧室有封闭阳台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B2a（B2a反）户型（两居室）：建筑面积约88㎡，共4户。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B2a户型位于2号楼2单元1层、5号楼2单元1层。B2a反户型位于2号楼1单元1层、5号楼1单元1层。窗户为铝合金材质，起居室门窗洞口宽约2.4米，高约1.7米；主卧窗洞口宽约1.7米，高约1.5米；次卧室窗洞口宽约1.5米，高约1.5米；厨房窗洞口宽约1.5米，高约1.5米；卫生间窗洞口宽约0.7米，高约1.5米，卫生间为暗卫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　　注：以上数据最终以规划部门审批结果为准，如有变更开发单位将及时公告。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</w:p>
    <w:p>
      <w:pPr>
        <w:rPr>
          <w:rFonts w:hint="eastAsia"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br w:type="page"/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户型图示例</w:t>
      </w:r>
    </w:p>
    <w:p>
      <w:pPr>
        <w:pStyle w:val="5"/>
        <w:widowControl/>
        <w:spacing w:beforeAutospacing="0" w:afterAutospacing="0" w:line="360" w:lineRule="auto"/>
        <w:ind w:firstLine="480" w:firstLineChars="200"/>
        <w:jc w:val="both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4093210" cy="5350510"/>
            <wp:effectExtent l="0" t="0" r="8890" b="381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535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A1户型，建筑面积约89㎡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注：实测面积以最终测绘面积为准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户型位置位于：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1号楼1单元1—11层、1号楼1单元2—11层、1号楼2单元2—11层、1号楼2单元1—11层、1号楼3单元1—11层、1号楼3单元2—11层、3号楼1单元2—11层、3号楼1单元1—11层、3号楼2单元1—11层、3号楼2单元2—11层、3号楼3单元2—11层、3号楼3单元1—11层、3号楼4单元1—11层、3号楼4单元2—11层、4号楼1单元2—11层、4号楼1单元1—11层、4号楼2单元1—11层、4号楼2单元2—11层、4号楼3单元2—11层、4号楼3单元1—11层、4号楼4单元1—11层、4号楼4单元2—11层、6号楼1单元1-9层、6号楼2单元1—9层、6号楼3单元1—7层、7号楼1~2单元1—9层、7号楼3~4单元1—8层、10号楼1~2单元1—6层、10号楼3单元1—7层、13号楼1~3单元1—7层、13号楼4单元1—5层、15号楼1~4单元1—11层、16号楼1~ 2单元1—9层、16号楼3~4单元1—8层、18号楼1单元1—8层、18号楼2单元1—8层、18号楼3单元1—5层、19号楼1~4单元1—11层、20号楼1~2单元1—5层、21号楼1~2单元2—7层、21号楼3单元1—7层、21号楼4单元1—7层。</w:t>
      </w: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 </w:t>
      </w:r>
    </w:p>
    <w:p>
      <w:pPr>
        <w:pStyle w:val="5"/>
        <w:widowControl/>
        <w:spacing w:beforeAutospacing="0" w:afterAutospacing="0" w:line="360" w:lineRule="auto"/>
        <w:ind w:firstLine="480" w:firstLineChars="200"/>
        <w:jc w:val="both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3470275" cy="4570095"/>
            <wp:effectExtent l="0" t="0" r="5715" b="698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70275" cy="457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A1反户型，建筑面积约90㎡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注：实测面积以最终测绘面积为准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户型位置位于：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1号楼1单元1—11层、1号楼1单元2—11层、1号楼2单元2—11层、1号楼2单元1—11层、1号楼3单元1—11层、1号楼3单元2—11层、3号楼1单元2—11层、3号楼1单元1—11层、3号楼2单元1—11层、3号楼2单元2—11层、3号楼3单元2—11层、3号楼3单元1—11层、3号楼4单元1—11层、3号楼4单元2—11层、4号楼1单元2—11层、4号楼1单元1—11层、4号楼2单元1—11层、4号楼2单元2—11层、4号楼3单元2—11层、4号楼3单元1—11层、4号楼4单元1—11层、4号楼4单元2—11层、6号楼1单元1-9层、6号楼2单元1—9层、6号楼3单元1—7层、7号楼1~2单元1—9层、7号楼3~4单元1—8层、10号楼1~2单元1—6层、10号楼3单元1—7层、13号楼1~3单元1—7层、13号楼4单元1—5层、15号楼1~4单元1—11层、16号楼1~ 2单元1—9层、16号楼3~4单元1—8层、18号楼1单元1—8层、18号楼2单元1—8层、18号楼3单元1—5层、19号楼1~4单元1—11层、20号楼1~2单元1—5层、21号楼1~2单元2—7层、21号楼3单元1—7层、21号楼4单元1—7层。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</w:p>
    <w:p>
      <w:pPr>
        <w:pStyle w:val="5"/>
        <w:widowControl/>
        <w:spacing w:beforeAutospacing="0" w:afterAutospacing="0" w:line="360" w:lineRule="auto"/>
        <w:ind w:firstLine="480" w:firstLineChars="200"/>
        <w:jc w:val="both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4082415" cy="3750310"/>
            <wp:effectExtent l="0" t="0" r="8890" b="6350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2415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A2户型，建筑面积约90㎡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注：实测面积以最终测绘面积为准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户型位置位于：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6号楼2单元1—9层、18号楼2单元1—8层</w:t>
      </w: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 </w:t>
      </w:r>
    </w:p>
    <w:p>
      <w:pPr>
        <w:pStyle w:val="5"/>
        <w:widowControl/>
        <w:spacing w:beforeAutospacing="0" w:afterAutospacing="0" w:line="360" w:lineRule="auto"/>
        <w:ind w:firstLine="480" w:firstLineChars="200"/>
        <w:jc w:val="both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4234815" cy="3956685"/>
            <wp:effectExtent l="0" t="0" r="7620" b="508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34815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A3户型，建筑面积约90㎡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注：实测面积以最终测绘面积为准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户型位置位于：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6号楼2单元2—9层、18号楼2单元2—8层。</w:t>
      </w: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 </w:t>
      </w:r>
    </w:p>
    <w:p>
      <w:pPr>
        <w:pStyle w:val="5"/>
        <w:widowControl/>
        <w:spacing w:beforeAutospacing="0" w:afterAutospacing="0" w:line="360" w:lineRule="auto"/>
        <w:ind w:firstLine="480" w:firstLineChars="200"/>
        <w:jc w:val="both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3630930" cy="4987925"/>
            <wp:effectExtent l="0" t="0" r="6985" b="10160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0930" cy="498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B1户型，建筑面积约120㎡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注：实测面积以最终测绘面积为准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户型位置位于：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2号楼1—15层、5号楼1—15层、14号楼1—12层、17号楼1—14层。</w:t>
      </w: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 </w:t>
      </w:r>
    </w:p>
    <w:p>
      <w:pPr>
        <w:pStyle w:val="5"/>
        <w:widowControl/>
        <w:spacing w:beforeAutospacing="0" w:afterAutospacing="0" w:line="360" w:lineRule="auto"/>
        <w:ind w:firstLine="480" w:firstLineChars="200"/>
        <w:jc w:val="both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3800475" cy="5131435"/>
            <wp:effectExtent l="0" t="0" r="10160" b="6985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513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B1反户型，建筑面积约120㎡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注：实测面积以最终测绘面积为准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户型位置位于：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2号楼1—15层、5号楼1—15层、14号楼1—12层、17号楼1—14层。</w:t>
      </w: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  </w:t>
      </w:r>
    </w:p>
    <w:p>
      <w:pPr>
        <w:pStyle w:val="5"/>
        <w:widowControl/>
        <w:spacing w:beforeAutospacing="0" w:afterAutospacing="0" w:line="360" w:lineRule="auto"/>
        <w:ind w:firstLine="480" w:firstLineChars="200"/>
        <w:jc w:val="both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3807460" cy="5202555"/>
            <wp:effectExtent l="0" t="0" r="3175" b="635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7460" cy="520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B2户型，建筑面积约120㎡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注：实测面积以最终测绘面积为准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户型位置位于：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2号楼2—15层、5号楼2—15层、14号楼1—12层、17号楼住宅楼1—14层</w:t>
      </w: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 。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 </w:t>
      </w:r>
    </w:p>
    <w:p>
      <w:pPr>
        <w:pStyle w:val="5"/>
        <w:widowControl/>
        <w:spacing w:beforeAutospacing="0" w:afterAutospacing="0" w:line="360" w:lineRule="auto"/>
        <w:ind w:firstLine="480" w:firstLineChars="200"/>
        <w:jc w:val="both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3710305" cy="5162550"/>
            <wp:effectExtent l="0" t="0" r="3175" b="8255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1030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B2反户型，建筑面积约120㎡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注：实测面积以最终测绘面积为准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户型位置位于：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2号楼2—15层、5号楼2—15层、14号楼1—12层、17号楼住宅楼1—14层。</w:t>
      </w: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 </w:t>
      </w:r>
    </w:p>
    <w:p>
      <w:pPr>
        <w:pStyle w:val="5"/>
        <w:widowControl/>
        <w:spacing w:beforeAutospacing="0" w:afterAutospacing="0" w:line="360" w:lineRule="auto"/>
        <w:ind w:firstLine="480" w:firstLineChars="200"/>
        <w:jc w:val="both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3566795" cy="5027295"/>
            <wp:effectExtent l="0" t="0" r="6350" b="3175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6795" cy="502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C1户型，建筑面积约75㎡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注：实测面积以最终测绘面积为准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户型位置位于：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11号楼1单元1—15层、12号楼住宅楼1单元11—12层。</w:t>
      </w:r>
      <w:r>
        <w:drawing>
          <wp:inline distT="0" distB="0" distL="114300" distR="114300">
            <wp:extent cx="3827780" cy="5226050"/>
            <wp:effectExtent l="0" t="0" r="4445" b="9525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7780" cy="522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C1反，建筑面积约75㎡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注：实测面积以最终测绘面积为准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户型位置位于：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11号楼2单元1—15层。</w:t>
      </w: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 </w:t>
      </w:r>
    </w:p>
    <w:p>
      <w:pPr>
        <w:pStyle w:val="5"/>
        <w:widowControl/>
        <w:spacing w:beforeAutospacing="0" w:afterAutospacing="0" w:line="360" w:lineRule="auto"/>
        <w:ind w:firstLine="480" w:firstLineChars="200"/>
        <w:jc w:val="both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4154805" cy="4295775"/>
            <wp:effectExtent l="0" t="0" r="1270" b="635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5480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C2户型，建筑面积约65㎡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注：实测面积以最终测绘面积为准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户型位置位于：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11号楼1单元2—15层、11号楼2单元2—15层、12号楼1单元2—15层、12号楼2单元2—15层。</w:t>
      </w: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 </w:t>
      </w:r>
    </w:p>
    <w:p>
      <w:pPr>
        <w:pStyle w:val="5"/>
        <w:widowControl/>
        <w:spacing w:beforeAutospacing="0" w:afterAutospacing="0" w:line="360" w:lineRule="auto"/>
        <w:ind w:firstLine="480" w:firstLineChars="200"/>
        <w:jc w:val="both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4450080" cy="4378325"/>
            <wp:effectExtent l="0" t="0" r="8255" b="4445"/>
            <wp:docPr id="3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437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C2反户型，建筑面积约65㎡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注：实测面积以最终测绘面积为准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户型位置位于：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11号楼1单元2—15层、11号楼2单元2—15层、12号楼1单元2—15层、12号楼2单元2—15层。</w:t>
      </w: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 </w:t>
      </w:r>
    </w:p>
    <w:p>
      <w:pPr>
        <w:pStyle w:val="5"/>
        <w:widowControl/>
        <w:spacing w:beforeAutospacing="0" w:afterAutospacing="0" w:line="360" w:lineRule="auto"/>
        <w:ind w:firstLine="480" w:firstLineChars="200"/>
        <w:jc w:val="both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3661410" cy="4946015"/>
            <wp:effectExtent l="0" t="0" r="8890" b="8890"/>
            <wp:docPr id="3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61410" cy="494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C3户型，建筑面积约105㎡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注：实测面积以最终测绘面积为准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户型位置位于：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12号楼1单元11—12层。</w:t>
      </w: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 </w:t>
      </w:r>
    </w:p>
    <w:p>
      <w:pPr>
        <w:pStyle w:val="5"/>
        <w:widowControl/>
        <w:spacing w:beforeAutospacing="0" w:afterAutospacing="0" w:line="360" w:lineRule="auto"/>
        <w:ind w:firstLine="480" w:firstLineChars="200"/>
        <w:jc w:val="both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3298190" cy="5281930"/>
            <wp:effectExtent l="0" t="0" r="5080" b="7620"/>
            <wp:docPr id="4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98190" cy="528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A1a户型，建筑面积约70㎡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注：实测面积以最终测绘面积为准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户型位置位于：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1号楼1-3单元1层、3号楼1-4单元1层、4号楼1-4单元1层。</w:t>
      </w:r>
      <w:r>
        <w:drawing>
          <wp:inline distT="0" distB="0" distL="114300" distR="114300">
            <wp:extent cx="3355975" cy="5529580"/>
            <wp:effectExtent l="0" t="0" r="1270" b="8255"/>
            <wp:docPr id="4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55975" cy="552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A1a反户型，建筑面积约70㎡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注：实测面积以最终测绘面积为准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户型位置位于：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1号楼1-3单元1层、3号楼1-4单元1层、4号楼</w:t>
      </w: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 </w:t>
      </w:r>
      <w:r>
        <w:rPr>
          <w:rFonts w:hint="eastAsia" w:ascii="仿宋" w:hAnsi="仿宋" w:eastAsia="仿宋" w:cs="仿宋"/>
          <w:color w:val="404040"/>
          <w:sz w:val="28"/>
          <w:szCs w:val="28"/>
        </w:rPr>
        <w:t>1-4单元1层。</w:t>
      </w:r>
    </w:p>
    <w:p>
      <w:pPr>
        <w:pStyle w:val="5"/>
        <w:widowControl/>
        <w:spacing w:beforeAutospacing="0" w:afterAutospacing="0" w:line="360" w:lineRule="auto"/>
        <w:ind w:firstLine="480" w:firstLineChars="200"/>
        <w:jc w:val="both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4052570" cy="4375785"/>
            <wp:effectExtent l="0" t="0" r="6350" b="6985"/>
            <wp:docPr id="4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52570" cy="437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A3a户型，建筑面积约70㎡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注：实测面积以最终测绘面积为准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户型位置位于：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6号楼2单元1层、18号楼2单元1层。 </w:t>
      </w:r>
    </w:p>
    <w:p>
      <w:pPr>
        <w:pStyle w:val="5"/>
        <w:widowControl/>
        <w:spacing w:beforeAutospacing="0" w:afterAutospacing="0" w:line="360" w:lineRule="auto"/>
        <w:ind w:firstLine="480" w:firstLineChars="200"/>
        <w:jc w:val="both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3401060" cy="5509260"/>
            <wp:effectExtent l="0" t="0" r="10160" b="6985"/>
            <wp:docPr id="4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01060" cy="550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B2a户型，建筑面积约88㎡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注：实测面积以最终测绘面积为准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户型位置位于：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2号楼2单元1层、5号楼2单元1层。 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 </w:t>
      </w:r>
    </w:p>
    <w:p>
      <w:pPr>
        <w:pStyle w:val="5"/>
        <w:widowControl/>
        <w:spacing w:beforeAutospacing="0" w:afterAutospacing="0" w:line="360" w:lineRule="auto"/>
        <w:ind w:firstLine="480" w:firstLineChars="200"/>
        <w:jc w:val="both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3272155" cy="5340350"/>
            <wp:effectExtent l="0" t="0" r="9525" b="3175"/>
            <wp:docPr id="4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72155" cy="534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B2a反户型，建筑面积约88㎡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注：实测面积以最终测绘面积为准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户型位置位于：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2号楼1单元1层、5号楼1单元1层。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  <w:shd w:val="clear" w:color="auto" w:fill="FFFFFF"/>
        </w:rPr>
      </w:pP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404040"/>
          <w:sz w:val="28"/>
          <w:szCs w:val="28"/>
          <w:shd w:val="clear" w:color="auto" w:fill="FFFFFF"/>
        </w:rPr>
        <w:t>注：以上数据最终以规划部门审批结果为准，如有变更将及时公告。</w:t>
      </w:r>
    </w:p>
    <w:p>
      <w:pPr>
        <w:spacing w:line="360" w:lineRule="auto"/>
        <w:ind w:firstLine="560" w:firstLineChars="200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br w:type="page"/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项目区位图</w:t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drawing>
          <wp:inline distT="0" distB="0" distL="114300" distR="114300">
            <wp:extent cx="5268595" cy="3761740"/>
            <wp:effectExtent l="0" t="0" r="10160" b="5715"/>
            <wp:docPr id="45" name="图片 45" descr="7039be5981107f8466710cf56ef0d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7039be5981107f8466710cf56ef0dc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鸟瞰图</w:t>
      </w:r>
    </w:p>
    <w:p>
      <w:pPr>
        <w:pStyle w:val="5"/>
        <w:widowControl/>
        <w:spacing w:beforeAutospacing="0" w:afterAutospacing="0" w:line="360" w:lineRule="auto"/>
        <w:ind w:firstLine="48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drawing>
          <wp:inline distT="0" distB="0" distL="114300" distR="114300">
            <wp:extent cx="5251450" cy="3693795"/>
            <wp:effectExtent l="0" t="0" r="5715" b="889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36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Autospacing="0" w:line="360" w:lineRule="auto"/>
        <w:ind w:firstLine="56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rPr>
          <w:rFonts w:hint="eastAsia" w:ascii="仿宋" w:hAnsi="仿宋" w:eastAsia="仿宋" w:cs="仿宋"/>
          <w:color w:val="404040"/>
          <w:sz w:val="28"/>
          <w:szCs w:val="28"/>
        </w:rPr>
        <w:t>立面图</w:t>
      </w:r>
    </w:p>
    <w:p>
      <w:pPr>
        <w:pStyle w:val="5"/>
        <w:widowControl/>
        <w:spacing w:beforeAutospacing="0" w:afterAutospacing="0" w:line="360" w:lineRule="auto"/>
        <w:ind w:firstLine="480" w:firstLineChars="200"/>
        <w:jc w:val="both"/>
        <w:rPr>
          <w:rFonts w:ascii="仿宋" w:hAnsi="仿宋" w:eastAsia="仿宋" w:cs="仿宋"/>
          <w:color w:val="404040"/>
          <w:sz w:val="28"/>
          <w:szCs w:val="28"/>
        </w:rPr>
      </w:pPr>
      <w:r>
        <w:drawing>
          <wp:inline distT="0" distB="0" distL="114300" distR="114300">
            <wp:extent cx="5281930" cy="3338830"/>
            <wp:effectExtent l="0" t="0" r="7620" b="762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rPr>
          <w:rFonts w:ascii="仿宋" w:hAnsi="仿宋" w:eastAsia="仿宋" w:cs="仿宋"/>
          <w:sz w:val="28"/>
          <w:szCs w:val="28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JiMGM5MWExOWZlMDIzNmExOGE4ODZjMjFhZDA4MWYifQ=="/>
  </w:docVars>
  <w:rsids>
    <w:rsidRoot w:val="00704125"/>
    <w:rsid w:val="0011130C"/>
    <w:rsid w:val="00144DD8"/>
    <w:rsid w:val="00161F02"/>
    <w:rsid w:val="001F4C3B"/>
    <w:rsid w:val="002612C4"/>
    <w:rsid w:val="00292427"/>
    <w:rsid w:val="003A115C"/>
    <w:rsid w:val="004C644D"/>
    <w:rsid w:val="004D2518"/>
    <w:rsid w:val="00550445"/>
    <w:rsid w:val="00586FEC"/>
    <w:rsid w:val="005F481F"/>
    <w:rsid w:val="00704125"/>
    <w:rsid w:val="007B795D"/>
    <w:rsid w:val="009A252A"/>
    <w:rsid w:val="00A11B5A"/>
    <w:rsid w:val="00A97BC8"/>
    <w:rsid w:val="00B638CB"/>
    <w:rsid w:val="00B64902"/>
    <w:rsid w:val="00BC21E9"/>
    <w:rsid w:val="00BC3E0F"/>
    <w:rsid w:val="00C03886"/>
    <w:rsid w:val="00C80219"/>
    <w:rsid w:val="00CE4817"/>
    <w:rsid w:val="00D62F56"/>
    <w:rsid w:val="00E6539A"/>
    <w:rsid w:val="00F96B1E"/>
    <w:rsid w:val="00FE6101"/>
    <w:rsid w:val="01AC5842"/>
    <w:rsid w:val="022E44A8"/>
    <w:rsid w:val="02571C51"/>
    <w:rsid w:val="02B0310F"/>
    <w:rsid w:val="02B26E88"/>
    <w:rsid w:val="02D768EE"/>
    <w:rsid w:val="02F97B00"/>
    <w:rsid w:val="036068E4"/>
    <w:rsid w:val="03766107"/>
    <w:rsid w:val="03800D34"/>
    <w:rsid w:val="040354C1"/>
    <w:rsid w:val="043A35D9"/>
    <w:rsid w:val="044C0C16"/>
    <w:rsid w:val="04F75026"/>
    <w:rsid w:val="053E2F29"/>
    <w:rsid w:val="05687CD1"/>
    <w:rsid w:val="059211F2"/>
    <w:rsid w:val="05A50F26"/>
    <w:rsid w:val="060F639F"/>
    <w:rsid w:val="06997B58"/>
    <w:rsid w:val="06A42F8B"/>
    <w:rsid w:val="06AB256C"/>
    <w:rsid w:val="06AC0092"/>
    <w:rsid w:val="06E26299"/>
    <w:rsid w:val="07AB20F7"/>
    <w:rsid w:val="07B76CEE"/>
    <w:rsid w:val="07D7113E"/>
    <w:rsid w:val="07F67816"/>
    <w:rsid w:val="0822060B"/>
    <w:rsid w:val="08285EF6"/>
    <w:rsid w:val="08986B20"/>
    <w:rsid w:val="08A96637"/>
    <w:rsid w:val="08B5322E"/>
    <w:rsid w:val="08D15B8E"/>
    <w:rsid w:val="0958005D"/>
    <w:rsid w:val="097E3F67"/>
    <w:rsid w:val="09A60DC8"/>
    <w:rsid w:val="09C94AB7"/>
    <w:rsid w:val="09ED2E9B"/>
    <w:rsid w:val="0A0F4BBF"/>
    <w:rsid w:val="0A285C81"/>
    <w:rsid w:val="0A6071C9"/>
    <w:rsid w:val="0A80786B"/>
    <w:rsid w:val="0A8A2498"/>
    <w:rsid w:val="0B275F39"/>
    <w:rsid w:val="0B554854"/>
    <w:rsid w:val="0C6B3E00"/>
    <w:rsid w:val="0CC27359"/>
    <w:rsid w:val="0DC9777B"/>
    <w:rsid w:val="0DCB704F"/>
    <w:rsid w:val="0DDE4FD5"/>
    <w:rsid w:val="0DE819AF"/>
    <w:rsid w:val="0DFA16E3"/>
    <w:rsid w:val="0E0D7668"/>
    <w:rsid w:val="0EB75826"/>
    <w:rsid w:val="0EE26D46"/>
    <w:rsid w:val="0F242EBB"/>
    <w:rsid w:val="0F505D30"/>
    <w:rsid w:val="0F8C6CB2"/>
    <w:rsid w:val="0FDC3796"/>
    <w:rsid w:val="0FF7237E"/>
    <w:rsid w:val="10093E5F"/>
    <w:rsid w:val="101A2510"/>
    <w:rsid w:val="109951E3"/>
    <w:rsid w:val="10C04E65"/>
    <w:rsid w:val="11146F5F"/>
    <w:rsid w:val="115E01DA"/>
    <w:rsid w:val="11FC3C7B"/>
    <w:rsid w:val="12696E37"/>
    <w:rsid w:val="12843C71"/>
    <w:rsid w:val="12B02CB8"/>
    <w:rsid w:val="12B26A30"/>
    <w:rsid w:val="130A061A"/>
    <w:rsid w:val="13A20852"/>
    <w:rsid w:val="13E76BAD"/>
    <w:rsid w:val="142676D5"/>
    <w:rsid w:val="14373691"/>
    <w:rsid w:val="14445DAD"/>
    <w:rsid w:val="144B2C98"/>
    <w:rsid w:val="145C6C53"/>
    <w:rsid w:val="146B6E96"/>
    <w:rsid w:val="148461AA"/>
    <w:rsid w:val="14D964F6"/>
    <w:rsid w:val="14DF1632"/>
    <w:rsid w:val="14FC3F92"/>
    <w:rsid w:val="15567B46"/>
    <w:rsid w:val="15966195"/>
    <w:rsid w:val="163D0D06"/>
    <w:rsid w:val="16BF34C9"/>
    <w:rsid w:val="16DC73F7"/>
    <w:rsid w:val="16E06917"/>
    <w:rsid w:val="170D2487"/>
    <w:rsid w:val="17732C32"/>
    <w:rsid w:val="17991F6C"/>
    <w:rsid w:val="17BF5E77"/>
    <w:rsid w:val="17CA481C"/>
    <w:rsid w:val="17F43647"/>
    <w:rsid w:val="189B3AC2"/>
    <w:rsid w:val="18C15C1F"/>
    <w:rsid w:val="18F51424"/>
    <w:rsid w:val="18F90F15"/>
    <w:rsid w:val="19202945"/>
    <w:rsid w:val="195B397D"/>
    <w:rsid w:val="19EA1D92"/>
    <w:rsid w:val="1A943CB9"/>
    <w:rsid w:val="1B244243"/>
    <w:rsid w:val="1B302BE8"/>
    <w:rsid w:val="1B5763C6"/>
    <w:rsid w:val="1B707488"/>
    <w:rsid w:val="1CCB0E1A"/>
    <w:rsid w:val="1CCB706C"/>
    <w:rsid w:val="1DEB1048"/>
    <w:rsid w:val="1E0345E3"/>
    <w:rsid w:val="1E354A6D"/>
    <w:rsid w:val="1E440E2A"/>
    <w:rsid w:val="1E6D7CAF"/>
    <w:rsid w:val="1E90000B"/>
    <w:rsid w:val="1EAE09F3"/>
    <w:rsid w:val="1EC51899"/>
    <w:rsid w:val="1F0423C1"/>
    <w:rsid w:val="1F3A4035"/>
    <w:rsid w:val="1FB45B95"/>
    <w:rsid w:val="20875058"/>
    <w:rsid w:val="20992FDD"/>
    <w:rsid w:val="20C4539B"/>
    <w:rsid w:val="20DB35F6"/>
    <w:rsid w:val="210743EB"/>
    <w:rsid w:val="213F5933"/>
    <w:rsid w:val="21D818E3"/>
    <w:rsid w:val="21E85FCA"/>
    <w:rsid w:val="224867C7"/>
    <w:rsid w:val="227C4964"/>
    <w:rsid w:val="22A30143"/>
    <w:rsid w:val="22A72D5F"/>
    <w:rsid w:val="22DB78DD"/>
    <w:rsid w:val="22E03145"/>
    <w:rsid w:val="22FB1D2D"/>
    <w:rsid w:val="236E69A3"/>
    <w:rsid w:val="23751ADF"/>
    <w:rsid w:val="23791A58"/>
    <w:rsid w:val="23C12F77"/>
    <w:rsid w:val="2432352D"/>
    <w:rsid w:val="24373239"/>
    <w:rsid w:val="24431BDE"/>
    <w:rsid w:val="2446347C"/>
    <w:rsid w:val="24AF7273"/>
    <w:rsid w:val="24CC572F"/>
    <w:rsid w:val="24CF521F"/>
    <w:rsid w:val="24EC7B7F"/>
    <w:rsid w:val="25331C52"/>
    <w:rsid w:val="25951FC5"/>
    <w:rsid w:val="26062EC3"/>
    <w:rsid w:val="26162A09"/>
    <w:rsid w:val="264102DC"/>
    <w:rsid w:val="26720558"/>
    <w:rsid w:val="26B66697"/>
    <w:rsid w:val="26CA3EF0"/>
    <w:rsid w:val="27076EF2"/>
    <w:rsid w:val="27277595"/>
    <w:rsid w:val="27912C60"/>
    <w:rsid w:val="27ED433A"/>
    <w:rsid w:val="27F136FF"/>
    <w:rsid w:val="2838132E"/>
    <w:rsid w:val="28924EE2"/>
    <w:rsid w:val="28E079FB"/>
    <w:rsid w:val="29086F52"/>
    <w:rsid w:val="29824F56"/>
    <w:rsid w:val="299E3412"/>
    <w:rsid w:val="29BB3FC4"/>
    <w:rsid w:val="2A542F8B"/>
    <w:rsid w:val="2A571F3F"/>
    <w:rsid w:val="2A635327"/>
    <w:rsid w:val="2AA50EFC"/>
    <w:rsid w:val="2AB0164F"/>
    <w:rsid w:val="2B964CE9"/>
    <w:rsid w:val="2BD17ACF"/>
    <w:rsid w:val="2BE912BD"/>
    <w:rsid w:val="2CC633AC"/>
    <w:rsid w:val="2CD71115"/>
    <w:rsid w:val="2CF75313"/>
    <w:rsid w:val="2D2F1C97"/>
    <w:rsid w:val="2D9E1C33"/>
    <w:rsid w:val="2DB651CE"/>
    <w:rsid w:val="2E291E44"/>
    <w:rsid w:val="2F432A92"/>
    <w:rsid w:val="2F9037FD"/>
    <w:rsid w:val="2FE0009C"/>
    <w:rsid w:val="30784863"/>
    <w:rsid w:val="30896BCA"/>
    <w:rsid w:val="30A752A2"/>
    <w:rsid w:val="31072A32"/>
    <w:rsid w:val="315D7742"/>
    <w:rsid w:val="31BC4D7D"/>
    <w:rsid w:val="31F167D5"/>
    <w:rsid w:val="32081D71"/>
    <w:rsid w:val="32236BAB"/>
    <w:rsid w:val="32585920"/>
    <w:rsid w:val="32607DFF"/>
    <w:rsid w:val="326A47D9"/>
    <w:rsid w:val="33D313E6"/>
    <w:rsid w:val="33E04D53"/>
    <w:rsid w:val="348002E4"/>
    <w:rsid w:val="34AB35B3"/>
    <w:rsid w:val="35447564"/>
    <w:rsid w:val="35B93AAE"/>
    <w:rsid w:val="36102C37"/>
    <w:rsid w:val="368A71F8"/>
    <w:rsid w:val="36DD37CC"/>
    <w:rsid w:val="36F154C9"/>
    <w:rsid w:val="370074BA"/>
    <w:rsid w:val="375350D3"/>
    <w:rsid w:val="376D0FF4"/>
    <w:rsid w:val="37A8202C"/>
    <w:rsid w:val="37D1291E"/>
    <w:rsid w:val="380B4369"/>
    <w:rsid w:val="380F20AB"/>
    <w:rsid w:val="385A1AE5"/>
    <w:rsid w:val="388A1731"/>
    <w:rsid w:val="39290F4A"/>
    <w:rsid w:val="394F0285"/>
    <w:rsid w:val="395A1104"/>
    <w:rsid w:val="399B34CA"/>
    <w:rsid w:val="39D92970"/>
    <w:rsid w:val="39DF785B"/>
    <w:rsid w:val="3A1514CF"/>
    <w:rsid w:val="3A396F6B"/>
    <w:rsid w:val="3A3F654C"/>
    <w:rsid w:val="3A5913BB"/>
    <w:rsid w:val="3A6F6E31"/>
    <w:rsid w:val="3A7461F5"/>
    <w:rsid w:val="3A810912"/>
    <w:rsid w:val="3A865F28"/>
    <w:rsid w:val="3AE3337B"/>
    <w:rsid w:val="3B392F9B"/>
    <w:rsid w:val="3B982A08"/>
    <w:rsid w:val="3B9D352A"/>
    <w:rsid w:val="3BC431AC"/>
    <w:rsid w:val="3C862210"/>
    <w:rsid w:val="3C8B3CCA"/>
    <w:rsid w:val="3CD659B4"/>
    <w:rsid w:val="3CEA279F"/>
    <w:rsid w:val="3D0777F5"/>
    <w:rsid w:val="3D1837B0"/>
    <w:rsid w:val="3D605157"/>
    <w:rsid w:val="3D7309E6"/>
    <w:rsid w:val="3DA60DBB"/>
    <w:rsid w:val="3DBB413B"/>
    <w:rsid w:val="3E3A7756"/>
    <w:rsid w:val="3E3E7246"/>
    <w:rsid w:val="3E612F34"/>
    <w:rsid w:val="3EAB41B0"/>
    <w:rsid w:val="3F0A7C77"/>
    <w:rsid w:val="3F1E4982"/>
    <w:rsid w:val="3F2F6B8F"/>
    <w:rsid w:val="3F634A8A"/>
    <w:rsid w:val="3FA27361"/>
    <w:rsid w:val="408829FA"/>
    <w:rsid w:val="408847A8"/>
    <w:rsid w:val="40A84E4B"/>
    <w:rsid w:val="40B47307"/>
    <w:rsid w:val="415E375B"/>
    <w:rsid w:val="41635215"/>
    <w:rsid w:val="419B050B"/>
    <w:rsid w:val="41D028AB"/>
    <w:rsid w:val="41E81277"/>
    <w:rsid w:val="421107CE"/>
    <w:rsid w:val="42611755"/>
    <w:rsid w:val="42621029"/>
    <w:rsid w:val="4292190E"/>
    <w:rsid w:val="42B45D29"/>
    <w:rsid w:val="42FC147E"/>
    <w:rsid w:val="43030A5E"/>
    <w:rsid w:val="430A3B9B"/>
    <w:rsid w:val="43317379"/>
    <w:rsid w:val="43A51B15"/>
    <w:rsid w:val="43CC52F4"/>
    <w:rsid w:val="43DD12AF"/>
    <w:rsid w:val="441B2AC5"/>
    <w:rsid w:val="4420119C"/>
    <w:rsid w:val="44384737"/>
    <w:rsid w:val="447C0AC8"/>
    <w:rsid w:val="44B57B36"/>
    <w:rsid w:val="44ED5001"/>
    <w:rsid w:val="45034D45"/>
    <w:rsid w:val="454809AA"/>
    <w:rsid w:val="456A4DC4"/>
    <w:rsid w:val="45835E86"/>
    <w:rsid w:val="45953C00"/>
    <w:rsid w:val="45AD6A5F"/>
    <w:rsid w:val="45DB537A"/>
    <w:rsid w:val="46362EF9"/>
    <w:rsid w:val="465A0995"/>
    <w:rsid w:val="46A61E2C"/>
    <w:rsid w:val="472F1E22"/>
    <w:rsid w:val="47BF3C67"/>
    <w:rsid w:val="484511D1"/>
    <w:rsid w:val="48710218"/>
    <w:rsid w:val="489F4D85"/>
    <w:rsid w:val="48B12D0A"/>
    <w:rsid w:val="48C22822"/>
    <w:rsid w:val="48DA26B0"/>
    <w:rsid w:val="48F11ADE"/>
    <w:rsid w:val="48F6071D"/>
    <w:rsid w:val="48FD385A"/>
    <w:rsid w:val="495C4CF8"/>
    <w:rsid w:val="4A834233"/>
    <w:rsid w:val="4A835FE1"/>
    <w:rsid w:val="4AB32D6A"/>
    <w:rsid w:val="4AB83EDC"/>
    <w:rsid w:val="4AD131F0"/>
    <w:rsid w:val="4ADC4A61"/>
    <w:rsid w:val="4AFF5FAF"/>
    <w:rsid w:val="4B63653E"/>
    <w:rsid w:val="4BA44460"/>
    <w:rsid w:val="4C107D48"/>
    <w:rsid w:val="4C172E84"/>
    <w:rsid w:val="4C1B0BC7"/>
    <w:rsid w:val="4C89472F"/>
    <w:rsid w:val="4CA94424"/>
    <w:rsid w:val="4CED0E58"/>
    <w:rsid w:val="4D3C320F"/>
    <w:rsid w:val="4DEA6821"/>
    <w:rsid w:val="4DFF0074"/>
    <w:rsid w:val="4E810A89"/>
    <w:rsid w:val="4EC92B5C"/>
    <w:rsid w:val="4ED41501"/>
    <w:rsid w:val="4EE47996"/>
    <w:rsid w:val="4F251D5C"/>
    <w:rsid w:val="4F624D5E"/>
    <w:rsid w:val="4F6C34E7"/>
    <w:rsid w:val="4F9A62A6"/>
    <w:rsid w:val="4FAE58AE"/>
    <w:rsid w:val="4FB54E8E"/>
    <w:rsid w:val="4FE94B38"/>
    <w:rsid w:val="505B528C"/>
    <w:rsid w:val="508807F5"/>
    <w:rsid w:val="511F2F07"/>
    <w:rsid w:val="513A1AEF"/>
    <w:rsid w:val="51825244"/>
    <w:rsid w:val="520B5239"/>
    <w:rsid w:val="523B430A"/>
    <w:rsid w:val="5253273C"/>
    <w:rsid w:val="52756B57"/>
    <w:rsid w:val="533267F6"/>
    <w:rsid w:val="54085ED4"/>
    <w:rsid w:val="540939FA"/>
    <w:rsid w:val="54387E3C"/>
    <w:rsid w:val="548E5CAE"/>
    <w:rsid w:val="54D97871"/>
    <w:rsid w:val="54DE09E3"/>
    <w:rsid w:val="54F55D2D"/>
    <w:rsid w:val="550348EE"/>
    <w:rsid w:val="556A04C9"/>
    <w:rsid w:val="55A21A11"/>
    <w:rsid w:val="55B300C2"/>
    <w:rsid w:val="55C51BA3"/>
    <w:rsid w:val="56A1616C"/>
    <w:rsid w:val="571A1A7B"/>
    <w:rsid w:val="57EA3B43"/>
    <w:rsid w:val="580E15DF"/>
    <w:rsid w:val="582708F3"/>
    <w:rsid w:val="58387191"/>
    <w:rsid w:val="583D1B6A"/>
    <w:rsid w:val="5851771E"/>
    <w:rsid w:val="5866766D"/>
    <w:rsid w:val="58AF6722"/>
    <w:rsid w:val="58CB5722"/>
    <w:rsid w:val="58F00CE5"/>
    <w:rsid w:val="59462FFB"/>
    <w:rsid w:val="59613991"/>
    <w:rsid w:val="597933D0"/>
    <w:rsid w:val="59EF71EF"/>
    <w:rsid w:val="5A296BA4"/>
    <w:rsid w:val="5A4C2893"/>
    <w:rsid w:val="5A8C626D"/>
    <w:rsid w:val="5B1A473F"/>
    <w:rsid w:val="5B7E082A"/>
    <w:rsid w:val="5BA87F9D"/>
    <w:rsid w:val="5BFB00CD"/>
    <w:rsid w:val="5C553A5A"/>
    <w:rsid w:val="5C7F2AAC"/>
    <w:rsid w:val="5C82434A"/>
    <w:rsid w:val="5CB07109"/>
    <w:rsid w:val="5D0A144D"/>
    <w:rsid w:val="5E2F4923"/>
    <w:rsid w:val="5E40270F"/>
    <w:rsid w:val="5E59557E"/>
    <w:rsid w:val="5E5B4E53"/>
    <w:rsid w:val="5E8076ED"/>
    <w:rsid w:val="5EFA0B0F"/>
    <w:rsid w:val="5F1D035A"/>
    <w:rsid w:val="5F48187B"/>
    <w:rsid w:val="5F8A1E93"/>
    <w:rsid w:val="5FA11C3D"/>
    <w:rsid w:val="5FAD5B82"/>
    <w:rsid w:val="5FB54A36"/>
    <w:rsid w:val="5FEB66AA"/>
    <w:rsid w:val="60234096"/>
    <w:rsid w:val="61355E2F"/>
    <w:rsid w:val="61532759"/>
    <w:rsid w:val="61572249"/>
    <w:rsid w:val="61C176C2"/>
    <w:rsid w:val="629848C7"/>
    <w:rsid w:val="6299419B"/>
    <w:rsid w:val="62AF7E63"/>
    <w:rsid w:val="635F7193"/>
    <w:rsid w:val="638766EA"/>
    <w:rsid w:val="63E36016"/>
    <w:rsid w:val="6410048D"/>
    <w:rsid w:val="64794284"/>
    <w:rsid w:val="647B624F"/>
    <w:rsid w:val="64BF72F8"/>
    <w:rsid w:val="64EC2CA8"/>
    <w:rsid w:val="65071B9A"/>
    <w:rsid w:val="65363F24"/>
    <w:rsid w:val="65F8742B"/>
    <w:rsid w:val="66100C18"/>
    <w:rsid w:val="66D439F4"/>
    <w:rsid w:val="66DD4F9F"/>
    <w:rsid w:val="6747227C"/>
    <w:rsid w:val="67896ED4"/>
    <w:rsid w:val="6833299C"/>
    <w:rsid w:val="68C1269E"/>
    <w:rsid w:val="68F16ADF"/>
    <w:rsid w:val="692112C9"/>
    <w:rsid w:val="6A8B2F63"/>
    <w:rsid w:val="6AAD4C88"/>
    <w:rsid w:val="6AC00E5F"/>
    <w:rsid w:val="6ACD3601"/>
    <w:rsid w:val="6AFB3C45"/>
    <w:rsid w:val="6B551084"/>
    <w:rsid w:val="6B804EC3"/>
    <w:rsid w:val="6BBA3B00"/>
    <w:rsid w:val="6BDD334B"/>
    <w:rsid w:val="6C134FBF"/>
    <w:rsid w:val="6C5E0930"/>
    <w:rsid w:val="6CA9147F"/>
    <w:rsid w:val="6CE40709"/>
    <w:rsid w:val="6D0B038C"/>
    <w:rsid w:val="6D413DAD"/>
    <w:rsid w:val="6D806415"/>
    <w:rsid w:val="6D9914F3"/>
    <w:rsid w:val="6DE2733E"/>
    <w:rsid w:val="6E0819B1"/>
    <w:rsid w:val="6E1F7C4B"/>
    <w:rsid w:val="6F173018"/>
    <w:rsid w:val="6F213E96"/>
    <w:rsid w:val="6F4F4560"/>
    <w:rsid w:val="6F60051B"/>
    <w:rsid w:val="6FF9096F"/>
    <w:rsid w:val="7003534A"/>
    <w:rsid w:val="705160B5"/>
    <w:rsid w:val="716167CC"/>
    <w:rsid w:val="71EC253A"/>
    <w:rsid w:val="720E0702"/>
    <w:rsid w:val="722E2B52"/>
    <w:rsid w:val="72B745E1"/>
    <w:rsid w:val="72E2393D"/>
    <w:rsid w:val="733777E5"/>
    <w:rsid w:val="73C66DBA"/>
    <w:rsid w:val="73DB0AB8"/>
    <w:rsid w:val="73E55492"/>
    <w:rsid w:val="74033B6B"/>
    <w:rsid w:val="743053BC"/>
    <w:rsid w:val="75596138"/>
    <w:rsid w:val="75752846"/>
    <w:rsid w:val="75E35A02"/>
    <w:rsid w:val="764F12E9"/>
    <w:rsid w:val="768B274A"/>
    <w:rsid w:val="77364257"/>
    <w:rsid w:val="77507F9C"/>
    <w:rsid w:val="7789082B"/>
    <w:rsid w:val="77916EC5"/>
    <w:rsid w:val="77A1300F"/>
    <w:rsid w:val="77DF044B"/>
    <w:rsid w:val="78085BF3"/>
    <w:rsid w:val="78147FC8"/>
    <w:rsid w:val="78454752"/>
    <w:rsid w:val="784A620C"/>
    <w:rsid w:val="7863107C"/>
    <w:rsid w:val="78743289"/>
    <w:rsid w:val="78F87A16"/>
    <w:rsid w:val="79050385"/>
    <w:rsid w:val="79183C14"/>
    <w:rsid w:val="794A5D98"/>
    <w:rsid w:val="797F3C93"/>
    <w:rsid w:val="79D7762B"/>
    <w:rsid w:val="7A654347"/>
    <w:rsid w:val="7AED2E7F"/>
    <w:rsid w:val="7AFF2B9E"/>
    <w:rsid w:val="7B474C85"/>
    <w:rsid w:val="7B56709B"/>
    <w:rsid w:val="7B871525"/>
    <w:rsid w:val="7BD227A0"/>
    <w:rsid w:val="7C280612"/>
    <w:rsid w:val="7C541407"/>
    <w:rsid w:val="7C727ADF"/>
    <w:rsid w:val="7C773348"/>
    <w:rsid w:val="7D3B25C7"/>
    <w:rsid w:val="7D697134"/>
    <w:rsid w:val="7DB54128"/>
    <w:rsid w:val="7DD547CA"/>
    <w:rsid w:val="7DE93DD1"/>
    <w:rsid w:val="7E584AB3"/>
    <w:rsid w:val="7E5C27F5"/>
    <w:rsid w:val="7EA5419C"/>
    <w:rsid w:val="7ECD341B"/>
    <w:rsid w:val="7ECF1219"/>
    <w:rsid w:val="7ED700CE"/>
    <w:rsid w:val="7F12066C"/>
    <w:rsid w:val="BDDCCF79"/>
    <w:rsid w:val="FDFF5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bCs/>
      <w:kern w:val="0"/>
      <w:sz w:val="36"/>
      <w:szCs w:val="36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FollowedHyperlink"/>
    <w:basedOn w:val="7"/>
    <w:qFormat/>
    <w:uiPriority w:val="0"/>
    <w:rPr>
      <w:color w:val="800080"/>
      <w:u w:val="none"/>
    </w:rPr>
  </w:style>
  <w:style w:type="character" w:styleId="10">
    <w:name w:val="Hyperlink"/>
    <w:basedOn w:val="7"/>
    <w:qFormat/>
    <w:uiPriority w:val="0"/>
    <w:rPr>
      <w:color w:val="0000FF"/>
      <w:u w:val="none"/>
    </w:rPr>
  </w:style>
  <w:style w:type="character" w:customStyle="1" w:styleId="11">
    <w:name w:val="u_page"/>
    <w:basedOn w:val="7"/>
    <w:qFormat/>
    <w:uiPriority w:val="0"/>
  </w:style>
  <w:style w:type="character" w:customStyle="1" w:styleId="12">
    <w:name w:val="fl1"/>
    <w:basedOn w:val="7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30</Pages>
  <Words>6263</Words>
  <Characters>7101</Characters>
  <Lines>77</Lines>
  <Paragraphs>21</Paragraphs>
  <TotalTime>8</TotalTime>
  <ScaleCrop>false</ScaleCrop>
  <LinksUpToDate>false</LinksUpToDate>
  <CharactersWithSpaces>7107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2023-04-21T11:13:00Z</dcterms:created>
  <dc:creator>辣条少女</dc:creator>
  <cp:lastModifiedBy>簧刑节授皆</cp:lastModifiedBy>
  <dcterms:modified xsi:type="dcterms:W3CDTF">2024-08-01T03:22:49Z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6152CD2264594019A80026D99FBE974E_13</vt:lpwstr>
  </property>
</Properties>
</file>