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2023年氢能企业房租补贴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《北京经济技术开发区关于促进氢能产业高质量发展的若干措施》（京技管〔2022〕125号）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9条“支持企业集聚发展。对租赁办公、研发、生产类用房且自用的氢能重点企业，按照不高于所支付年租金的50%给予补贴，补贴单价不超过1.5元/天/平方米，每家企业政策期内获得的支持不超过三年，其中年度营业收入达到2000万元（含）以上的氢能企业每年获得的房租补贴不超过500万元，年度营业收入低于2000万元的氢能企业每年获得的房租补贴不超过50万元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业房租补贴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申报主体为从事氢能制、储、运、加、用的工业、科技服务业、信息传输、软件和信息技术服务业企业或组织。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在亦庄新城注册、纳税并进行统计登记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租赁房屋地点在亦庄新城范围内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2021年1月1日至2023年12月31日期间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行政处罚记录和刑事犯罪记录，未列入严重违法失信主体名单。重大行政处罚是指一次性罚款金额或者没收违法所得超过5万元（含）、降低资质等级、吊销许可证件、责令停产停业、责令关闭、限制从业等处罚。刑事犯罪记录以人民法院作出的单位刑事犯罪生效裁判文书（中国裁判文书网）作为界定依据。严重违法失信主体名单以信用中国共享的名单作为界定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对租赁办公、研发、生产类用房且自用的氢能企业，按照不高于所支付年租金的50%给予补贴，补贴单价不超过1.5元/天/平方米，每家企业政策期内获得的支持不超过三年，其中年度营业收入达到2000万元（含）以上的氢能企业每年获得的房租补贴不超过500万元，年度营业收入低于2000万元的氢能企业每年获得的房租补贴不超过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（二）补贴金额以万元为单位，保留两位小数，不足百元部分舍去。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jc w:val="left"/>
        <w:textAlignment w:val="auto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2023年氢能企业房租补贴专项申报表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包含2023年</w:t>
      </w:r>
      <w:r>
        <w:rPr>
          <w:rFonts w:hint="eastAsia" w:ascii="仿宋_GB2312" w:eastAsia="仿宋_GB2312"/>
          <w:sz w:val="32"/>
          <w:szCs w:val="32"/>
          <w:lang w:eastAsia="zh-CN"/>
        </w:rPr>
        <w:t>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房屋租赁合同协议书，原件彩色扫描上传；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6.不动产产权证明，原件彩色扫描上传；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包含2023年租期的房租发票</w:t>
      </w:r>
      <w:r>
        <w:rPr>
          <w:rFonts w:hint="eastAsia" w:ascii="仿宋_GB2312" w:eastAsia="仿宋_GB2312"/>
          <w:sz w:val="32"/>
          <w:szCs w:val="32"/>
        </w:rPr>
        <w:t>，原件彩色扫描上传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包含2023年租期的房租支付凭证，原件彩色扫描上传；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9.2023年营业收入证明材料，原件彩色扫描上传。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无需装订，加盖公章，一并递交至受理窗口。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：申报主体在规定期间内从平台下载带水印的申报材料进行打印，并前往政务服务中心“政策申报”窗口提交材料，工作人员核验，与网上提交材料一致的，予以收件；不符合的，当场告知补正要求。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财务结算中心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万源街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政务服务中心“政策申报”窗口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67889117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jc1YTY3YzRhNGVjMmIxOWU5N2FmOTY0NjIwMzQ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2D80C76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720A26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A243EB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BA0563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1E38E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191B9D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3B5D21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81F9D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46716C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A770BA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2734D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705C48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30262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C3062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9117ECC"/>
    <w:rsid w:val="6A7C3B1B"/>
    <w:rsid w:val="6A9153AF"/>
    <w:rsid w:val="6A9A5399"/>
    <w:rsid w:val="6B3F3AAD"/>
    <w:rsid w:val="6B891093"/>
    <w:rsid w:val="6BA55CDC"/>
    <w:rsid w:val="6BC177C6"/>
    <w:rsid w:val="6BC37DD4"/>
    <w:rsid w:val="6BFF6123"/>
    <w:rsid w:val="6C021C08"/>
    <w:rsid w:val="6C0A466E"/>
    <w:rsid w:val="6C1948F8"/>
    <w:rsid w:val="6C4D6808"/>
    <w:rsid w:val="6C725360"/>
    <w:rsid w:val="6C7908D0"/>
    <w:rsid w:val="6C7F4C55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42020F"/>
    <w:rsid w:val="6D5B79BC"/>
    <w:rsid w:val="6DCB0745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A65AA6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C52C51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D8FFD17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1656</Words>
  <Characters>1844</Characters>
  <Lines>11</Lines>
  <Paragraphs>3</Paragraphs>
  <TotalTime>5</TotalTime>
  <ScaleCrop>false</ScaleCrop>
  <LinksUpToDate>false</LinksUpToDate>
  <CharactersWithSpaces>1844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2019-08-11T22:54:00Z</dcterms:created>
  <dc:creator>zkk</dc:creator>
  <cp:lastModifiedBy>安兴华</cp:lastModifiedBy>
  <cp:lastPrinted>2020-03-21T19:03:00Z</cp:lastPrinted>
  <dcterms:modified xsi:type="dcterms:W3CDTF">2024-05-30T11:50:50Z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297BB10E9E874ADDB2737DA2A9C7BF3C</vt:lpwstr>
  </property>
</Properties>
</file>