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82B" w:rsidRDefault="00000000">
      <w:pPr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pacing w:val="15"/>
          <w:kern w:val="0"/>
          <w:sz w:val="32"/>
          <w:szCs w:val="32"/>
          <w:shd w:val="clear" w:color="auto" w:fill="FFFFFF"/>
        </w:rPr>
        <w:t>附件2</w:t>
      </w:r>
    </w:p>
    <w:p w:rsidR="0097482B" w:rsidRDefault="00000000" w:rsidP="00A4223B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年研发投入增长奖励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（B类）</w:t>
      </w:r>
    </w:p>
    <w:p w:rsidR="0097482B" w:rsidRDefault="00000000" w:rsidP="00A4223B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办事指南</w:t>
      </w:r>
    </w:p>
    <w:p w:rsidR="0097482B" w:rsidRDefault="0097482B" w:rsidP="00A4223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一、政策依据</w:t>
      </w:r>
    </w:p>
    <w:p w:rsidR="0097482B" w:rsidRDefault="00000000" w:rsidP="00A4223B">
      <w:pPr>
        <w:pStyle w:val="ab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《北京经济技术开发区关于加快推进国际科技创新中心建设 打造高精尖产业主阵地的若干意见》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京技管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/>
          <w:sz w:val="32"/>
          <w:szCs w:val="32"/>
        </w:rPr>
        <w:t>2022〕8号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第六条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对年度研发费用增长超过年度目标值的大中型重点企业、专精特新“小巨人”企业，按照高出部分的20%给予支持，支持金额最高为300万元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二、申报事项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2023</w:t>
      </w:r>
      <w:r>
        <w:rPr>
          <w:rFonts w:eastAsia="仿宋_GB2312" w:cs="仿宋_GB2312" w:hint="eastAsia"/>
          <w:sz w:val="32"/>
          <w:szCs w:val="32"/>
        </w:rPr>
        <w:t>年研发投入增长奖励（</w:t>
      </w:r>
      <w:r>
        <w:rPr>
          <w:rFonts w:ascii="仿宋_GB2312" w:eastAsia="仿宋_GB2312" w:hAnsi="仿宋_GB2312" w:cs="仿宋_GB2312"/>
          <w:sz w:val="32"/>
          <w:szCs w:val="32"/>
        </w:rPr>
        <w:t>B</w:t>
      </w:r>
      <w:r>
        <w:rPr>
          <w:rFonts w:eastAsia="仿宋_GB2312" w:cs="仿宋_GB2312" w:hint="eastAsia"/>
          <w:sz w:val="32"/>
          <w:szCs w:val="32"/>
        </w:rPr>
        <w:t>类）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三、申报条件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（一）具有独立法人资格；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（二）2023年至今在亦庄新城范围内依法注册、纳税、入统（不包含2024年新迁入的企业）；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（三）注册地址位于亦庄新城范围内，2023年前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经工业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和信息化部认定且称号处于有效期内的国家级专精特新“小巨人”企业；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（四）2023年企业规模未达到大中型重点企业（大中型规模以上工业、信息传输、软件和信息技术服务业、科学研究和技术服务业企业）标准；</w:t>
      </w:r>
    </w:p>
    <w:p w:rsidR="0097482B" w:rsidRDefault="00000000" w:rsidP="00A4223B">
      <w:pPr>
        <w:numPr>
          <w:ilvl w:val="0"/>
          <w:numId w:val="1"/>
        </w:numPr>
        <w:spacing w:line="560" w:lineRule="exact"/>
        <w:ind w:firstLineChars="200" w:firstLine="664"/>
        <w:jc w:val="left"/>
        <w:outlineLvl w:val="0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企业在2021年1月1日至今无重大行政处罚信息、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违建信息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、严重失信主体信息和刑事犯罪记录信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lastRenderedPageBreak/>
        <w:t xml:space="preserve">息。   </w:t>
      </w:r>
    </w:p>
    <w:p w:rsidR="0097482B" w:rsidRDefault="00000000" w:rsidP="00A4223B">
      <w:pPr>
        <w:numPr>
          <w:ilvl w:val="255"/>
          <w:numId w:val="0"/>
        </w:numPr>
        <w:spacing w:line="560" w:lineRule="exact"/>
        <w:ind w:firstLineChars="200" w:firstLine="664"/>
        <w:jc w:val="left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四、支持内容及标准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给予企业2023年度研发费用同比增长超过15%后，超出部分的20%资金奖励。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计算公式为：（2023年研发费用-2022年研发费用*115%）*20%。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本指南所指研发费用的口径和标准与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税务部门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研发费用归集口径一致，相关要求参见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税务部门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有关文件。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单家企业全年获得研发费用补贴金额以万元为单位，不足万元部分舍去，最高不超过300万元，享受奖励金额不与该企业年度区域经济贡献挂钩。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五、申报材料及要求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（一）申报材料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1.研发投入增长奖励专项申报表（</w:t>
      </w:r>
      <w:r>
        <w:rPr>
          <w:rFonts w:ascii="仿宋_GB2312" w:eastAsia="仿宋_GB2312" w:hAnsi="仿宋_GB2312" w:cs="仿宋_GB2312"/>
          <w:sz w:val="32"/>
          <w:szCs w:val="32"/>
        </w:rPr>
        <w:t>B</w:t>
      </w:r>
      <w:r>
        <w:rPr>
          <w:rFonts w:eastAsia="仿宋_GB2312" w:cs="仿宋_GB2312" w:hint="eastAsia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），在线填写；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2.企业营业执照，选取电子证照；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3.承诺书，下载模板填写，签字、加盖公章，彩色扫描上传；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4.银行账户信息，下载模板填写，加盖公章，彩色扫描上传；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2022年度《研发费用加计扣除优惠明细表（</w:t>
      </w:r>
      <w:proofErr w:type="spellStart"/>
      <w:r>
        <w:rPr>
          <w:rFonts w:ascii="仿宋_GB2312" w:eastAsia="仿宋_GB2312"/>
          <w:color w:val="000000" w:themeColor="text1"/>
          <w:sz w:val="32"/>
          <w:szCs w:val="32"/>
        </w:rPr>
        <w:t>A107012</w:t>
      </w:r>
      <w:proofErr w:type="spellEnd"/>
      <w:r>
        <w:rPr>
          <w:rFonts w:ascii="仿宋_GB2312" w:eastAsia="仿宋_GB2312" w:hint="eastAsia"/>
          <w:sz w:val="32"/>
          <w:szCs w:val="32"/>
        </w:rPr>
        <w:t>）》，加盖公章，彩色扫描上传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；</w:t>
      </w:r>
    </w:p>
    <w:p w:rsidR="0097482B" w:rsidRDefault="00000000" w:rsidP="00A4223B">
      <w:pPr>
        <w:spacing w:line="560" w:lineRule="exact"/>
        <w:ind w:firstLineChars="200" w:firstLine="66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2023年度《研发费用加计扣除优惠明细表（</w:t>
      </w:r>
      <w:proofErr w:type="spellStart"/>
      <w:r>
        <w:rPr>
          <w:rFonts w:ascii="仿宋_GB2312" w:eastAsia="仿宋_GB2312"/>
          <w:color w:val="000000" w:themeColor="text1"/>
          <w:sz w:val="32"/>
          <w:szCs w:val="32"/>
        </w:rPr>
        <w:t>A107012</w:t>
      </w:r>
      <w:proofErr w:type="spellEnd"/>
      <w:r>
        <w:rPr>
          <w:rFonts w:ascii="仿宋_GB2312" w:eastAsia="仿宋_GB2312" w:hint="eastAsia"/>
          <w:sz w:val="32"/>
          <w:szCs w:val="32"/>
        </w:rPr>
        <w:t>）》，加盖公章，彩色扫描上传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；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（二）打印纸质材料要求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收到打印纸质材料短信通知后，在3个工作日内从平台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下载带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水印全套申报材料进行打印，一式一份有序装订（整本首页、骑缝盖章），其中银行账户信息无需装订，加盖公章，一并递交至受理窗口。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六、办理程序</w:t>
      </w:r>
    </w:p>
    <w:p w:rsidR="0097482B" w:rsidRDefault="00000000">
      <w:pPr>
        <w:pStyle w:val="ab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网上申报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：通过经开区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官网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兑现模块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进入政策兑现综合服务平台，</w:t>
      </w:r>
      <w:r>
        <w:rPr>
          <w:rFonts w:ascii="仿宋_GB2312" w:eastAsia="仿宋_GB2312" w:hAnsi="仿宋_GB2312" w:cs="仿宋_GB2312" w:hint="eastAsia"/>
          <w:sz w:val="32"/>
          <w:szCs w:val="32"/>
        </w:rPr>
        <w:t>或使用360浏览器的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极速模式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登录网址：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zcdx.kfqgw.beijing.gov.cn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，注册登录后进行项目申报。如未在规定时间内提交申请的，视为自动放弃。</w:t>
      </w:r>
    </w:p>
    <w:p w:rsidR="0097482B" w:rsidRDefault="00000000">
      <w:pPr>
        <w:pStyle w:val="ab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 w:rsidR="0097482B" w:rsidRDefault="00000000">
      <w:pPr>
        <w:pStyle w:val="ab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：经开区科技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对申报材料进行实质审核。</w:t>
      </w:r>
    </w:p>
    <w:p w:rsidR="0097482B" w:rsidRDefault="00000000">
      <w:pPr>
        <w:pStyle w:val="ab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线下受理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：申报主体在规定期间内从平台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下载带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水印的申报材料进行打印，并前往政务服务中心“政策申报”窗口提交材料，工作人员核验，与网上提交材料一致的，予以收件；不符合的，当场告知补正要求。</w:t>
      </w:r>
    </w:p>
    <w:p w:rsidR="0097482B" w:rsidRDefault="00000000">
      <w:pPr>
        <w:pStyle w:val="ab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科技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对审核通过的申报主体拟定兑现扶持奖励金额。</w:t>
      </w:r>
    </w:p>
    <w:p w:rsidR="0097482B" w:rsidRDefault="00000000">
      <w:pPr>
        <w:pStyle w:val="ab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公示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：经开区科技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创新局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通过政策兑现综合服务平台对审核通过的申报主体进行公示。</w:t>
      </w:r>
    </w:p>
    <w:p w:rsidR="0097482B" w:rsidRDefault="00000000">
      <w:pPr>
        <w:pStyle w:val="ab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（七）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资金拨付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：经公示无异议的，经开区财务结算中心完成资金拨付工作。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七、主责部门</w:t>
      </w:r>
    </w:p>
    <w:p w:rsidR="0097482B" w:rsidRDefault="00000000" w:rsidP="00A4223B">
      <w:pPr>
        <w:pStyle w:val="ab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Segoe UI" w:cs="Segoe UI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Segoe UI" w:hint="eastAsia"/>
          <w:color w:val="000000" w:themeColor="text1"/>
          <w:sz w:val="32"/>
          <w:szCs w:val="32"/>
        </w:rPr>
        <w:t>经开区科技创新局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八、受理窗口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北京经济技术开发区政务服务中心“政策申报”窗口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九、申报时间</w:t>
      </w:r>
    </w:p>
    <w:p w:rsidR="0097482B" w:rsidRDefault="00000000" w:rsidP="00A4223B">
      <w:pPr>
        <w:pStyle w:val="ab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Segoe UI" w:cs="Segoe UI"/>
          <w:color w:val="000000" w:themeColor="text1"/>
          <w:sz w:val="32"/>
          <w:szCs w:val="32"/>
        </w:rPr>
      </w:pPr>
      <w:r>
        <w:rPr>
          <w:rFonts w:ascii="仿宋_GB2312" w:eastAsia="仿宋_GB2312" w:hAnsi="Segoe UI" w:cs="Segoe UI" w:hint="eastAsia"/>
          <w:color w:val="000000" w:themeColor="text1"/>
          <w:sz w:val="32"/>
          <w:szCs w:val="32"/>
        </w:rPr>
        <w:t>2024年5月27日至2024年6月11日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十、联系人及联系方式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政策咨询：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经开区政务服务中心“政策申报”窗口，联系电话：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010-67857687</w:t>
      </w:r>
      <w:r>
        <w:rPr>
          <w:rFonts w:eastAsia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010-67857878转4，工作日上午9:00—12:00，下午1:30—5:00。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经开</w:t>
      </w:r>
      <w:r>
        <w:rPr>
          <w:rFonts w:ascii="仿宋_GB2312" w:eastAsia="仿宋_GB2312" w:hAnsi="仿宋_GB2312" w:cs="仿宋_GB2312" w:hint="eastAsia"/>
          <w:sz w:val="32"/>
          <w:szCs w:val="32"/>
        </w:rPr>
        <w:t>区科技创新局，联系人：褚博华、李洋，联系电话：010-</w:t>
      </w:r>
      <w:r>
        <w:rPr>
          <w:rFonts w:ascii="仿宋_GB2312" w:eastAsia="仿宋_GB2312" w:hAnsi="仿宋_GB2312" w:cs="仿宋_GB2312"/>
          <w:sz w:val="32"/>
          <w:szCs w:val="32"/>
        </w:rPr>
        <w:t>67881313</w:t>
      </w:r>
      <w:r>
        <w:rPr>
          <w:rFonts w:ascii="仿宋_GB2312" w:eastAsia="仿宋_GB2312" w:hAnsi="仿宋_GB2312" w:cs="仿宋_GB2312" w:hint="eastAsia"/>
          <w:sz w:val="32"/>
          <w:szCs w:val="32"/>
        </w:rPr>
        <w:t>、67869670，工作日上午9:00—12:00，下午2:00—6:00。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技术支持：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：010-67857638，工作日上午9:00—12:00，下午2:00—6:00。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十一、收费标准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97482B" w:rsidRDefault="00000000" w:rsidP="00A4223B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十二、特别说明</w:t>
      </w:r>
    </w:p>
    <w:p w:rsidR="0097482B" w:rsidRDefault="00000000" w:rsidP="00A422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已在经开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区享受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其他研发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类政策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奖励的企业，在申请本项政策时，采取“从高从优不重复”原则兑现奖励。</w:t>
      </w:r>
    </w:p>
    <w:sectPr w:rsidR="00974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6509" w:rsidRDefault="009D6509" w:rsidP="00A4223B">
      <w:r>
        <w:separator/>
      </w:r>
    </w:p>
  </w:endnote>
  <w:endnote w:type="continuationSeparator" w:id="0">
    <w:p w:rsidR="009D6509" w:rsidRDefault="009D6509" w:rsidP="00A4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6509" w:rsidRDefault="009D6509" w:rsidP="00A4223B">
      <w:r>
        <w:separator/>
      </w:r>
    </w:p>
  </w:footnote>
  <w:footnote w:type="continuationSeparator" w:id="0">
    <w:p w:rsidR="009D6509" w:rsidRDefault="009D6509" w:rsidP="00A4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A29298"/>
    <w:multiLevelType w:val="singleLevel"/>
    <w:tmpl w:val="88A29298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61198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F1"/>
    <w:rsid w:val="C7DB93C8"/>
    <w:rsid w:val="C7FBB4C8"/>
    <w:rsid w:val="D3DDE5C2"/>
    <w:rsid w:val="DD7E7DC7"/>
    <w:rsid w:val="DEF5E07B"/>
    <w:rsid w:val="EFEEB9E2"/>
    <w:rsid w:val="F5DBA8FA"/>
    <w:rsid w:val="FF7D678E"/>
    <w:rsid w:val="FFF73784"/>
    <w:rsid w:val="0001192B"/>
    <w:rsid w:val="00060052"/>
    <w:rsid w:val="00062C5F"/>
    <w:rsid w:val="000C1381"/>
    <w:rsid w:val="000F62F2"/>
    <w:rsid w:val="00111164"/>
    <w:rsid w:val="001145E7"/>
    <w:rsid w:val="00161422"/>
    <w:rsid w:val="00161CCE"/>
    <w:rsid w:val="0018214E"/>
    <w:rsid w:val="001F2AF1"/>
    <w:rsid w:val="00216AE1"/>
    <w:rsid w:val="0026363E"/>
    <w:rsid w:val="00275893"/>
    <w:rsid w:val="002838D9"/>
    <w:rsid w:val="002A48C0"/>
    <w:rsid w:val="00360EF1"/>
    <w:rsid w:val="00395968"/>
    <w:rsid w:val="003E1FFA"/>
    <w:rsid w:val="00401DAB"/>
    <w:rsid w:val="00457B4D"/>
    <w:rsid w:val="00461FF9"/>
    <w:rsid w:val="005008DB"/>
    <w:rsid w:val="0051583C"/>
    <w:rsid w:val="005C106D"/>
    <w:rsid w:val="006A1513"/>
    <w:rsid w:val="006D0140"/>
    <w:rsid w:val="00710378"/>
    <w:rsid w:val="0076666C"/>
    <w:rsid w:val="00844BDB"/>
    <w:rsid w:val="008D343F"/>
    <w:rsid w:val="008D4947"/>
    <w:rsid w:val="008E3160"/>
    <w:rsid w:val="008E39FE"/>
    <w:rsid w:val="008F4806"/>
    <w:rsid w:val="00900A14"/>
    <w:rsid w:val="00923A77"/>
    <w:rsid w:val="009454D6"/>
    <w:rsid w:val="0097482B"/>
    <w:rsid w:val="0098077A"/>
    <w:rsid w:val="009D6509"/>
    <w:rsid w:val="00A2530D"/>
    <w:rsid w:val="00A3406B"/>
    <w:rsid w:val="00A4223B"/>
    <w:rsid w:val="00AB51C7"/>
    <w:rsid w:val="00B17CE9"/>
    <w:rsid w:val="00B52ED8"/>
    <w:rsid w:val="00B60FEE"/>
    <w:rsid w:val="00B74D80"/>
    <w:rsid w:val="00B74F02"/>
    <w:rsid w:val="00C01673"/>
    <w:rsid w:val="00C122AB"/>
    <w:rsid w:val="00C15E82"/>
    <w:rsid w:val="00C736D7"/>
    <w:rsid w:val="00CA75DE"/>
    <w:rsid w:val="00CE4337"/>
    <w:rsid w:val="00D3134E"/>
    <w:rsid w:val="00D33270"/>
    <w:rsid w:val="00D460B2"/>
    <w:rsid w:val="00D668C9"/>
    <w:rsid w:val="00D76185"/>
    <w:rsid w:val="00D85A9F"/>
    <w:rsid w:val="00DE27CD"/>
    <w:rsid w:val="00DF5ADC"/>
    <w:rsid w:val="00E239D0"/>
    <w:rsid w:val="00EA199B"/>
    <w:rsid w:val="00EC7C87"/>
    <w:rsid w:val="00F02BCB"/>
    <w:rsid w:val="00F11B9C"/>
    <w:rsid w:val="00F3022E"/>
    <w:rsid w:val="00F96572"/>
    <w:rsid w:val="00F97F96"/>
    <w:rsid w:val="00FA4055"/>
    <w:rsid w:val="00FE3B58"/>
    <w:rsid w:val="00FF002A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4245FE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E13271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BD7FE4"/>
    <w:rsid w:val="1ED331FC"/>
    <w:rsid w:val="1ED6487D"/>
    <w:rsid w:val="1EFD05E9"/>
    <w:rsid w:val="1EFE4506"/>
    <w:rsid w:val="1F0F5065"/>
    <w:rsid w:val="1F1A6E4C"/>
    <w:rsid w:val="1F60660F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81D61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EC36C7"/>
    <w:rsid w:val="2D2A602F"/>
    <w:rsid w:val="2D460AB0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B63704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C5F5F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9D2D94"/>
    <w:rsid w:val="6FBC2D32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201A3E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BAA03D62-17AC-455A-B49B-F8237043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link w:val="20"/>
    <w:qFormat/>
    <w:pPr>
      <w:ind w:firstLineChars="200" w:firstLine="420"/>
    </w:p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6">
    <w:name w:val="正文文本缩进 字符"/>
    <w:basedOn w:val="a0"/>
    <w:link w:val="a5"/>
    <w:qFormat/>
    <w:rPr>
      <w:kern w:val="2"/>
      <w:sz w:val="21"/>
      <w:szCs w:val="24"/>
    </w:rPr>
  </w:style>
  <w:style w:type="character" w:customStyle="1" w:styleId="20">
    <w:name w:val="正文文本首行缩进 2 字符"/>
    <w:basedOn w:val="a6"/>
    <w:link w:val="2"/>
    <w:qFormat/>
    <w:rPr>
      <w:kern w:val="2"/>
      <w:sz w:val="21"/>
      <w:szCs w:val="24"/>
    </w:rPr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4"/>
    </w:rPr>
  </w:style>
  <w:style w:type="paragraph" w:styleId="ae">
    <w:name w:val="Revision"/>
    <w:hidden/>
    <w:uiPriority w:val="99"/>
    <w:unhideWhenUsed/>
    <w:rsid w:val="00A422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258</Words>
  <Characters>1472</Characters>
  <Application>Microsoft Office Word</Application>
  <DocSecurity>0</DocSecurity>
  <Lines>12</Lines>
  <Paragraphs>3</Paragraphs>
  <ScaleCrop>false</ScaleCrop>
  <Company>China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zkk</dc:creator>
  <cp:lastModifiedBy>小宁宁 王</cp:lastModifiedBy>
  <cp:revision>5</cp:revision>
  <cp:lastPrinted>2020-03-22T03:03:00Z</cp:lastPrinted>
  <dcterms:created xsi:type="dcterms:W3CDTF">2024-05-21T14:09:00Z</dcterms:created>
  <dcterms:modified xsi:type="dcterms:W3CDTF">2024-05-22T01:12:00Z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D0C6CB4D3DD449CF9F01DB31742842FE</vt:lpwstr>
  </property>
</Properties>
</file>