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方正小标宋简体"/>
          <w:bCs/>
          <w:sz w:val="32"/>
          <w:szCs w:val="44"/>
        </w:rPr>
      </w:pPr>
      <w:bookmarkStart w:id="1" w:name="_GoBack"/>
      <w:bookmarkEnd w:id="1"/>
      <w:r>
        <w:rPr>
          <w:rFonts w:hint="eastAsia" w:ascii="黑体" w:hAnsi="黑体" w:eastAsia="黑体" w:cs="方正小标宋简体"/>
          <w:bCs/>
          <w:sz w:val="32"/>
          <w:szCs w:val="44"/>
        </w:rPr>
        <w:t>附件1</w:t>
      </w:r>
    </w:p>
    <w:p>
      <w:pPr>
        <w:pStyle w:val="2"/>
        <w:spacing w:line="560" w:lineRule="exact"/>
      </w:pPr>
    </w:p>
    <w:p>
      <w:pPr>
        <w:spacing w:line="560" w:lineRule="exact"/>
        <w:jc w:val="center"/>
        <w:rPr>
          <w:rFonts w:hint="eastAsia" w:ascii="Times New Roman" w:hAnsi="Times New Roman" w:eastAsia="方正小标宋简体" w:cs="方正小标宋简体"/>
          <w:bCs/>
          <w:sz w:val="44"/>
          <w:szCs w:val="44"/>
          <w:lang w:bidi="ar"/>
        </w:rPr>
      </w:pPr>
      <w:r>
        <w:rPr>
          <w:rFonts w:hint="eastAsia" w:ascii="Times New Roman" w:hAnsi="Times New Roman" w:eastAsia="方正小标宋简体" w:cs="方正小标宋简体"/>
          <w:bCs/>
          <w:sz w:val="44"/>
          <w:szCs w:val="44"/>
          <w:lang w:bidi="ar"/>
        </w:rPr>
        <w:t>北京市先进制造业和现代服务业融合示范园区和试点企业认定及支持办法（试行）</w:t>
      </w:r>
    </w:p>
    <w:p>
      <w:pPr>
        <w:pStyle w:val="2"/>
      </w:pPr>
    </w:p>
    <w:p>
      <w:pPr>
        <w:pStyle w:val="4"/>
        <w:spacing w:line="560" w:lineRule="exact"/>
        <w:ind w:firstLine="0" w:firstLineChars="0"/>
        <w:jc w:val="center"/>
        <w:rPr>
          <w:rFonts w:ascii="Times New Roman" w:hAnsi="Times New Roman"/>
          <w:b w:val="0"/>
          <w:bCs w:val="0"/>
          <w:lang w:bidi="ar"/>
        </w:rPr>
      </w:pPr>
      <w:r>
        <w:rPr>
          <w:rFonts w:hint="eastAsia" w:ascii="Times New Roman" w:hAnsi="Times New Roman"/>
          <w:b w:val="0"/>
          <w:bCs w:val="0"/>
          <w:lang w:bidi="ar"/>
        </w:rPr>
        <w:t xml:space="preserve">第一章 </w:t>
      </w:r>
      <w:r>
        <w:rPr>
          <w:rFonts w:ascii="Times New Roman" w:hAnsi="Times New Roman"/>
          <w:b w:val="0"/>
          <w:bCs w:val="0"/>
          <w:lang w:bidi="ar"/>
        </w:rPr>
        <w:t xml:space="preserve"> </w:t>
      </w:r>
      <w:r>
        <w:rPr>
          <w:rFonts w:hint="eastAsia" w:ascii="Times New Roman" w:hAnsi="Times New Roman"/>
          <w:b w:val="0"/>
          <w:bCs w:val="0"/>
          <w:lang w:bidi="ar"/>
        </w:rPr>
        <w:t>总则</w:t>
      </w:r>
    </w:p>
    <w:p>
      <w:pPr>
        <w:numPr>
          <w:ilvl w:val="255"/>
          <w:numId w:val="0"/>
        </w:numPr>
        <w:spacing w:line="560" w:lineRule="exact"/>
        <w:ind w:firstLine="640" w:firstLineChars="200"/>
        <w:rPr>
          <w:rFonts w:hint="eastAsia" w:ascii="仿宋_GB2312" w:eastAsia="仿宋_GB2312"/>
          <w:sz w:val="32"/>
          <w:szCs w:val="32"/>
        </w:rPr>
      </w:pPr>
      <w:r>
        <w:rPr>
          <w:rFonts w:hint="default" w:ascii="仿宋_GB2312" w:eastAsia="仿宋_GB2312"/>
          <w:sz w:val="32"/>
          <w:szCs w:val="32"/>
        </w:rPr>
        <w:t>第一条 为落实《关于北京市推动先进制造业和现代服务业深度融合发展的实施意见》（京发改〔2023〕83号）,更好开展北京市先进制造业与现代服务业融合（以下简称两业融合）试点示范建设，坚持“五子”联动服务和融入新发展格局，加快形成具有较强国际竞争力的产业集群，构建具有首都特色的现代化产业体系，制定本办法。</w:t>
      </w:r>
    </w:p>
    <w:p>
      <w:pPr>
        <w:numPr>
          <w:ilvl w:val="255"/>
          <w:numId w:val="0"/>
        </w:num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第二条市级两业融合示范园区和试点企业认定遵循“自愿申报、择优认定、分类分批、动态管理”的原则，坚持高水平建设、高质量发展，突出服务首都核心功能，更好支撑首都高质量发展。</w:t>
      </w:r>
    </w:p>
    <w:p>
      <w:pPr>
        <w:numPr>
          <w:ilvl w:val="255"/>
          <w:numId w:val="0"/>
        </w:num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第三条 北京市域内国家级两业融合试点区域和企业可享受市级两业融合试点示范相应支持政策。对获得过其他市级财政资金支持的项目不再予以资金支持。</w:t>
      </w:r>
    </w:p>
    <w:p>
      <w:pPr>
        <w:pStyle w:val="4"/>
        <w:spacing w:line="560" w:lineRule="exact"/>
        <w:ind w:firstLine="0" w:firstLineChars="0"/>
        <w:jc w:val="center"/>
        <w:rPr>
          <w:rFonts w:ascii="Times New Roman" w:hAnsi="Times New Roman"/>
          <w:b w:val="0"/>
          <w:bCs w:val="0"/>
          <w:lang w:bidi="ar"/>
        </w:rPr>
      </w:pPr>
      <w:r>
        <w:rPr>
          <w:rFonts w:hint="eastAsia" w:ascii="Times New Roman" w:hAnsi="Times New Roman"/>
          <w:b w:val="0"/>
          <w:bCs w:val="0"/>
          <w:lang w:bidi="ar"/>
        </w:rPr>
        <w:t xml:space="preserve">第二章 </w:t>
      </w:r>
      <w:r>
        <w:rPr>
          <w:rFonts w:ascii="Times New Roman" w:hAnsi="Times New Roman"/>
          <w:b w:val="0"/>
          <w:bCs w:val="0"/>
          <w:lang w:bidi="ar"/>
        </w:rPr>
        <w:t xml:space="preserve"> 试点</w:t>
      </w:r>
      <w:r>
        <w:rPr>
          <w:rFonts w:hint="eastAsia" w:ascii="Times New Roman" w:hAnsi="Times New Roman"/>
          <w:b w:val="0"/>
          <w:bCs w:val="0"/>
          <w:lang w:bidi="ar"/>
        </w:rPr>
        <w:t>示范领域及标准</w:t>
      </w:r>
    </w:p>
    <w:p>
      <w:pPr>
        <w:numPr>
          <w:ilvl w:val="255"/>
          <w:numId w:val="0"/>
        </w:numPr>
        <w:spacing w:line="560" w:lineRule="exact"/>
        <w:ind w:firstLine="640" w:firstLineChars="200"/>
        <w:rPr>
          <w:rFonts w:hint="eastAsia" w:ascii="仿宋_GB2312" w:eastAsia="仿宋_GB2312"/>
          <w:sz w:val="32"/>
          <w:szCs w:val="32"/>
        </w:rPr>
      </w:pPr>
      <w:bookmarkStart w:id="0" w:name="_Hlk123227268"/>
      <w:r>
        <w:rPr>
          <w:rFonts w:hint="eastAsia" w:ascii="仿宋_GB2312" w:eastAsia="仿宋_GB2312"/>
          <w:sz w:val="32"/>
          <w:szCs w:val="32"/>
        </w:rPr>
        <w:t>第四条 试点示范领域。聚焦深化新一代信息技术和制造业服务业融合、推动医药制造与健康服务有机融合、打造智能网联汽车制造和服务全链条体系、促进集成电路制造与研发设计服务一体化发展、提升高端装备与服务业融合水平、推进新能源和节能环保与相关产业绿色融合、促进现代物流和制造业高效融合、释放消费领域服务与制造融合潜力等北京市两业融合八个重点领域开展试点示范建设。</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第五条 示范园区是指符合北京市两业融合八个重点领域、融合发展基础较好、具有较强的产业集群特征和辐射带动作用的产业园区。申报示范园区，应当符合以下条件：</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（一）园区土地或空间依法取得、四至范围明确、空间集中连片的产业集聚区，管理机构应是北京市内合法注册的法人单位或政府部门派出机构，已建立运营管理机制；</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（二）园区年营业收入不低于100亿元；</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（三）先进制造年营业收入占园区年营业收入比重不低于30%，且现代服务年营业收入占园区年营业收入比重不低于30%；</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（四）园区内入驻企业平均单位面积年营业收入超过2万元/平方米；</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（五）园区内主营业务符合北京市两业融合八个重点领域的企业年营业收入占园区年营业收入比重不低于50%。</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此外，两业融合特征鲜明、对融合发展带动作用明显的新设园区，预计并承诺未来3年可达到示范园区申报条件的也可申报。</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第六条 试点企业是指符合北京市两业融合八个重点领域、掌握核心技术、融合发展模式典型的企业，包括领跑型试点企业和成长型试点企业两类，领跑型试点企业指行业优势地位突出、在产业链融合中发挥引领带动作用的企业，成长型试点企业指发展速度快、创新能力突出、在融合发展中发挥关键节点作用的企业。</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（一）申报领跑型试点企业，应符合以下条件：</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1.年营业收入不低于10亿元，或细分行业市场占有率全国前10名；</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2.研发设计、检验检测、数字化运营管理、品牌建设等服务投入占企业总投入比重不低于20%。</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（二）申报成长型试点企业，应符合以下条件：</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1.获得国家高新技术企业、国家级专精特新“小巨人”企业、北京市“专精特新”中小企业称号之一；</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2.近三年营业收入平均增长率不低于20%或利润平均增长率不低于8%；</w:t>
      </w:r>
    </w:p>
    <w:p>
      <w:pPr>
        <w:numPr>
          <w:ilvl w:val="255"/>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3.研发设计、检验检测、数字化运营管理、品牌建设等服务投入占企业总投入比重不低于40%。</w:t>
      </w:r>
    </w:p>
    <w:bookmarkEnd w:id="0"/>
    <w:p>
      <w:pPr>
        <w:pStyle w:val="4"/>
        <w:spacing w:line="560" w:lineRule="exact"/>
        <w:ind w:firstLine="0" w:firstLineChars="0"/>
        <w:jc w:val="center"/>
        <w:rPr>
          <w:rFonts w:ascii="Times New Roman" w:hAnsi="Times New Roman"/>
          <w:b w:val="0"/>
          <w:bCs w:val="0"/>
          <w:lang w:bidi="ar"/>
        </w:rPr>
      </w:pPr>
      <w:r>
        <w:rPr>
          <w:rFonts w:hint="eastAsia" w:ascii="Times New Roman" w:hAnsi="Times New Roman"/>
          <w:b w:val="0"/>
          <w:bCs w:val="0"/>
          <w:lang w:bidi="ar"/>
        </w:rPr>
        <w:t xml:space="preserve">第三章 </w:t>
      </w:r>
      <w:r>
        <w:rPr>
          <w:rFonts w:ascii="Times New Roman" w:hAnsi="Times New Roman"/>
          <w:b w:val="0"/>
          <w:bCs w:val="0"/>
          <w:lang w:bidi="ar"/>
        </w:rPr>
        <w:t xml:space="preserve"> </w:t>
      </w:r>
      <w:r>
        <w:rPr>
          <w:rFonts w:hint="eastAsia" w:ascii="Times New Roman" w:hAnsi="Times New Roman"/>
          <w:b w:val="0"/>
          <w:bCs w:val="0"/>
          <w:lang w:bidi="ar"/>
        </w:rPr>
        <w:t>申报及认定</w:t>
      </w:r>
    </w:p>
    <w:p>
      <w:pPr>
        <w:numPr>
          <w:ilvl w:val="255"/>
          <w:numId w:val="0"/>
        </w:numPr>
        <w:spacing w:line="560" w:lineRule="exact"/>
        <w:ind w:firstLine="640" w:firstLineChars="200"/>
        <w:rPr>
          <w:rFonts w:hint="eastAsia" w:ascii="仿宋_GB2312" w:eastAsia="仿宋_GB2312"/>
          <w:sz w:val="32"/>
          <w:szCs w:val="32"/>
        </w:rPr>
      </w:pPr>
      <w:r>
        <w:rPr>
          <w:rFonts w:hint="default" w:ascii="仿宋_GB2312" w:eastAsia="仿宋_GB2312"/>
          <w:sz w:val="32"/>
          <w:szCs w:val="32"/>
        </w:rPr>
        <w:t>第七条 申报和初审。</w:t>
      </w:r>
    </w:p>
    <w:p>
      <w:pPr>
        <w:numPr>
          <w:ilvl w:val="255"/>
          <w:numId w:val="0"/>
        </w:num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按照属地管理原则，由各区发展改革部门组织辖区内试点示范申报并进行初审，初审合格后向市发展改革委提出申请并报送相关材料。</w:t>
      </w:r>
    </w:p>
    <w:p>
      <w:pPr>
        <w:numPr>
          <w:ilvl w:val="255"/>
          <w:numId w:val="0"/>
        </w:num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第八条 评选和认定。</w:t>
      </w:r>
    </w:p>
    <w:p>
      <w:pPr>
        <w:numPr>
          <w:ilvl w:val="255"/>
          <w:numId w:val="0"/>
        </w:num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（一）形式审查。由市发展改革委对各区报送的两业融合试点示范申报材料进行形式审查，重点审查申报材料的完整性、方向符合性等，通过形式审查的申报单位进入专家评审环节。</w:t>
      </w:r>
    </w:p>
    <w:p>
      <w:pPr>
        <w:numPr>
          <w:ilvl w:val="255"/>
          <w:numId w:val="0"/>
        </w:num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（二）专家评审。由市发展改革委委托第三方机构对通过形式审查的申报单位开展专家评审，重点审查申报单位资质情况、申报材料的合规情况、试点示范方案的创新性和可行性等，并提出评审意见和推荐名单。</w:t>
      </w:r>
    </w:p>
    <w:p>
      <w:pPr>
        <w:numPr>
          <w:ilvl w:val="255"/>
          <w:numId w:val="0"/>
        </w:num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（三）联席会议审议。进入专家推荐名单的申报单位，由市级两业融合发展联席会议进行审议，确定拟认定试点示范单位名单。</w:t>
      </w:r>
    </w:p>
    <w:p>
      <w:pPr>
        <w:numPr>
          <w:ilvl w:val="255"/>
          <w:numId w:val="0"/>
        </w:num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（四）公示和确认。对拟认定试点示范单位名单在市发展改革委网站进行为期5个工作日的公示。公示期满无异议的单位确定为正式试点示范单位并公开发布。</w:t>
      </w:r>
    </w:p>
    <w:p>
      <w:pPr>
        <w:pStyle w:val="4"/>
        <w:spacing w:line="560" w:lineRule="exact"/>
        <w:ind w:firstLine="0" w:firstLineChars="0"/>
        <w:jc w:val="center"/>
        <w:rPr>
          <w:rFonts w:ascii="Times New Roman" w:hAnsi="Times New Roman"/>
          <w:b w:val="0"/>
          <w:bCs w:val="0"/>
          <w:lang w:bidi="ar"/>
        </w:rPr>
      </w:pPr>
      <w:r>
        <w:rPr>
          <w:rFonts w:hint="eastAsia" w:ascii="Times New Roman" w:hAnsi="Times New Roman"/>
          <w:b w:val="0"/>
          <w:bCs w:val="0"/>
          <w:lang w:bidi="ar"/>
        </w:rPr>
        <w:t>第四章  支持政策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第九条 在示范园区内的地块，以招拍挂方式取得工业或物流仓储用地建成并运营，且出让条件中容积率低于现有主导功能区基准开发强度，试点通过“弹性年期+弹性规模”方式实现建筑规模增容，在用地范围内新建、扩建生产性用房，提升产业承载空间，用以实现产业更新升级。对于新增的建筑面积，参照现行规划审批和土地出让流程，由各区政府统筹安排建筑规模增容，并与用地主体约定土地使用权分摊出让条件，明确出让到期后，根据增容空间使用效益和产出情况，由所在区政府与用地主体商议续期或拆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第十条 在示范园区内，围绕北京市两业融合八个重点领域开展专业化“一站式”产业服务平台、共性技术服务平台等产业共性服务设施建设的项目，以及开展数字基础设施提升的项目，按照经认定的固定资产投资总额30%的比例给予支持。符合其他相关市级园区支持政策的项目，可按相关政策予以支持，不重复支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第十一条 在示范园区内，对于低效楼宇、老旧厂房及园区内配套基础设施改造项目给予支持。其中，对低效楼宇改造项目按照固定资产投资总额10%的比例给予支持，对老旧厂房改造和产业园区内配套基础设施改造项目按照经认定的固定资产投资总额30%的比例给予支持，最高不超过5000万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第十二条 在示范园区内实施城市更新过程中探索实施建筑用途转换、土地用途兼容，住房城乡建设、市场监管、税务、卫生健康、生态环境、文化旅游、公安、消防等部门应当按照工作职责为建筑用途转换和土地用途兼容使用提供政策和技术支撑，办理建设、使用、运营等相关手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第十三条 试点企业经综合评价后可纳入重点支持范围，引进符合条件的毕业生实行计划单列。</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第十四条 试点企业可纳入北交所上市重点企业储备库，为企业提供上市管家式服务。加强专项信贷支持，鼓励银行等金融机构面向市级两业融合试点示范开发专项金融产品。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五条对于试点企业在津冀落地的产业链延伸项目，与津冀共同支持项目建设。对于产业链龙头企业在京津冀范围内首次采购供应链配套企业产品的，可通过北京市高精尖产业发展资金给予产业强链补链协同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第十六条 优先推荐示范园区和试点企业申报国家级两业融合试点。对两业融合发展成效显著、经验模式典型、带动作用明显的试点示范优秀案例以多种形式宣传推广。</w:t>
      </w:r>
    </w:p>
    <w:p>
      <w:pPr>
        <w:pStyle w:val="4"/>
        <w:spacing w:line="560" w:lineRule="exact"/>
        <w:ind w:firstLine="0" w:firstLineChars="0"/>
        <w:jc w:val="center"/>
        <w:rPr>
          <w:rFonts w:ascii="Times New Roman" w:hAnsi="Times New Roman"/>
          <w:b w:val="0"/>
          <w:bCs w:val="0"/>
          <w:lang w:bidi="ar"/>
        </w:rPr>
      </w:pPr>
      <w:r>
        <w:rPr>
          <w:rFonts w:hint="eastAsia" w:ascii="Times New Roman" w:hAnsi="Times New Roman"/>
          <w:b w:val="0"/>
          <w:bCs w:val="0"/>
          <w:lang w:bidi="ar"/>
        </w:rPr>
        <w:t>第五章  管理及监督</w:t>
      </w:r>
    </w:p>
    <w:p>
      <w:pPr>
        <w:spacing w:line="560" w:lineRule="exact"/>
        <w:ind w:firstLine="640" w:firstLineChars="200"/>
        <w:rPr>
          <w:rFonts w:hint="eastAsia" w:ascii="仿宋_GB2312" w:eastAsia="仿宋_GB2312"/>
          <w:sz w:val="32"/>
          <w:szCs w:val="32"/>
        </w:rPr>
      </w:pPr>
      <w:r>
        <w:rPr>
          <w:rFonts w:hint="default" w:ascii="仿宋_GB2312" w:eastAsia="仿宋_GB2312"/>
          <w:sz w:val="32"/>
          <w:szCs w:val="32"/>
        </w:rPr>
        <w:t>第十七条 统计监测。开展两业融合试点示范统计监测和年度评价工作，适时组织第三方机构开展试点示范建设综合评价。各试点示范单位应按要求开展年度自评，做好统计信息报送等工作，未按要求参加统计监测和年度评价的，视同为评价结果不合格。</w:t>
      </w:r>
    </w:p>
    <w:p>
      <w:p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第十八条 动态管理。依据年度监测评价结果对试点示范单位实施动态管理，对综合评价结果优秀的予以表彰，对连续两年评价结果不合格且不能按时完成整改要求的撤销已授予的两业融合试点示范称号，并追回已支持的市政府固定资产投资补助资金。</w:t>
      </w:r>
    </w:p>
    <w:p>
      <w:p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第十九条 诚信监督。有下列情况之一的，撤销已授予的两业融合试点示范称号并予以公开发布：</w:t>
      </w:r>
    </w:p>
    <w:p>
      <w:p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（一）在申请认定和年度评价中提供虚假材料或数据；</w:t>
      </w:r>
    </w:p>
    <w:p>
      <w:p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（二）单位或法定代表人违反有关法律法规，受到刑事处罚；</w:t>
      </w:r>
    </w:p>
    <w:p>
      <w:p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（三）单位或法定代表人存在司法、行政机关认定的失信行为；</w:t>
      </w:r>
    </w:p>
    <w:p>
      <w:pPr>
        <w:spacing w:line="560" w:lineRule="exact"/>
        <w:ind w:firstLine="640" w:firstLineChars="200"/>
        <w:rPr>
          <w:rFonts w:hint="default" w:ascii="仿宋_GB2312" w:eastAsia="仿宋_GB2312"/>
          <w:sz w:val="32"/>
          <w:szCs w:val="32"/>
        </w:rPr>
      </w:pPr>
      <w:r>
        <w:rPr>
          <w:rFonts w:hint="default" w:ascii="仿宋_GB2312" w:eastAsia="仿宋_GB2312"/>
          <w:sz w:val="32"/>
          <w:szCs w:val="32"/>
        </w:rPr>
        <w:t>（四）未能落实安全生产责任，出现重大生产安全事故的。</w:t>
      </w:r>
    </w:p>
    <w:p>
      <w:pPr>
        <w:pStyle w:val="4"/>
        <w:spacing w:line="560" w:lineRule="exact"/>
        <w:ind w:firstLine="0" w:firstLineChars="0"/>
        <w:jc w:val="center"/>
        <w:rPr>
          <w:rFonts w:ascii="Times New Roman" w:hAnsi="Times New Roman" w:eastAsia="仿宋"/>
          <w:b w:val="0"/>
          <w:bCs w:val="0"/>
          <w:szCs w:val="32"/>
        </w:rPr>
      </w:pPr>
      <w:r>
        <w:rPr>
          <w:rFonts w:hint="eastAsia" w:ascii="Times New Roman" w:hAnsi="Times New Roman"/>
          <w:b w:val="0"/>
          <w:bCs w:val="0"/>
          <w:lang w:bidi="ar"/>
        </w:rPr>
        <w:t xml:space="preserve">第六章 </w:t>
      </w:r>
      <w:r>
        <w:rPr>
          <w:rFonts w:ascii="Times New Roman" w:hAnsi="Times New Roman"/>
          <w:b w:val="0"/>
          <w:bCs w:val="0"/>
          <w:lang w:bidi="ar"/>
        </w:rPr>
        <w:t xml:space="preserve"> </w:t>
      </w:r>
      <w:r>
        <w:rPr>
          <w:rFonts w:hint="eastAsia" w:ascii="Times New Roman" w:hAnsi="Times New Roman"/>
          <w:b w:val="0"/>
          <w:bCs w:val="0"/>
          <w:lang w:bidi="ar"/>
        </w:rPr>
        <w:t>附则</w:t>
      </w:r>
    </w:p>
    <w:p>
      <w:pPr>
        <w:spacing w:line="56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第二十条 本办法自印发之日起实施，试行期2年，由市发展改革委负责解释。</w:t>
      </w:r>
    </w:p>
    <w:p>
      <w:pPr>
        <w:spacing w:line="560" w:lineRule="exact"/>
        <w:rPr>
          <w:rFonts w:ascii="Times New Roman" w:hAnsi="Times New Roman"/>
          <w:lang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C1FB45-4ED3-4D79-94E8-60A14C4270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5C0BCCB4-A0AF-4DE1-B35F-8F17F71867B3}"/>
  </w:font>
  <w:font w:name="方正小标宋简体">
    <w:altName w:val="方正舒体"/>
    <w:panose1 w:val="02000000000000000000"/>
    <w:charset w:val="86"/>
    <w:family w:val="script"/>
    <w:pitch w:val="default"/>
    <w:sig w:usb0="00000000" w:usb1="00000000" w:usb2="00000012" w:usb3="00000000" w:csb0="00040001" w:csb1="00000000"/>
    <w:embedRegular r:id="rId3" w:fontKey="{4A214BA8-83C2-426F-8054-54E5A653F559}"/>
  </w:font>
  <w:font w:name="仿宋">
    <w:panose1 w:val="02010609060101010101"/>
    <w:charset w:val="86"/>
    <w:family w:val="modern"/>
    <w:pitch w:val="default"/>
    <w:sig w:usb0="800002BF" w:usb1="38CF7CFA" w:usb2="00000016" w:usb3="00000000" w:csb0="00040001" w:csb1="00000000"/>
    <w:embedRegular r:id="rId4" w:fontKey="{E7A5AF73-68F7-40C2-9DE4-D0DBF0BD2A3C}"/>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4NDg3ZDBmYWI3MjFkYmViOGZhNDM0NGU3NTUxYmIifQ=="/>
  </w:docVars>
  <w:rsids>
    <w:rsidRoot w:val="00250B42"/>
    <w:rsid w:val="00000546"/>
    <w:rsid w:val="00001D5A"/>
    <w:rsid w:val="00002A3D"/>
    <w:rsid w:val="00003FD3"/>
    <w:rsid w:val="000143D1"/>
    <w:rsid w:val="0002243D"/>
    <w:rsid w:val="00034FD7"/>
    <w:rsid w:val="00043FD1"/>
    <w:rsid w:val="00060B12"/>
    <w:rsid w:val="0008196E"/>
    <w:rsid w:val="000819B8"/>
    <w:rsid w:val="00081A75"/>
    <w:rsid w:val="00082A70"/>
    <w:rsid w:val="000B16ED"/>
    <w:rsid w:val="000B3E9A"/>
    <w:rsid w:val="000B5D0D"/>
    <w:rsid w:val="000C24F4"/>
    <w:rsid w:val="000C7DEF"/>
    <w:rsid w:val="00106A96"/>
    <w:rsid w:val="00113C4E"/>
    <w:rsid w:val="00115513"/>
    <w:rsid w:val="00116AFE"/>
    <w:rsid w:val="0011755B"/>
    <w:rsid w:val="00130398"/>
    <w:rsid w:val="00141FC0"/>
    <w:rsid w:val="00156D68"/>
    <w:rsid w:val="00165EB6"/>
    <w:rsid w:val="00181D52"/>
    <w:rsid w:val="00181FF6"/>
    <w:rsid w:val="0018373A"/>
    <w:rsid w:val="00193AC2"/>
    <w:rsid w:val="00195379"/>
    <w:rsid w:val="0019615E"/>
    <w:rsid w:val="00197207"/>
    <w:rsid w:val="001A192E"/>
    <w:rsid w:val="001A6697"/>
    <w:rsid w:val="001C236C"/>
    <w:rsid w:val="001C5F41"/>
    <w:rsid w:val="001D22C5"/>
    <w:rsid w:val="001E2372"/>
    <w:rsid w:val="00207710"/>
    <w:rsid w:val="00212D7A"/>
    <w:rsid w:val="00212D96"/>
    <w:rsid w:val="002150AE"/>
    <w:rsid w:val="00215A1F"/>
    <w:rsid w:val="00225298"/>
    <w:rsid w:val="00235278"/>
    <w:rsid w:val="002364F8"/>
    <w:rsid w:val="00242401"/>
    <w:rsid w:val="00247FC9"/>
    <w:rsid w:val="00250B42"/>
    <w:rsid w:val="00261820"/>
    <w:rsid w:val="00264B58"/>
    <w:rsid w:val="0026608C"/>
    <w:rsid w:val="00281B5F"/>
    <w:rsid w:val="0028523E"/>
    <w:rsid w:val="00285885"/>
    <w:rsid w:val="002960FD"/>
    <w:rsid w:val="002B3F78"/>
    <w:rsid w:val="002F428A"/>
    <w:rsid w:val="002F769A"/>
    <w:rsid w:val="00301B53"/>
    <w:rsid w:val="0033207A"/>
    <w:rsid w:val="00364A5D"/>
    <w:rsid w:val="00366C6F"/>
    <w:rsid w:val="00370A2D"/>
    <w:rsid w:val="00386066"/>
    <w:rsid w:val="003878C1"/>
    <w:rsid w:val="003C1417"/>
    <w:rsid w:val="003D7E7A"/>
    <w:rsid w:val="003E4C4E"/>
    <w:rsid w:val="003E5E34"/>
    <w:rsid w:val="003F15A3"/>
    <w:rsid w:val="003F2BE2"/>
    <w:rsid w:val="003F7562"/>
    <w:rsid w:val="003F7687"/>
    <w:rsid w:val="003F7F87"/>
    <w:rsid w:val="00404C25"/>
    <w:rsid w:val="00414770"/>
    <w:rsid w:val="00424C4A"/>
    <w:rsid w:val="00426FDF"/>
    <w:rsid w:val="00435335"/>
    <w:rsid w:val="00435A1E"/>
    <w:rsid w:val="004364C2"/>
    <w:rsid w:val="00437CAD"/>
    <w:rsid w:val="00472D73"/>
    <w:rsid w:val="004742C8"/>
    <w:rsid w:val="00474FCF"/>
    <w:rsid w:val="0049684C"/>
    <w:rsid w:val="004A17D3"/>
    <w:rsid w:val="004B3AA8"/>
    <w:rsid w:val="004B624E"/>
    <w:rsid w:val="004D055E"/>
    <w:rsid w:val="004D3D29"/>
    <w:rsid w:val="004D4944"/>
    <w:rsid w:val="004D66EB"/>
    <w:rsid w:val="004F1366"/>
    <w:rsid w:val="004F4058"/>
    <w:rsid w:val="005045D7"/>
    <w:rsid w:val="00515A1C"/>
    <w:rsid w:val="00522A2D"/>
    <w:rsid w:val="00524524"/>
    <w:rsid w:val="00535D82"/>
    <w:rsid w:val="00557E9B"/>
    <w:rsid w:val="00560C8B"/>
    <w:rsid w:val="0057191E"/>
    <w:rsid w:val="00573B2E"/>
    <w:rsid w:val="00573F3E"/>
    <w:rsid w:val="0057636F"/>
    <w:rsid w:val="0058127E"/>
    <w:rsid w:val="005812DC"/>
    <w:rsid w:val="00582473"/>
    <w:rsid w:val="00587F8F"/>
    <w:rsid w:val="0059039C"/>
    <w:rsid w:val="0059217B"/>
    <w:rsid w:val="005A6EF0"/>
    <w:rsid w:val="005B2552"/>
    <w:rsid w:val="005D3354"/>
    <w:rsid w:val="005D3BD6"/>
    <w:rsid w:val="005E0979"/>
    <w:rsid w:val="005E0E92"/>
    <w:rsid w:val="005E45B2"/>
    <w:rsid w:val="00614837"/>
    <w:rsid w:val="006263C3"/>
    <w:rsid w:val="00650AEB"/>
    <w:rsid w:val="00652F9F"/>
    <w:rsid w:val="00662F68"/>
    <w:rsid w:val="006722D4"/>
    <w:rsid w:val="00672B00"/>
    <w:rsid w:val="0067639C"/>
    <w:rsid w:val="00677CC6"/>
    <w:rsid w:val="006814E9"/>
    <w:rsid w:val="00682ADE"/>
    <w:rsid w:val="00687E9F"/>
    <w:rsid w:val="00693FBF"/>
    <w:rsid w:val="006A4258"/>
    <w:rsid w:val="006A5952"/>
    <w:rsid w:val="006D5D6B"/>
    <w:rsid w:val="006D7D93"/>
    <w:rsid w:val="006E09D2"/>
    <w:rsid w:val="006E57CD"/>
    <w:rsid w:val="006F292E"/>
    <w:rsid w:val="006F4910"/>
    <w:rsid w:val="006F5278"/>
    <w:rsid w:val="00710856"/>
    <w:rsid w:val="00712C1C"/>
    <w:rsid w:val="00720FF2"/>
    <w:rsid w:val="00721B43"/>
    <w:rsid w:val="00722598"/>
    <w:rsid w:val="007534A9"/>
    <w:rsid w:val="007651AC"/>
    <w:rsid w:val="00767F99"/>
    <w:rsid w:val="00772406"/>
    <w:rsid w:val="00781E78"/>
    <w:rsid w:val="00782E11"/>
    <w:rsid w:val="00783EC5"/>
    <w:rsid w:val="007B5DB7"/>
    <w:rsid w:val="007C117C"/>
    <w:rsid w:val="007D2EB2"/>
    <w:rsid w:val="007E1BE1"/>
    <w:rsid w:val="007E4DAA"/>
    <w:rsid w:val="007F0BB9"/>
    <w:rsid w:val="007F0D7E"/>
    <w:rsid w:val="007F3943"/>
    <w:rsid w:val="00802FED"/>
    <w:rsid w:val="00816972"/>
    <w:rsid w:val="0083396A"/>
    <w:rsid w:val="0084279B"/>
    <w:rsid w:val="00850222"/>
    <w:rsid w:val="008571A1"/>
    <w:rsid w:val="0086266A"/>
    <w:rsid w:val="00870E8A"/>
    <w:rsid w:val="00872BBB"/>
    <w:rsid w:val="00880373"/>
    <w:rsid w:val="00880B6D"/>
    <w:rsid w:val="0088599E"/>
    <w:rsid w:val="008875F4"/>
    <w:rsid w:val="00890118"/>
    <w:rsid w:val="008A458B"/>
    <w:rsid w:val="008A6E69"/>
    <w:rsid w:val="008B2151"/>
    <w:rsid w:val="008B7193"/>
    <w:rsid w:val="008B74CB"/>
    <w:rsid w:val="008D0A93"/>
    <w:rsid w:val="008E430A"/>
    <w:rsid w:val="008E4595"/>
    <w:rsid w:val="008E51FB"/>
    <w:rsid w:val="008F565D"/>
    <w:rsid w:val="008F6ED1"/>
    <w:rsid w:val="008F77E0"/>
    <w:rsid w:val="009021AE"/>
    <w:rsid w:val="0091163A"/>
    <w:rsid w:val="009204ED"/>
    <w:rsid w:val="0092433D"/>
    <w:rsid w:val="0092508B"/>
    <w:rsid w:val="00925454"/>
    <w:rsid w:val="00927D48"/>
    <w:rsid w:val="0093256F"/>
    <w:rsid w:val="009358BC"/>
    <w:rsid w:val="00962C2F"/>
    <w:rsid w:val="00963A19"/>
    <w:rsid w:val="00965D9C"/>
    <w:rsid w:val="009757D1"/>
    <w:rsid w:val="00990008"/>
    <w:rsid w:val="0099317F"/>
    <w:rsid w:val="00994BE1"/>
    <w:rsid w:val="00996B17"/>
    <w:rsid w:val="009A58EE"/>
    <w:rsid w:val="009C380A"/>
    <w:rsid w:val="009C4CED"/>
    <w:rsid w:val="009D5807"/>
    <w:rsid w:val="009E0A99"/>
    <w:rsid w:val="009E4BF1"/>
    <w:rsid w:val="009E552A"/>
    <w:rsid w:val="009F2901"/>
    <w:rsid w:val="00A1004F"/>
    <w:rsid w:val="00A17A88"/>
    <w:rsid w:val="00A30063"/>
    <w:rsid w:val="00A424D4"/>
    <w:rsid w:val="00A93185"/>
    <w:rsid w:val="00A93586"/>
    <w:rsid w:val="00A96493"/>
    <w:rsid w:val="00AC283C"/>
    <w:rsid w:val="00AD7788"/>
    <w:rsid w:val="00AE05FC"/>
    <w:rsid w:val="00AF510A"/>
    <w:rsid w:val="00AF6DA8"/>
    <w:rsid w:val="00AF7F2F"/>
    <w:rsid w:val="00B06E82"/>
    <w:rsid w:val="00B122F3"/>
    <w:rsid w:val="00B13F82"/>
    <w:rsid w:val="00B264B4"/>
    <w:rsid w:val="00B46FAE"/>
    <w:rsid w:val="00B57CFC"/>
    <w:rsid w:val="00B7430F"/>
    <w:rsid w:val="00B80FEE"/>
    <w:rsid w:val="00B86B92"/>
    <w:rsid w:val="00B9020B"/>
    <w:rsid w:val="00B90C7A"/>
    <w:rsid w:val="00B958D8"/>
    <w:rsid w:val="00BA0E05"/>
    <w:rsid w:val="00BA444C"/>
    <w:rsid w:val="00BA45CE"/>
    <w:rsid w:val="00BB7302"/>
    <w:rsid w:val="00BC22A6"/>
    <w:rsid w:val="00BE15C6"/>
    <w:rsid w:val="00C0590D"/>
    <w:rsid w:val="00C100A6"/>
    <w:rsid w:val="00C132E4"/>
    <w:rsid w:val="00C35CF0"/>
    <w:rsid w:val="00C45A65"/>
    <w:rsid w:val="00C56262"/>
    <w:rsid w:val="00C60623"/>
    <w:rsid w:val="00C83FF0"/>
    <w:rsid w:val="00C927E5"/>
    <w:rsid w:val="00C94847"/>
    <w:rsid w:val="00CA3212"/>
    <w:rsid w:val="00CB5BE7"/>
    <w:rsid w:val="00CC14E9"/>
    <w:rsid w:val="00CC5A72"/>
    <w:rsid w:val="00CD6585"/>
    <w:rsid w:val="00CD7B07"/>
    <w:rsid w:val="00CE4FD6"/>
    <w:rsid w:val="00CF41CC"/>
    <w:rsid w:val="00D133EF"/>
    <w:rsid w:val="00D137F2"/>
    <w:rsid w:val="00D24ABB"/>
    <w:rsid w:val="00D36CBD"/>
    <w:rsid w:val="00D445EF"/>
    <w:rsid w:val="00D511D4"/>
    <w:rsid w:val="00D600B1"/>
    <w:rsid w:val="00D64C3E"/>
    <w:rsid w:val="00D85D7A"/>
    <w:rsid w:val="00D86799"/>
    <w:rsid w:val="00D9188D"/>
    <w:rsid w:val="00DC3CA0"/>
    <w:rsid w:val="00DD428E"/>
    <w:rsid w:val="00DE1082"/>
    <w:rsid w:val="00DF2805"/>
    <w:rsid w:val="00DF3F0E"/>
    <w:rsid w:val="00E018A1"/>
    <w:rsid w:val="00E20C51"/>
    <w:rsid w:val="00E421E1"/>
    <w:rsid w:val="00E46764"/>
    <w:rsid w:val="00E51BF8"/>
    <w:rsid w:val="00E52B7F"/>
    <w:rsid w:val="00E575BF"/>
    <w:rsid w:val="00E63DED"/>
    <w:rsid w:val="00E71ABB"/>
    <w:rsid w:val="00E84368"/>
    <w:rsid w:val="00E8645E"/>
    <w:rsid w:val="00E90170"/>
    <w:rsid w:val="00EA1F11"/>
    <w:rsid w:val="00EA4878"/>
    <w:rsid w:val="00EA66A0"/>
    <w:rsid w:val="00EA733B"/>
    <w:rsid w:val="00EC04A9"/>
    <w:rsid w:val="00F05FB4"/>
    <w:rsid w:val="00F22D80"/>
    <w:rsid w:val="00F26E75"/>
    <w:rsid w:val="00F37ADC"/>
    <w:rsid w:val="00F7529A"/>
    <w:rsid w:val="00F75AA0"/>
    <w:rsid w:val="00F93F0E"/>
    <w:rsid w:val="00F94334"/>
    <w:rsid w:val="00F9768F"/>
    <w:rsid w:val="00FA2F72"/>
    <w:rsid w:val="00FB2795"/>
    <w:rsid w:val="00FD09DB"/>
    <w:rsid w:val="00FD41D9"/>
    <w:rsid w:val="00FD47A4"/>
    <w:rsid w:val="00FD5828"/>
    <w:rsid w:val="00FD5B9C"/>
    <w:rsid w:val="00FE7874"/>
    <w:rsid w:val="00FF3A64"/>
    <w:rsid w:val="01253552"/>
    <w:rsid w:val="01431A4A"/>
    <w:rsid w:val="01AA7D1B"/>
    <w:rsid w:val="01C74429"/>
    <w:rsid w:val="0233386D"/>
    <w:rsid w:val="02856FA3"/>
    <w:rsid w:val="02867E41"/>
    <w:rsid w:val="02B7624C"/>
    <w:rsid w:val="03127926"/>
    <w:rsid w:val="037B196F"/>
    <w:rsid w:val="03BB7FBE"/>
    <w:rsid w:val="03EE0393"/>
    <w:rsid w:val="04114082"/>
    <w:rsid w:val="048C6A72"/>
    <w:rsid w:val="051F457C"/>
    <w:rsid w:val="057F6DC9"/>
    <w:rsid w:val="05D9472B"/>
    <w:rsid w:val="05E031A8"/>
    <w:rsid w:val="060043AE"/>
    <w:rsid w:val="060774EA"/>
    <w:rsid w:val="06882E35"/>
    <w:rsid w:val="06B01930"/>
    <w:rsid w:val="06C57C14"/>
    <w:rsid w:val="07035258"/>
    <w:rsid w:val="07035F04"/>
    <w:rsid w:val="07464A8A"/>
    <w:rsid w:val="07750484"/>
    <w:rsid w:val="07EC2E3C"/>
    <w:rsid w:val="0822685D"/>
    <w:rsid w:val="08EC1851"/>
    <w:rsid w:val="09063151"/>
    <w:rsid w:val="096B4234"/>
    <w:rsid w:val="099B257A"/>
    <w:rsid w:val="099F7A3A"/>
    <w:rsid w:val="09C120A6"/>
    <w:rsid w:val="09EA61B5"/>
    <w:rsid w:val="0A782765"/>
    <w:rsid w:val="0ADF08FA"/>
    <w:rsid w:val="0AF53DB5"/>
    <w:rsid w:val="0B6158EF"/>
    <w:rsid w:val="0B903360"/>
    <w:rsid w:val="0C210BDA"/>
    <w:rsid w:val="0C6844A6"/>
    <w:rsid w:val="0CB143B2"/>
    <w:rsid w:val="0D041A6C"/>
    <w:rsid w:val="0D0F5865"/>
    <w:rsid w:val="0D2210AE"/>
    <w:rsid w:val="0D48607B"/>
    <w:rsid w:val="0D4C1C87"/>
    <w:rsid w:val="0D68593C"/>
    <w:rsid w:val="0DE34399"/>
    <w:rsid w:val="0DF26CD2"/>
    <w:rsid w:val="0E100F06"/>
    <w:rsid w:val="0E4B0188"/>
    <w:rsid w:val="0EE52393"/>
    <w:rsid w:val="0F7554C5"/>
    <w:rsid w:val="0FF14430"/>
    <w:rsid w:val="100211A0"/>
    <w:rsid w:val="10135352"/>
    <w:rsid w:val="10196955"/>
    <w:rsid w:val="1030763E"/>
    <w:rsid w:val="10A65B52"/>
    <w:rsid w:val="11301FEB"/>
    <w:rsid w:val="1158509E"/>
    <w:rsid w:val="118916FB"/>
    <w:rsid w:val="11E21AEF"/>
    <w:rsid w:val="11E551D5"/>
    <w:rsid w:val="122F6015"/>
    <w:rsid w:val="125D0492"/>
    <w:rsid w:val="13283976"/>
    <w:rsid w:val="13557E72"/>
    <w:rsid w:val="1356560D"/>
    <w:rsid w:val="13AF07C8"/>
    <w:rsid w:val="13B7A034"/>
    <w:rsid w:val="13BC31E6"/>
    <w:rsid w:val="140A2901"/>
    <w:rsid w:val="146E4BD8"/>
    <w:rsid w:val="147C5547"/>
    <w:rsid w:val="14C33176"/>
    <w:rsid w:val="15A44D56"/>
    <w:rsid w:val="15B91E83"/>
    <w:rsid w:val="15D1541F"/>
    <w:rsid w:val="15D850E2"/>
    <w:rsid w:val="15FC6940"/>
    <w:rsid w:val="161D0664"/>
    <w:rsid w:val="164417F2"/>
    <w:rsid w:val="16465E0D"/>
    <w:rsid w:val="16BD3CCB"/>
    <w:rsid w:val="16E01F94"/>
    <w:rsid w:val="17602EFE"/>
    <w:rsid w:val="17810464"/>
    <w:rsid w:val="17C84600"/>
    <w:rsid w:val="188A3857"/>
    <w:rsid w:val="18B16FBC"/>
    <w:rsid w:val="18D25736"/>
    <w:rsid w:val="18E37943"/>
    <w:rsid w:val="19124D06"/>
    <w:rsid w:val="199C739E"/>
    <w:rsid w:val="1A6C5716"/>
    <w:rsid w:val="1ADF05DE"/>
    <w:rsid w:val="1AF5570C"/>
    <w:rsid w:val="1B130EE3"/>
    <w:rsid w:val="1B282C11"/>
    <w:rsid w:val="1BAB05C5"/>
    <w:rsid w:val="1BFF7F95"/>
    <w:rsid w:val="1C233F1C"/>
    <w:rsid w:val="1CC56762"/>
    <w:rsid w:val="1CE220B6"/>
    <w:rsid w:val="1D0D4145"/>
    <w:rsid w:val="1D13456F"/>
    <w:rsid w:val="1D577DA1"/>
    <w:rsid w:val="1D840FC9"/>
    <w:rsid w:val="1DC928BA"/>
    <w:rsid w:val="1DFFFFC6"/>
    <w:rsid w:val="1E081BFA"/>
    <w:rsid w:val="1E1C064C"/>
    <w:rsid w:val="1E310314"/>
    <w:rsid w:val="1E8667B5"/>
    <w:rsid w:val="1EA54763"/>
    <w:rsid w:val="1F3F164B"/>
    <w:rsid w:val="1F7C464D"/>
    <w:rsid w:val="1FAD0CAB"/>
    <w:rsid w:val="1FB21E1D"/>
    <w:rsid w:val="1FB37DC9"/>
    <w:rsid w:val="1FE94EC9"/>
    <w:rsid w:val="1FEA5A5B"/>
    <w:rsid w:val="20304F18"/>
    <w:rsid w:val="20390685"/>
    <w:rsid w:val="206F337B"/>
    <w:rsid w:val="208C5A94"/>
    <w:rsid w:val="20A420AE"/>
    <w:rsid w:val="20FC7DC1"/>
    <w:rsid w:val="20FE3FC6"/>
    <w:rsid w:val="21674E89"/>
    <w:rsid w:val="21C61BB0"/>
    <w:rsid w:val="220A23E4"/>
    <w:rsid w:val="22146DBF"/>
    <w:rsid w:val="225C42C2"/>
    <w:rsid w:val="22D56A6A"/>
    <w:rsid w:val="22F12428"/>
    <w:rsid w:val="246A716A"/>
    <w:rsid w:val="24772AC3"/>
    <w:rsid w:val="24975894"/>
    <w:rsid w:val="249D49FB"/>
    <w:rsid w:val="24A02B8C"/>
    <w:rsid w:val="24D740D4"/>
    <w:rsid w:val="25184E18"/>
    <w:rsid w:val="252512E3"/>
    <w:rsid w:val="25461985"/>
    <w:rsid w:val="254A2AF8"/>
    <w:rsid w:val="254C2D14"/>
    <w:rsid w:val="25A93CC2"/>
    <w:rsid w:val="25BC1C48"/>
    <w:rsid w:val="25D938B7"/>
    <w:rsid w:val="25E72D31"/>
    <w:rsid w:val="25EF3801"/>
    <w:rsid w:val="266B55A1"/>
    <w:rsid w:val="26A86D33"/>
    <w:rsid w:val="26AB6FBE"/>
    <w:rsid w:val="26B02E2F"/>
    <w:rsid w:val="26E1642A"/>
    <w:rsid w:val="26F76426"/>
    <w:rsid w:val="274A3283"/>
    <w:rsid w:val="27653C19"/>
    <w:rsid w:val="277F2360"/>
    <w:rsid w:val="27895B59"/>
    <w:rsid w:val="282C42AE"/>
    <w:rsid w:val="28537F15"/>
    <w:rsid w:val="28B05368"/>
    <w:rsid w:val="28C80903"/>
    <w:rsid w:val="29AA0009"/>
    <w:rsid w:val="2B3D50DE"/>
    <w:rsid w:val="2B4324C3"/>
    <w:rsid w:val="2B571D62"/>
    <w:rsid w:val="2B5FDA46"/>
    <w:rsid w:val="2BDEB6D5"/>
    <w:rsid w:val="2C526E62"/>
    <w:rsid w:val="2C531232"/>
    <w:rsid w:val="2C7C4B86"/>
    <w:rsid w:val="2C877DC8"/>
    <w:rsid w:val="2C905FE8"/>
    <w:rsid w:val="2D837574"/>
    <w:rsid w:val="2D856DC3"/>
    <w:rsid w:val="2DAB637B"/>
    <w:rsid w:val="2DFDED41"/>
    <w:rsid w:val="2E146714"/>
    <w:rsid w:val="2E60513A"/>
    <w:rsid w:val="2E6C3ADF"/>
    <w:rsid w:val="2E870919"/>
    <w:rsid w:val="2E921798"/>
    <w:rsid w:val="2EEB8722"/>
    <w:rsid w:val="2EEC7C5F"/>
    <w:rsid w:val="2F0957D2"/>
    <w:rsid w:val="2F234AE5"/>
    <w:rsid w:val="2F4B49E0"/>
    <w:rsid w:val="2F8F217B"/>
    <w:rsid w:val="2F96053F"/>
    <w:rsid w:val="30332B06"/>
    <w:rsid w:val="30590093"/>
    <w:rsid w:val="305D5DD5"/>
    <w:rsid w:val="30901D07"/>
    <w:rsid w:val="30CE0A81"/>
    <w:rsid w:val="31140B20"/>
    <w:rsid w:val="311C17EC"/>
    <w:rsid w:val="314115B0"/>
    <w:rsid w:val="316E7B6E"/>
    <w:rsid w:val="318B0720"/>
    <w:rsid w:val="31BF4B5D"/>
    <w:rsid w:val="31E63BA8"/>
    <w:rsid w:val="32002EBC"/>
    <w:rsid w:val="32033526"/>
    <w:rsid w:val="32110C25"/>
    <w:rsid w:val="3227669B"/>
    <w:rsid w:val="32711A6D"/>
    <w:rsid w:val="32AF26F3"/>
    <w:rsid w:val="32DF0D23"/>
    <w:rsid w:val="32E85031"/>
    <w:rsid w:val="32F10A57"/>
    <w:rsid w:val="331F0D18"/>
    <w:rsid w:val="33437504"/>
    <w:rsid w:val="335C2374"/>
    <w:rsid w:val="33E60D25"/>
    <w:rsid w:val="33FA9539"/>
    <w:rsid w:val="34D8454A"/>
    <w:rsid w:val="34F56B1A"/>
    <w:rsid w:val="354B3516"/>
    <w:rsid w:val="355F6BCF"/>
    <w:rsid w:val="357C91C6"/>
    <w:rsid w:val="359270B5"/>
    <w:rsid w:val="359901B1"/>
    <w:rsid w:val="35A76D5A"/>
    <w:rsid w:val="362D624A"/>
    <w:rsid w:val="36831EF4"/>
    <w:rsid w:val="36ED3321"/>
    <w:rsid w:val="373BC93D"/>
    <w:rsid w:val="37B66E42"/>
    <w:rsid w:val="37E40B8A"/>
    <w:rsid w:val="3872263A"/>
    <w:rsid w:val="38983E4E"/>
    <w:rsid w:val="38AC5B4C"/>
    <w:rsid w:val="39A86313"/>
    <w:rsid w:val="3A0468BC"/>
    <w:rsid w:val="3A30545C"/>
    <w:rsid w:val="3A3D3292"/>
    <w:rsid w:val="3A4844BE"/>
    <w:rsid w:val="3A960861"/>
    <w:rsid w:val="3A9E14C4"/>
    <w:rsid w:val="3AAF36D1"/>
    <w:rsid w:val="3AAF60CB"/>
    <w:rsid w:val="3AD62A0C"/>
    <w:rsid w:val="3B787F67"/>
    <w:rsid w:val="3B914B85"/>
    <w:rsid w:val="3BBF4946"/>
    <w:rsid w:val="3D9B7083"/>
    <w:rsid w:val="3DAC5CA6"/>
    <w:rsid w:val="3DBE3CBE"/>
    <w:rsid w:val="3DFF8129"/>
    <w:rsid w:val="3E194CE3"/>
    <w:rsid w:val="3E265A58"/>
    <w:rsid w:val="3E3C527C"/>
    <w:rsid w:val="3EB22EA0"/>
    <w:rsid w:val="3EBE6ECF"/>
    <w:rsid w:val="3ED5BDDE"/>
    <w:rsid w:val="3EFF4189"/>
    <w:rsid w:val="3F0A537A"/>
    <w:rsid w:val="3F2226B1"/>
    <w:rsid w:val="3F431BC8"/>
    <w:rsid w:val="3F7A2500"/>
    <w:rsid w:val="3F7F497C"/>
    <w:rsid w:val="3F9F9F6C"/>
    <w:rsid w:val="3FA8C41D"/>
    <w:rsid w:val="3FB62E0C"/>
    <w:rsid w:val="3FEFA08A"/>
    <w:rsid w:val="407F661D"/>
    <w:rsid w:val="40F956A6"/>
    <w:rsid w:val="410A340F"/>
    <w:rsid w:val="411029F0"/>
    <w:rsid w:val="414C7ECC"/>
    <w:rsid w:val="419E7FFC"/>
    <w:rsid w:val="4292190E"/>
    <w:rsid w:val="42C52901"/>
    <w:rsid w:val="437B6009"/>
    <w:rsid w:val="43A50EC1"/>
    <w:rsid w:val="43C26194"/>
    <w:rsid w:val="43D862A1"/>
    <w:rsid w:val="43F04FB5"/>
    <w:rsid w:val="44044A8E"/>
    <w:rsid w:val="442742D8"/>
    <w:rsid w:val="44476729"/>
    <w:rsid w:val="44C1137C"/>
    <w:rsid w:val="455812A2"/>
    <w:rsid w:val="456F4713"/>
    <w:rsid w:val="4585575A"/>
    <w:rsid w:val="45C2286D"/>
    <w:rsid w:val="45EE7FD2"/>
    <w:rsid w:val="46717A8D"/>
    <w:rsid w:val="468365B4"/>
    <w:rsid w:val="46BD2CD2"/>
    <w:rsid w:val="473C62ED"/>
    <w:rsid w:val="47841A42"/>
    <w:rsid w:val="48194880"/>
    <w:rsid w:val="488C2198"/>
    <w:rsid w:val="48F0738F"/>
    <w:rsid w:val="49E62540"/>
    <w:rsid w:val="4A6C0C97"/>
    <w:rsid w:val="4ABB1C1E"/>
    <w:rsid w:val="4B1D01E3"/>
    <w:rsid w:val="4B1F21AD"/>
    <w:rsid w:val="4B481704"/>
    <w:rsid w:val="4B6F393D"/>
    <w:rsid w:val="4B7768C4"/>
    <w:rsid w:val="4C196BFC"/>
    <w:rsid w:val="4C4D7B5A"/>
    <w:rsid w:val="4C891FD4"/>
    <w:rsid w:val="4D2910C1"/>
    <w:rsid w:val="4DF70352"/>
    <w:rsid w:val="4E5B174E"/>
    <w:rsid w:val="4E6F0D56"/>
    <w:rsid w:val="4EFDC6AE"/>
    <w:rsid w:val="4FBFDBDF"/>
    <w:rsid w:val="4FE13ED5"/>
    <w:rsid w:val="4FE87012"/>
    <w:rsid w:val="4FF07700"/>
    <w:rsid w:val="500D6A78"/>
    <w:rsid w:val="50EA0B67"/>
    <w:rsid w:val="50EA500B"/>
    <w:rsid w:val="517C47AD"/>
    <w:rsid w:val="518D2206"/>
    <w:rsid w:val="51AB74CC"/>
    <w:rsid w:val="52B21B59"/>
    <w:rsid w:val="530D54A1"/>
    <w:rsid w:val="534704F3"/>
    <w:rsid w:val="534E1882"/>
    <w:rsid w:val="53D6DA98"/>
    <w:rsid w:val="544669FD"/>
    <w:rsid w:val="54AE2EBB"/>
    <w:rsid w:val="54B1183C"/>
    <w:rsid w:val="54CF69F2"/>
    <w:rsid w:val="55002762"/>
    <w:rsid w:val="55943798"/>
    <w:rsid w:val="55961D9C"/>
    <w:rsid w:val="56B569A0"/>
    <w:rsid w:val="56C71C7D"/>
    <w:rsid w:val="56E10C5F"/>
    <w:rsid w:val="5706625C"/>
    <w:rsid w:val="574765CB"/>
    <w:rsid w:val="57AA72A2"/>
    <w:rsid w:val="57C42203"/>
    <w:rsid w:val="57D80FAA"/>
    <w:rsid w:val="57F2C6F2"/>
    <w:rsid w:val="57FF139C"/>
    <w:rsid w:val="5805272B"/>
    <w:rsid w:val="58080CBE"/>
    <w:rsid w:val="584434F0"/>
    <w:rsid w:val="58D425E1"/>
    <w:rsid w:val="58E61F34"/>
    <w:rsid w:val="59414B27"/>
    <w:rsid w:val="59417793"/>
    <w:rsid w:val="59652F87"/>
    <w:rsid w:val="596A0A97"/>
    <w:rsid w:val="59B2243E"/>
    <w:rsid w:val="59BBF5D5"/>
    <w:rsid w:val="59E20F76"/>
    <w:rsid w:val="5A0A4028"/>
    <w:rsid w:val="5A4D1D50"/>
    <w:rsid w:val="5ABD36FE"/>
    <w:rsid w:val="5B101B12"/>
    <w:rsid w:val="5B503CBD"/>
    <w:rsid w:val="5B6854AA"/>
    <w:rsid w:val="5B9A056E"/>
    <w:rsid w:val="5BA372F5"/>
    <w:rsid w:val="5BB26726"/>
    <w:rsid w:val="5BE9A9E0"/>
    <w:rsid w:val="5C563555"/>
    <w:rsid w:val="5C5E1839"/>
    <w:rsid w:val="5C86208C"/>
    <w:rsid w:val="5C955DF5"/>
    <w:rsid w:val="5CA332A3"/>
    <w:rsid w:val="5CB00EB7"/>
    <w:rsid w:val="5CCA30ED"/>
    <w:rsid w:val="5D201945"/>
    <w:rsid w:val="5D573851"/>
    <w:rsid w:val="5D6B2432"/>
    <w:rsid w:val="5E361890"/>
    <w:rsid w:val="5E3E72B6"/>
    <w:rsid w:val="5E6D749F"/>
    <w:rsid w:val="5EAE58CA"/>
    <w:rsid w:val="5EB379E0"/>
    <w:rsid w:val="5EDC2437"/>
    <w:rsid w:val="5EDD8C72"/>
    <w:rsid w:val="5EF70E6F"/>
    <w:rsid w:val="5F1F40D2"/>
    <w:rsid w:val="5F6B1AF1"/>
    <w:rsid w:val="5F9F047F"/>
    <w:rsid w:val="5FDD3A3C"/>
    <w:rsid w:val="5FE175D9"/>
    <w:rsid w:val="5FEDC98B"/>
    <w:rsid w:val="5FEFF70B"/>
    <w:rsid w:val="5FF07C6F"/>
    <w:rsid w:val="601001FB"/>
    <w:rsid w:val="6010799F"/>
    <w:rsid w:val="6039094A"/>
    <w:rsid w:val="603D5158"/>
    <w:rsid w:val="60854409"/>
    <w:rsid w:val="60C74E36"/>
    <w:rsid w:val="60CD5FE5"/>
    <w:rsid w:val="60D23523"/>
    <w:rsid w:val="60DB227B"/>
    <w:rsid w:val="60FF3DB5"/>
    <w:rsid w:val="611B6B1B"/>
    <w:rsid w:val="612964B8"/>
    <w:rsid w:val="61ED81CC"/>
    <w:rsid w:val="627806C9"/>
    <w:rsid w:val="62986BCB"/>
    <w:rsid w:val="62B64D4D"/>
    <w:rsid w:val="62EC69C1"/>
    <w:rsid w:val="63071A4D"/>
    <w:rsid w:val="633F4D43"/>
    <w:rsid w:val="63B63B73"/>
    <w:rsid w:val="63B868A3"/>
    <w:rsid w:val="646D1D84"/>
    <w:rsid w:val="64904827"/>
    <w:rsid w:val="64A55079"/>
    <w:rsid w:val="64C27A7E"/>
    <w:rsid w:val="650C334B"/>
    <w:rsid w:val="65DD0843"/>
    <w:rsid w:val="65E17C65"/>
    <w:rsid w:val="66060EC6"/>
    <w:rsid w:val="661029C7"/>
    <w:rsid w:val="663761A5"/>
    <w:rsid w:val="66576847"/>
    <w:rsid w:val="668F17BE"/>
    <w:rsid w:val="66A9783B"/>
    <w:rsid w:val="675A65EF"/>
    <w:rsid w:val="677F64DC"/>
    <w:rsid w:val="67AF7FBD"/>
    <w:rsid w:val="67BF6821"/>
    <w:rsid w:val="67D24718"/>
    <w:rsid w:val="67DD7E91"/>
    <w:rsid w:val="68356714"/>
    <w:rsid w:val="68646FFA"/>
    <w:rsid w:val="690732CD"/>
    <w:rsid w:val="69CB5582"/>
    <w:rsid w:val="69EFDBD0"/>
    <w:rsid w:val="6A77EE94"/>
    <w:rsid w:val="6A794FDE"/>
    <w:rsid w:val="6B7A6607"/>
    <w:rsid w:val="6B9B0F84"/>
    <w:rsid w:val="6C474C68"/>
    <w:rsid w:val="6CF272CA"/>
    <w:rsid w:val="6CF748E0"/>
    <w:rsid w:val="6D1C4793"/>
    <w:rsid w:val="6D321474"/>
    <w:rsid w:val="6D6E03A8"/>
    <w:rsid w:val="6D8F68C7"/>
    <w:rsid w:val="6DA94EBA"/>
    <w:rsid w:val="6E917E3C"/>
    <w:rsid w:val="6EBEEF17"/>
    <w:rsid w:val="6EF74724"/>
    <w:rsid w:val="6F3F6D6C"/>
    <w:rsid w:val="6F3FFB6E"/>
    <w:rsid w:val="6F7C353A"/>
    <w:rsid w:val="6F7E3097"/>
    <w:rsid w:val="6FC73006"/>
    <w:rsid w:val="6FF04D03"/>
    <w:rsid w:val="6FFFE5EE"/>
    <w:rsid w:val="70370DC0"/>
    <w:rsid w:val="70AD00C7"/>
    <w:rsid w:val="70AD3C34"/>
    <w:rsid w:val="71146D66"/>
    <w:rsid w:val="71777D9E"/>
    <w:rsid w:val="71E01DE7"/>
    <w:rsid w:val="727E1F3E"/>
    <w:rsid w:val="72C38FE3"/>
    <w:rsid w:val="730C0BF1"/>
    <w:rsid w:val="7318735E"/>
    <w:rsid w:val="734F0FD2"/>
    <w:rsid w:val="73617AE3"/>
    <w:rsid w:val="73BEF72B"/>
    <w:rsid w:val="740C49B1"/>
    <w:rsid w:val="742825C8"/>
    <w:rsid w:val="74A97F8E"/>
    <w:rsid w:val="74C23A26"/>
    <w:rsid w:val="751F05D8"/>
    <w:rsid w:val="752C0E9F"/>
    <w:rsid w:val="7530273D"/>
    <w:rsid w:val="757900C2"/>
    <w:rsid w:val="75D05CCE"/>
    <w:rsid w:val="75E9473F"/>
    <w:rsid w:val="75F70817"/>
    <w:rsid w:val="763B3A90"/>
    <w:rsid w:val="766C7C47"/>
    <w:rsid w:val="766CC867"/>
    <w:rsid w:val="766D79C1"/>
    <w:rsid w:val="76735E93"/>
    <w:rsid w:val="77277B70"/>
    <w:rsid w:val="7730111A"/>
    <w:rsid w:val="773A0A2A"/>
    <w:rsid w:val="775F639F"/>
    <w:rsid w:val="77737259"/>
    <w:rsid w:val="779A0F51"/>
    <w:rsid w:val="77A13FE0"/>
    <w:rsid w:val="77A7C810"/>
    <w:rsid w:val="78547024"/>
    <w:rsid w:val="78F7F53C"/>
    <w:rsid w:val="795723C5"/>
    <w:rsid w:val="795A4C70"/>
    <w:rsid w:val="79717F1B"/>
    <w:rsid w:val="79C94E0C"/>
    <w:rsid w:val="79DF9AF1"/>
    <w:rsid w:val="7A9674E6"/>
    <w:rsid w:val="7AAB101F"/>
    <w:rsid w:val="7AE2F639"/>
    <w:rsid w:val="7B53447C"/>
    <w:rsid w:val="7B630665"/>
    <w:rsid w:val="7B71CFB0"/>
    <w:rsid w:val="7B7374FF"/>
    <w:rsid w:val="7BD55DED"/>
    <w:rsid w:val="7BF7B606"/>
    <w:rsid w:val="7C72188D"/>
    <w:rsid w:val="7CBE0F77"/>
    <w:rsid w:val="7CCF0A8E"/>
    <w:rsid w:val="7D0A66E9"/>
    <w:rsid w:val="7D162B61"/>
    <w:rsid w:val="7D53526D"/>
    <w:rsid w:val="7D7EA97D"/>
    <w:rsid w:val="7DAF796D"/>
    <w:rsid w:val="7DD5FF81"/>
    <w:rsid w:val="7DEA900F"/>
    <w:rsid w:val="7E434750"/>
    <w:rsid w:val="7EAB552B"/>
    <w:rsid w:val="7EB30821"/>
    <w:rsid w:val="7EB737AD"/>
    <w:rsid w:val="7EBD6C7D"/>
    <w:rsid w:val="7EF813E2"/>
    <w:rsid w:val="7F2D5F40"/>
    <w:rsid w:val="7F8648A1"/>
    <w:rsid w:val="7F8F6BFA"/>
    <w:rsid w:val="7FB0104A"/>
    <w:rsid w:val="7FC72ABE"/>
    <w:rsid w:val="7FE72592"/>
    <w:rsid w:val="7FEA42C0"/>
    <w:rsid w:val="7FEAC8D0"/>
    <w:rsid w:val="7FEB79D1"/>
    <w:rsid w:val="7FF16CA7"/>
    <w:rsid w:val="7FFD96A8"/>
    <w:rsid w:val="7FFFE24D"/>
    <w:rsid w:val="8FFF3E1A"/>
    <w:rsid w:val="99DF71B7"/>
    <w:rsid w:val="9EEB42F9"/>
    <w:rsid w:val="A6FF6566"/>
    <w:rsid w:val="A7BBF694"/>
    <w:rsid w:val="B6AFB0C8"/>
    <w:rsid w:val="B77CE7D9"/>
    <w:rsid w:val="B7DEB329"/>
    <w:rsid w:val="BA7B23C6"/>
    <w:rsid w:val="BDFEB64A"/>
    <w:rsid w:val="BDFFAFDA"/>
    <w:rsid w:val="BFA270FB"/>
    <w:rsid w:val="BFBF47B9"/>
    <w:rsid w:val="BFD9DFC2"/>
    <w:rsid w:val="BFDFEC77"/>
    <w:rsid w:val="BFE7BC2F"/>
    <w:rsid w:val="BFECBFA2"/>
    <w:rsid w:val="BFF713CB"/>
    <w:rsid w:val="BFFAA20E"/>
    <w:rsid w:val="BFFE3C70"/>
    <w:rsid w:val="CDFF5852"/>
    <w:rsid w:val="CFE38FAC"/>
    <w:rsid w:val="D0B51BEA"/>
    <w:rsid w:val="D4B5AFD1"/>
    <w:rsid w:val="D4DFF156"/>
    <w:rsid w:val="D97BC63F"/>
    <w:rsid w:val="DB7C778D"/>
    <w:rsid w:val="DBE0A6E7"/>
    <w:rsid w:val="DFB7F236"/>
    <w:rsid w:val="DFBDCE42"/>
    <w:rsid w:val="DFF6FB2A"/>
    <w:rsid w:val="E5D8A03B"/>
    <w:rsid w:val="E5DFDDC6"/>
    <w:rsid w:val="EDF5E64E"/>
    <w:rsid w:val="EDFB1469"/>
    <w:rsid w:val="EEFF9926"/>
    <w:rsid w:val="EFAB67C3"/>
    <w:rsid w:val="EFAFE286"/>
    <w:rsid w:val="EFFE108F"/>
    <w:rsid w:val="F11B7874"/>
    <w:rsid w:val="F1E575DA"/>
    <w:rsid w:val="F1FF8A3F"/>
    <w:rsid w:val="F3ED28B1"/>
    <w:rsid w:val="F4FBFCD2"/>
    <w:rsid w:val="F5FE74E4"/>
    <w:rsid w:val="F6B175C1"/>
    <w:rsid w:val="F6BE40CF"/>
    <w:rsid w:val="F6D6BAFB"/>
    <w:rsid w:val="F6F75732"/>
    <w:rsid w:val="F7BF093D"/>
    <w:rsid w:val="F7F7E67D"/>
    <w:rsid w:val="F7FDBC0C"/>
    <w:rsid w:val="F87FBE75"/>
    <w:rsid w:val="FBAED8B0"/>
    <w:rsid w:val="FBCE4A6E"/>
    <w:rsid w:val="FBF1FA16"/>
    <w:rsid w:val="FBF5F344"/>
    <w:rsid w:val="FBFF8316"/>
    <w:rsid w:val="FDEF1F66"/>
    <w:rsid w:val="FE3795CB"/>
    <w:rsid w:val="FE734873"/>
    <w:rsid w:val="FEBDB39E"/>
    <w:rsid w:val="FF3F91CA"/>
    <w:rsid w:val="FF58E7AD"/>
    <w:rsid w:val="FF7F7803"/>
    <w:rsid w:val="FF966DDC"/>
    <w:rsid w:val="FFBFE36A"/>
    <w:rsid w:val="FFBFEF56"/>
    <w:rsid w:val="FFC7C660"/>
    <w:rsid w:val="FFCD271D"/>
    <w:rsid w:val="FFCF96E0"/>
    <w:rsid w:val="FFDE8AA7"/>
    <w:rsid w:val="FFEDF67D"/>
    <w:rsid w:val="FFF932D3"/>
    <w:rsid w:val="FFFF4E30"/>
    <w:rsid w:val="FFFFA811"/>
    <w:rsid w:val="FFFFF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4"/>
    <w:qFormat/>
    <w:uiPriority w:val="9"/>
    <w:pPr>
      <w:keepNext/>
      <w:keepLines/>
      <w:spacing w:line="360" w:lineRule="auto"/>
      <w:ind w:firstLine="200" w:firstLineChars="200"/>
      <w:outlineLvl w:val="0"/>
    </w:pPr>
    <w:rPr>
      <w:rFonts w:eastAsia="黑体"/>
      <w:b/>
      <w:bCs/>
      <w:kern w:val="44"/>
      <w:sz w:val="32"/>
      <w:szCs w:val="44"/>
    </w:rPr>
  </w:style>
  <w:style w:type="paragraph" w:styleId="5">
    <w:name w:val="heading 2"/>
    <w:basedOn w:val="1"/>
    <w:next w:val="1"/>
    <w:link w:val="25"/>
    <w:unhideWhenUsed/>
    <w:qFormat/>
    <w:uiPriority w:val="9"/>
    <w:pPr>
      <w:keepNext/>
      <w:keepLines/>
      <w:spacing w:line="360" w:lineRule="auto"/>
      <w:ind w:firstLine="200" w:firstLineChars="200"/>
      <w:outlineLvl w:val="1"/>
    </w:pPr>
    <w:rPr>
      <w:rFonts w:eastAsia="楷体_GB2312" w:asciiTheme="majorHAnsi" w:hAnsiTheme="majorHAnsi" w:cstheme="majorBidi"/>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link w:val="34"/>
    <w:semiHidden/>
    <w:unhideWhenUsed/>
    <w:qFormat/>
    <w:uiPriority w:val="99"/>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Indent"/>
    <w:basedOn w:val="1"/>
    <w:qFormat/>
    <w:uiPriority w:val="0"/>
    <w:pPr>
      <w:ind w:firstLine="420"/>
    </w:pPr>
  </w:style>
  <w:style w:type="paragraph" w:styleId="7">
    <w:name w:val="annotation text"/>
    <w:basedOn w:val="1"/>
    <w:link w:val="27"/>
    <w:unhideWhenUsed/>
    <w:qFormat/>
    <w:uiPriority w:val="99"/>
    <w:pPr>
      <w:jc w:val="left"/>
    </w:pPr>
  </w:style>
  <w:style w:type="paragraph" w:styleId="8">
    <w:name w:val="Body Text Indent"/>
    <w:basedOn w:val="1"/>
    <w:qFormat/>
    <w:uiPriority w:val="0"/>
    <w:pPr>
      <w:spacing w:after="120"/>
      <w:ind w:left="420" w:leftChars="200"/>
    </w:pPr>
  </w:style>
  <w:style w:type="paragraph" w:styleId="9">
    <w:name w:val="Plain Text"/>
    <w:basedOn w:val="1"/>
    <w:link w:val="31"/>
    <w:qFormat/>
    <w:uiPriority w:val="0"/>
    <w:rPr>
      <w:rFonts w:hint="eastAsia" w:ascii="宋体" w:hAnsi="Courier New" w:eastAsia="宋体" w:cs="Courier New"/>
      <w:szCs w:val="21"/>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tabs>
        <w:tab w:val="center" w:pos="4153"/>
        <w:tab w:val="right" w:pos="8306"/>
      </w:tabs>
      <w:snapToGrid w:val="0"/>
      <w:jc w:val="center"/>
    </w:pPr>
    <w:rPr>
      <w:sz w:val="18"/>
      <w:szCs w:val="18"/>
    </w:rPr>
  </w:style>
  <w:style w:type="paragraph" w:styleId="12">
    <w:name w:val="footnote text"/>
    <w:basedOn w:val="1"/>
    <w:link w:val="29"/>
    <w:unhideWhenUsed/>
    <w:qFormat/>
    <w:uiPriority w:val="0"/>
    <w:pPr>
      <w:snapToGrid w:val="0"/>
      <w:jc w:val="left"/>
    </w:pPr>
    <w:rPr>
      <w:sz w:val="18"/>
      <w:szCs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annotation subject"/>
    <w:basedOn w:val="7"/>
    <w:next w:val="7"/>
    <w:link w:val="28"/>
    <w:unhideWhenUsed/>
    <w:qFormat/>
    <w:uiPriority w:val="99"/>
    <w:rPr>
      <w:b/>
      <w:bCs/>
    </w:rPr>
  </w:style>
  <w:style w:type="paragraph" w:styleId="15">
    <w:name w:val="Body Text First Indent 2"/>
    <w:basedOn w:val="8"/>
    <w:qFormat/>
    <w:uiPriority w:val="0"/>
    <w:pPr>
      <w:ind w:left="0" w:leftChars="0" w:firstLine="420" w:firstLineChars="200"/>
    </w:pPr>
    <w:rPr>
      <w:rFonts w:ascii="Times New Roman" w:hAnsi="Times New Roman"/>
    </w:rPr>
  </w:style>
  <w:style w:type="character" w:styleId="18">
    <w:name w:val="Emphasis"/>
    <w:basedOn w:val="17"/>
    <w:qFormat/>
    <w:uiPriority w:val="20"/>
    <w:rPr>
      <w:i/>
    </w:rPr>
  </w:style>
  <w:style w:type="character" w:styleId="19">
    <w:name w:val="annotation reference"/>
    <w:basedOn w:val="17"/>
    <w:unhideWhenUsed/>
    <w:qFormat/>
    <w:uiPriority w:val="99"/>
    <w:rPr>
      <w:sz w:val="21"/>
      <w:szCs w:val="21"/>
    </w:rPr>
  </w:style>
  <w:style w:type="character" w:styleId="20">
    <w:name w:val="footnote reference"/>
    <w:basedOn w:val="17"/>
    <w:unhideWhenUsed/>
    <w:qFormat/>
    <w:uiPriority w:val="0"/>
    <w:rPr>
      <w:vertAlign w:val="superscript"/>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paragraph" w:customStyle="1" w:styleId="23">
    <w:name w:val="列表段落1"/>
    <w:basedOn w:val="1"/>
    <w:qFormat/>
    <w:uiPriority w:val="0"/>
    <w:pPr>
      <w:ind w:firstLine="420" w:firstLineChars="200"/>
    </w:pPr>
  </w:style>
  <w:style w:type="character" w:customStyle="1" w:styleId="24">
    <w:name w:val="标题 1 字符"/>
    <w:basedOn w:val="17"/>
    <w:link w:val="4"/>
    <w:qFormat/>
    <w:uiPriority w:val="9"/>
    <w:rPr>
      <w:rFonts w:eastAsia="黑体"/>
      <w:b/>
      <w:bCs/>
      <w:kern w:val="44"/>
      <w:sz w:val="32"/>
      <w:szCs w:val="44"/>
    </w:rPr>
  </w:style>
  <w:style w:type="character" w:customStyle="1" w:styleId="25">
    <w:name w:val="标题 2 字符"/>
    <w:basedOn w:val="17"/>
    <w:link w:val="5"/>
    <w:qFormat/>
    <w:uiPriority w:val="9"/>
    <w:rPr>
      <w:rFonts w:eastAsia="楷体_GB2312" w:asciiTheme="majorHAnsi" w:hAnsiTheme="majorHAnsi" w:cstheme="majorBidi"/>
      <w:b/>
      <w:bCs/>
      <w:sz w:val="32"/>
      <w:szCs w:val="32"/>
    </w:rPr>
  </w:style>
  <w:style w:type="paragraph" w:customStyle="1" w:styleId="26">
    <w:name w:val="列表段落11"/>
    <w:basedOn w:val="1"/>
    <w:qFormat/>
    <w:uiPriority w:val="0"/>
    <w:pPr>
      <w:ind w:firstLine="420" w:firstLineChars="200"/>
    </w:pPr>
    <w:rPr>
      <w:rFonts w:ascii="Times New Roman" w:hAnsi="Times New Roman" w:eastAsia="仿宋_GB2312" w:cs="Times New Roman"/>
      <w:sz w:val="32"/>
      <w:szCs w:val="20"/>
    </w:rPr>
  </w:style>
  <w:style w:type="character" w:customStyle="1" w:styleId="27">
    <w:name w:val="批注文字 字符"/>
    <w:basedOn w:val="17"/>
    <w:link w:val="7"/>
    <w:qFormat/>
    <w:uiPriority w:val="99"/>
  </w:style>
  <w:style w:type="character" w:customStyle="1" w:styleId="28">
    <w:name w:val="批注主题 字符"/>
    <w:basedOn w:val="27"/>
    <w:link w:val="14"/>
    <w:semiHidden/>
    <w:qFormat/>
    <w:uiPriority w:val="99"/>
    <w:rPr>
      <w:b/>
      <w:bCs/>
    </w:rPr>
  </w:style>
  <w:style w:type="character" w:customStyle="1" w:styleId="29">
    <w:name w:val="脚注文本 字符"/>
    <w:basedOn w:val="17"/>
    <w:link w:val="12"/>
    <w:qFormat/>
    <w:uiPriority w:val="0"/>
    <w:rPr>
      <w:sz w:val="18"/>
      <w:szCs w:val="18"/>
    </w:rPr>
  </w:style>
  <w:style w:type="paragraph" w:customStyle="1" w:styleId="30">
    <w:name w:val="列表段落2"/>
    <w:basedOn w:val="1"/>
    <w:qFormat/>
    <w:uiPriority w:val="34"/>
    <w:pPr>
      <w:ind w:firstLine="420"/>
    </w:pPr>
    <w:rPr>
      <w:szCs w:val="24"/>
    </w:rPr>
  </w:style>
  <w:style w:type="character" w:customStyle="1" w:styleId="31">
    <w:name w:val="纯文本 字符"/>
    <w:basedOn w:val="17"/>
    <w:link w:val="9"/>
    <w:qFormat/>
    <w:uiPriority w:val="0"/>
    <w:rPr>
      <w:rFonts w:ascii="宋体" w:hAnsi="Courier New" w:cs="Courier New"/>
      <w:kern w:val="2"/>
      <w:sz w:val="21"/>
      <w:szCs w:val="21"/>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框文本 字符"/>
    <w:basedOn w:val="17"/>
    <w:link w:val="2"/>
    <w:semiHidden/>
    <w:qFormat/>
    <w:uiPriority w:val="99"/>
    <w:rPr>
      <w:rFonts w:asciiTheme="minorHAnsi" w:hAnsiTheme="minorHAnsi" w:eastAsiaTheme="minorEastAsia" w:cstheme="minorBidi"/>
      <w:kern w:val="2"/>
      <w:sz w:val="18"/>
      <w:szCs w:val="18"/>
    </w:rPr>
  </w:style>
  <w:style w:type="paragraph" w:customStyle="1" w:styleId="35">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476</Words>
  <Characters>2719</Characters>
  <Lines>22</Lines>
  <Paragraphs>6</Paragraphs>
  <TotalTime>6</TotalTime>
  <ScaleCrop>false</ScaleCrop>
  <LinksUpToDate>false</LinksUpToDate>
  <CharactersWithSpaces>3189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2023-06-21T20:44:00Z</dcterms:created>
  <dc:creator>雪姣</dc:creator>
  <cp:lastModifiedBy>★かか♥蕾</cp:lastModifiedBy>
  <cp:lastPrinted>2023-06-21T01:02:00Z</cp:lastPrinted>
  <dcterms:modified xsi:type="dcterms:W3CDTF">2023-07-14T08:44:56Z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ABC63D5CC4B74696ACCEF716EFBF33F8_13</vt:lpwstr>
  </property>
  <property fmtid="{D5CDD505-2E9C-101B-9397-08002B2CF9AE}" pid="3" name="KSOProductBuildVer">
    <vt:lpwstr>2052-11.8.2.9022</vt:lpwstr>
  </property>
</Properties>
</file>