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经开区202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伙伴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《北京经济技术开发区关于加快推进国际科技创新中心建设 打造高精尖产业主阵地的若干意见》（京技管〔2022〕8号）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经开区20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年度“创新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伙伴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“创新伙伴计划”主要支持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亦庄新城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新注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册或新迁入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的中介服务机构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注册、纳税、入统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均在亦庄新城范围内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，具备独立法人资格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年无重大违法违规记录，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包括但不限于技术转移服务机构、检验检测公共服务平台、知识产权服务平台、公共技术服务平台、中试基地、产业联盟、协会等服务机构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具备以下条件之一即可入选“创新伙伴计划”：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年度服务企业数量不少于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0家，组织各类活动不少于4次，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专业服务人员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本科以上学历及中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以上技术职称专业人员不少于8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.获得国家或北京市“中小企业公共服务示范平台”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、经开区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“科技企业孵化器”资质。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hAnsi="仿宋_GB2312" w:eastAsia="仿宋_GB2312"/>
          <w:bCs/>
          <w:sz w:val="32"/>
        </w:rPr>
      </w:pPr>
      <w:r>
        <w:rPr>
          <w:rFonts w:hint="eastAsia" w:hAnsi="仿宋_GB2312" w:eastAsia="仿宋_GB2312"/>
          <w:bCs/>
          <w:sz w:val="32"/>
          <w:lang w:eastAsia="zh-CN"/>
        </w:rPr>
        <w:t>3</w:t>
      </w:r>
      <w:r>
        <w:rPr>
          <w:rFonts w:hint="eastAsia" w:hAnsi="仿宋_GB2312" w:eastAsia="仿宋_GB2312"/>
          <w:bCs/>
          <w:sz w:val="32"/>
        </w:rPr>
        <w:t>.获得中关村国家自主创新示范区标杆型孵化器资质。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补贴时长最长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对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入选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企业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年度房租进行补贴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hAnsi="仿宋_GB2312" w:eastAsia="仿宋_GB2312" w:cs="仿宋_GB2312"/>
          <w:b w:val="0"/>
          <w:bCs/>
          <w:color w:val="000000"/>
          <w:kern w:val="0"/>
          <w:sz w:val="30"/>
          <w:szCs w:val="30"/>
          <w:lang w:eastAsia="zh-CN"/>
        </w:rPr>
        <w:t>入选企业通过年度考核后，在</w:t>
      </w:r>
      <w:r>
        <w:rPr>
          <w:rFonts w:hint="eastAsia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/>
        </w:rPr>
        <w:t>2024年、2025年相应</w:t>
      </w:r>
      <w:r>
        <w:rPr>
          <w:rFonts w:hint="eastAsia" w:hAnsi="仿宋_GB2312" w:eastAsia="仿宋_GB2312" w:cs="仿宋_GB2312"/>
          <w:b w:val="0"/>
          <w:bCs/>
          <w:color w:val="000000"/>
          <w:kern w:val="0"/>
          <w:sz w:val="30"/>
          <w:szCs w:val="30"/>
          <w:lang w:eastAsia="zh-CN"/>
        </w:rPr>
        <w:t>享受</w:t>
      </w:r>
      <w:r>
        <w:rPr>
          <w:rFonts w:hint="eastAsia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/>
        </w:rPr>
        <w:t>2023、2024年度的房租补贴。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对于房租高于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1.5元/平米/天的，给予1.5元/平米/天的补贴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，对于房租低于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1.5元/平米/天的，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按实际房租价格给予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补贴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最高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00平米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64" w:firstLineChars="200"/>
        <w:textAlignment w:val="auto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1.经开区202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伙伴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计划”专项申报表，在线填写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服务企业情况证明材料，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2022年度服务企业数量的情况说明，服务合同、企业客户服务系统截图等材料，原件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6.组织活动情况证明材料，2022年度组织活动的情况说明，活动签到表、通知、照片等材料，原件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7.团队学历职称情况证明材料，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本科以上学历职工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的学位证书、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"/>
        </w:rPr>
        <w:t>中高级职称职工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的职称证书、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2022年度企业社保权益记录，公司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汇总团队构成情况说明，原件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彩色扫描上传；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8.荣誉资质证明，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获得国家或北京市“中小企业公共服务示范平台”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、经开区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“科技企业孵化器”资质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中关村国家自主创新示范区标杆型孵化器资质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等，相关证书材料，原件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彩色扫描上传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9.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企业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租赁办公场所相关材料，2022年度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办公场所或生产场地房屋租赁协议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、2022年度房租发票、申请房租补贴计算说明等相应证明材料，原件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</w:rPr>
        <w:t>彩色扫描上传</w:t>
      </w:r>
      <w:r>
        <w:rPr>
          <w:rFonts w:hint="eastAsia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10.其他证明服务能力的材料，原件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彩色扫描上传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4" w:firstLineChars="200"/>
        <w:jc w:val="left"/>
        <w:textAlignment w:val="auto"/>
        <w:outlineLvl w:val="2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（二）打印纸质材料要求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收到打印纸质材料短信通知后，在3个工作日内从平台下载带水印全套申报材料进行打印，一式一份有序装订（整本首页、骑缝盖章），其中银行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无需装订，加盖公章，一并递交至受理窗口。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科技创新局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申报主体在规定期间内从平台下载带水印的申报材料进行打印，并前往政务服务中心行政服务厅“政策申报”窗口提交材料，工作人员核验，与网上提交材料一致的，予以收件；不符合的，当场告知补正要求。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科技创新局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经公示无异议的，经开区财政审计局完成资金拨付工作。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eastAsia="zh-CN"/>
        </w:rPr>
        <w:t>科技创新</w:t>
      </w:r>
      <w:r>
        <w:rPr>
          <w:rFonts w:hint="eastAsia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崔容芳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67887557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186C0D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D5506A"/>
    <w:rsid w:val="10E13271"/>
    <w:rsid w:val="117D2BA9"/>
    <w:rsid w:val="118F3527"/>
    <w:rsid w:val="11CA43B8"/>
    <w:rsid w:val="11D62CBE"/>
    <w:rsid w:val="12137781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D4C4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D06B94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79AF70"/>
    <w:rsid w:val="3FBC30E1"/>
    <w:rsid w:val="3FBF030A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8D23B7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DF4838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B50FE8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7532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FA6F2E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BF889C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B2A01"/>
    <w:rsid w:val="7DFC4CA2"/>
    <w:rsid w:val="7DFF511E"/>
    <w:rsid w:val="7E137B54"/>
    <w:rsid w:val="7E4E0E62"/>
    <w:rsid w:val="7E503B32"/>
    <w:rsid w:val="7E6B7B24"/>
    <w:rsid w:val="7E757D8F"/>
    <w:rsid w:val="7E782A8A"/>
    <w:rsid w:val="7EFFFA7B"/>
    <w:rsid w:val="7F7AABAB"/>
    <w:rsid w:val="7FC14E2C"/>
    <w:rsid w:val="9F6F6015"/>
    <w:rsid w:val="AEFF4E6C"/>
    <w:rsid w:val="B8BE866E"/>
    <w:rsid w:val="C7DB93C8"/>
    <w:rsid w:val="CBF7D4EA"/>
    <w:rsid w:val="CFFDE1B6"/>
    <w:rsid w:val="CFFE8D0C"/>
    <w:rsid w:val="DD7E7DC7"/>
    <w:rsid w:val="DEF5E07B"/>
    <w:rsid w:val="EFEEB9E2"/>
    <w:rsid w:val="F1F773BC"/>
    <w:rsid w:val="F2FE20E2"/>
    <w:rsid w:val="F5DBA8FA"/>
    <w:rsid w:val="F7FF4743"/>
    <w:rsid w:val="FDEED52F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241</Words>
  <Characters>1374</Characters>
  <Lines>11</Lines>
  <Paragraphs>3</Paragraphs>
  <TotalTime>5</TotalTime>
  <ScaleCrop>false</ScaleCrop>
  <LinksUpToDate>false</LinksUpToDate>
  <CharactersWithSpaces>1612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2019-08-14T22:54:00Z</dcterms:created>
  <dc:creator>zkk</dc:creator>
  <cp:lastModifiedBy>admin</cp:lastModifiedBy>
  <cp:lastPrinted>2020-03-24T19:03:00Z</cp:lastPrinted>
  <dcterms:modified xsi:type="dcterms:W3CDTF">2023-06-19T05:57:51Z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D0C6CB4D3DD449CF9F01DB31742842FE</vt:lpwstr>
  </property>
</Properties>
</file>