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年度“创新成长计划”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《北京经济技术开发区关于加快推进国际科技创新中心建设 打造高精尖产业主阵地的若干意见》（京技管〔2022〕8号）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“创新成长计划”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主要支</w:t>
      </w:r>
      <w:r>
        <w:rPr>
          <w:rFonts w:hint="eastAsia" w:ascii="仿宋_GB2312" w:hAnsi="仿宋_GB2312" w:eastAsia="仿宋_GB2312" w:cs="仿宋_GB2312"/>
          <w:sz w:val="32"/>
          <w:szCs w:val="32"/>
        </w:rPr>
        <w:t>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亦庄新城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新注册或新迁入</w:t>
      </w:r>
      <w:r>
        <w:rPr>
          <w:rFonts w:hint="eastAsia" w:ascii="Times New Roman" w:hAnsi="Times New Roman" w:eastAsia="仿宋_GB2312"/>
          <w:sz w:val="32"/>
          <w:szCs w:val="32"/>
        </w:rPr>
        <w:t>的科技型、创新型企业。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注册、纳税、入统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均在亦庄新城范围内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，具备独立法人资格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年无重大违法违规记录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企业具备以下条件之一即可入选“创新成长计划”：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企业近两年</w:t>
      </w:r>
      <w:r>
        <w:rPr>
          <w:rFonts w:hint="eastAsia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eastAsia="仿宋_GB2312" w:cs="仿宋_GB2312"/>
          <w:sz w:val="32"/>
          <w:szCs w:val="32"/>
          <w:highlight w:val="none"/>
          <w:lang w:val="en-US" w:eastAsia="zh-CN"/>
        </w:rPr>
        <w:t>2021年、2022年）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合计营业收入不少于1000万元</w:t>
      </w:r>
      <w:r>
        <w:rPr>
          <w:rFonts w:hint="eastAsia" w:hAnsi="仿宋_GB2312" w:eastAsia="仿宋_GB2312" w:cs="仿宋_GB2312"/>
          <w:sz w:val="32"/>
          <w:szCs w:val="32"/>
          <w:highlight w:val="none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近两年</w:t>
      </w:r>
      <w:r>
        <w:rPr>
          <w:rFonts w:hint="eastAsia" w:hAnsi="仿宋_GB2312" w:eastAsia="仿宋_GB2312" w:cs="仿宋_GB2312"/>
          <w:sz w:val="32"/>
          <w:szCs w:val="32"/>
          <w:highlight w:val="none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研发投入占营业收入的比重均不低于</w:t>
      </w:r>
      <w:r>
        <w:rPr>
          <w:rFonts w:hint="default" w:hAnsi="仿宋_GB2312" w:eastAsia="仿宋_GB2312" w:cs="仿宋_GB2312"/>
          <w:sz w:val="32"/>
          <w:szCs w:val="32"/>
          <w:highlight w:val="none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.北京市“专精特新”中小企业。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.三年内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有国家科技重大专项、国家重点研发计划、科技创新2030等重点项目专项支持。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.三年内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有国家和北京市自然科学基金等重大研究专项支持。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.三年内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获得过知名创投机构融资的科技型项目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(知名创投机构参考投中中国最佳创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投资机构top100名单)。</w:t>
      </w:r>
    </w:p>
    <w:p>
      <w:pPr>
        <w:pStyle w:val="8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.有中国科学院院士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中国工程院院士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北京市级人才计划支持的人员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亦城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顶尖人才、亦城杰出人才、亦城领军人才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</w:rPr>
        <w:t>股的创新项目。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补贴时长最长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对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入选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企业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年度房租进行补贴</w:t>
      </w:r>
      <w:r>
        <w:rPr>
          <w:rFonts w:hint="eastAsia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入选企业通过年度考核后，在</w:t>
      </w:r>
      <w:r>
        <w:rPr>
          <w:rFonts w:hint="eastAsia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享受</w:t>
      </w:r>
      <w:r>
        <w:rPr>
          <w:rFonts w:hint="eastAsia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2023年度的房租补贴。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对于房租高于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1.5元/平米/天的，给予1.5元/平米/天的补贴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，对于房租低于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1.5元/平米/天的，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按实际房租价格给予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补贴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最高500平米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64" w:firstLineChars="200"/>
        <w:textAlignment w:val="auto"/>
        <w:outlineLvl w:val="1"/>
        <w:rPr>
          <w:rFonts w:hint="eastAsia" w:ascii="仿宋_GB2312" w:hAnsi="仿宋_GB2312" w:eastAsia="仿宋_GB2312" w:cs="仿宋_GB2312"/>
          <w:bCs w:val="0"/>
          <w:color w:val="000000"/>
          <w:spacing w:val="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6"/>
          <w:kern w:val="2"/>
          <w:sz w:val="32"/>
          <w:szCs w:val="32"/>
        </w:rPr>
        <w:t>（一）申报材料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1.经开区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年度“创新成长计划”专项申报表，在线填写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32"/>
          <w:szCs w:val="32"/>
        </w:rPr>
        <w:t>签字、加盖公章，彩色扫描上传；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32"/>
          <w:szCs w:val="32"/>
        </w:rPr>
        <w:t>彩色扫描上传；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2"/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5.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入选条件资料：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1“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企业近两年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2021年、2022年）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合计营业收入不少于1000万元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，且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近两年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每年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研发投入占营业收入的比重均不低于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”，需提供“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、202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年度财务审计报告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年、202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年研发投入专项审计报告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”</w:t>
      </w:r>
      <w:r>
        <w:rPr>
          <w:rFonts w:hint="eastAsia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"/>
        </w:rPr>
        <w:t>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专精特新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  <w:lang w:val="en-US" w:eastAsia="zh-CN" w:bidi="ar-SA"/>
        </w:rPr>
        <w:t>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”，需提供相应证书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三年内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有国家科技重大专项、国家重点研发计划、科技创新2030等重点项目专项支持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提供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项目申报书等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相关证明材料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4“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三年内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有国家和北京市自然科学基金等重大研究专项支持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提供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项目申报书等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相关证明材料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三年内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2020—2022年）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获得过知名创投机构融资的科技型项目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(知名创投机构参考投中中国最佳创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投资机构top100名单)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”，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提供投资协议等证明材料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汉仪书宋二S" w:hAnsi="汉仪书宋二S" w:eastAsia="汉仪书宋二S" w:cs="汉仪书宋二S"/>
          <w:bCs/>
          <w:color w:val="000000"/>
          <w:kern w:val="0"/>
          <w:sz w:val="32"/>
          <w:szCs w:val="32"/>
          <w:highlight w:val="none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符合条件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6“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有中国科学院院士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中国工程院院士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国家级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北京市级人才计划支持的人员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auto"/>
        </w:rPr>
        <w:t>亦城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auto"/>
        </w:rPr>
        <w:t>顶尖人才、亦城杰出人才、亦城领军人才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股的创新项目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”，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提供人才参股、人才资质证书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  <w:t>等证明材料。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注：若</w:t>
      </w:r>
      <w:r>
        <w:rPr>
          <w:rFonts w:hint="eastAsia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符合多项入选条件，只需提供一项证明材料，原件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0"/>
          <w:kern w:val="0"/>
          <w:sz w:val="32"/>
          <w:szCs w:val="32"/>
        </w:rPr>
        <w:t>彩色扫描上传</w:t>
      </w:r>
      <w:r>
        <w:rPr>
          <w:rFonts w:hint="eastAsia" w:hAnsi="仿宋_GB2312" w:eastAsia="仿宋_GB2312" w:cs="仿宋_GB2312"/>
          <w:b/>
          <w:bCs w:val="0"/>
          <w:color w:val="000000"/>
          <w:spacing w:val="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2"/>
        <w:rPr>
          <w:rFonts w:hint="eastAsia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企业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租赁办公场所相关材料，2022年度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办公场所或生产场地房屋租赁协议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、2022年度房租发票、申请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租补贴计算说明等相应证明材料</w:t>
      </w:r>
      <w:r>
        <w:rPr>
          <w:rFonts w:hint="eastAsia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，原件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</w:rPr>
        <w:t>彩色扫描上传</w:t>
      </w:r>
      <w:r>
        <w:rPr>
          <w:rFonts w:hint="eastAsia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eastAsia="zh-CN"/>
        </w:rPr>
        <w:t>；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7.其他证明企业实力的材料，原件彩色扫描上传。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64" w:firstLineChars="0"/>
        <w:textAlignment w:val="auto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 w:val="0"/>
          <w:spacing w:val="6"/>
          <w:sz w:val="32"/>
          <w:szCs w:val="32"/>
        </w:rPr>
        <w:t>二）打印纸质材料要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初审：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科技创新局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申报主体在规定期间内从平台下载带水印的申报材料进行打印，并前往政务服务中心行政服务厅“政策申报”窗口提交材料，工作人员核验，与网上提交材料一致的，予以收件；不符合的，当场告知补正要求。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科技创新局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经公示无异议的，经开区财政审计局完成资金拨付工作。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eastAsia="zh-CN"/>
        </w:rPr>
        <w:t>科技创新</w:t>
      </w:r>
      <w:r>
        <w:rPr>
          <w:rFonts w:hint="eastAsia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崔容芳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67887557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4C05D20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D4C4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9286F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CF65A49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291039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084979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2796A0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EFF007D"/>
    <w:rsid w:val="5F258453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BF889C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893FC5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DE0EC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B97E57"/>
    <w:rsid w:val="7DFB2A01"/>
    <w:rsid w:val="7DFC4CA2"/>
    <w:rsid w:val="7DFF511E"/>
    <w:rsid w:val="7E137B54"/>
    <w:rsid w:val="7E4E0E62"/>
    <w:rsid w:val="7E503B32"/>
    <w:rsid w:val="7E6B7B24"/>
    <w:rsid w:val="7E757D8F"/>
    <w:rsid w:val="7E782A8A"/>
    <w:rsid w:val="7EFFFA7B"/>
    <w:rsid w:val="7FC14E2C"/>
    <w:rsid w:val="7FFF3A7A"/>
    <w:rsid w:val="9F6F6015"/>
    <w:rsid w:val="B2EBDF4B"/>
    <w:rsid w:val="C7DB93C8"/>
    <w:rsid w:val="CFD9E4BA"/>
    <w:rsid w:val="CFFDE1B6"/>
    <w:rsid w:val="CFFE8D0C"/>
    <w:rsid w:val="DBEB999B"/>
    <w:rsid w:val="DD7E7DC7"/>
    <w:rsid w:val="DE7A71A3"/>
    <w:rsid w:val="DEF5E07B"/>
    <w:rsid w:val="EFEEB9E2"/>
    <w:rsid w:val="F1F773BC"/>
    <w:rsid w:val="F5DBA8FA"/>
    <w:rsid w:val="F7FF4743"/>
    <w:rsid w:val="FDFA6A09"/>
    <w:rsid w:val="FFF6409D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241</Words>
  <Characters>1374</Characters>
  <Lines>11</Lines>
  <Paragraphs>3</Paragraphs>
  <TotalTime>78</TotalTime>
  <ScaleCrop>false</ScaleCrop>
  <LinksUpToDate>false</LinksUpToDate>
  <CharactersWithSpaces>1612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2019-08-16T06:54:00Z</dcterms:created>
  <dc:creator>zkk</dc:creator>
  <cp:lastModifiedBy>admin</cp:lastModifiedBy>
  <cp:lastPrinted>2023-06-16T05:17:00Z</cp:lastPrinted>
  <dcterms:modified xsi:type="dcterms:W3CDTF">2023-06-16T09:14:08Z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D0C6CB4D3DD449CF9F01DB31742842FE</vt:lpwstr>
  </property>
</Properties>
</file>