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7</w:t>
      </w:r>
      <w:r>
        <w:rPr>
          <w:rFonts w:hint="eastAsia" w:ascii="黑体" w:hAnsi="黑体" w:eastAsia="黑体" w:cs="黑体"/>
          <w:color w:val="333333"/>
          <w:spacing w:val="15"/>
          <w:kern w:val="0"/>
          <w:sz w:val="32"/>
          <w:szCs w:val="32"/>
          <w:shd w:val="clear" w:color="auto" w:fill="FFFFFF"/>
        </w:rPr>
        <w:t>：</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2021年度电竞俱乐部奖项奖励事项</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eastAsia="仿宋_GB2312"/>
          <w:sz w:val="32"/>
          <w:szCs w:val="32"/>
        </w:rPr>
      </w:pPr>
      <w:r>
        <w:rPr>
          <w:rFonts w:hint="eastAsia" w:ascii="仿宋_GB2312" w:eastAsia="仿宋_GB2312"/>
          <w:bCs/>
          <w:color w:val="000000" w:themeColor="text1"/>
          <w:sz w:val="32"/>
        </w:rPr>
        <w:t>《北京经济技术开发区游戏产业</w:t>
      </w:r>
      <w:r>
        <w:rPr>
          <w:rFonts w:hint="eastAsia" w:eastAsia="仿宋_GB2312"/>
          <w:sz w:val="32"/>
          <w:szCs w:val="32"/>
        </w:rPr>
        <w:t>政策》中第八条支持电竞俱乐部落地发展“</w:t>
      </w:r>
      <w:r>
        <w:rPr>
          <w:rFonts w:hint="eastAsia" w:ascii="仿宋_GB2312" w:eastAsia="仿宋_GB2312"/>
          <w:sz w:val="32"/>
          <w:szCs w:val="32"/>
        </w:rPr>
        <w:t>支持具有国内外影响力的顶级电竞俱乐部在经开区落地带动产业发展。对当年在国际、国内重大电竞赛事中取得优异成绩的俱乐部，经认定后最高奖励不超过200万元</w:t>
      </w:r>
      <w:r>
        <w:rPr>
          <w:rFonts w:eastAsia="仿宋_GB2312"/>
          <w:sz w:val="32"/>
          <w:szCs w:val="32"/>
        </w:rPr>
        <w:t>。</w:t>
      </w:r>
      <w:r>
        <w:rPr>
          <w:rFonts w:hint="eastAsia" w:ascii="仿宋_GB2312" w:eastAsia="仿宋_GB2312"/>
          <w:bCs/>
          <w:color w:val="000000" w:themeColor="text1"/>
          <w:sz w:val="32"/>
        </w:rPr>
        <w:t>”</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2021年度电竞俱乐部奖项奖励</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（一）申报主体具备独立法人资格，实行独立核算，在经开区范围内依法注册、纳税、入统的企业或机构；</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（二）申报主体应获得游戏职业联赛的俱乐部认证；</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（三）申报主体202</w:t>
      </w:r>
      <w:r>
        <w:rPr>
          <w:rFonts w:ascii="仿宋_GB2312" w:eastAsia="仿宋_GB2312"/>
          <w:bCs/>
          <w:color w:val="000000" w:themeColor="text1"/>
          <w:sz w:val="32"/>
        </w:rPr>
        <w:t>1</w:t>
      </w:r>
      <w:r>
        <w:rPr>
          <w:rFonts w:hint="eastAsia" w:ascii="仿宋_GB2312" w:eastAsia="仿宋_GB2312"/>
          <w:bCs/>
          <w:color w:val="000000" w:themeColor="text1"/>
          <w:sz w:val="32"/>
        </w:rPr>
        <w:t>年在国际、国内重大电竞赛事中取得优异成绩。</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jc w:val="left"/>
        <w:rPr>
          <w:rFonts w:ascii="仿宋_GB2312" w:eastAsia="仿宋_GB2312"/>
          <w:bCs/>
          <w:color w:val="000000" w:themeColor="text1"/>
          <w:sz w:val="32"/>
        </w:rPr>
      </w:pPr>
      <w:r>
        <w:rPr>
          <w:rFonts w:hint="eastAsia" w:ascii="仿宋_GB2312" w:eastAsia="仿宋_GB2312"/>
          <w:bCs/>
          <w:color w:val="000000" w:themeColor="text1"/>
          <w:sz w:val="32"/>
        </w:rPr>
        <w:t>（一）202</w:t>
      </w:r>
      <w:r>
        <w:rPr>
          <w:rFonts w:ascii="仿宋_GB2312" w:eastAsia="仿宋_GB2312"/>
          <w:bCs/>
          <w:color w:val="000000" w:themeColor="text1"/>
          <w:sz w:val="32"/>
        </w:rPr>
        <w:t>1</w:t>
      </w:r>
      <w:r>
        <w:rPr>
          <w:rFonts w:hint="eastAsia" w:ascii="仿宋_GB2312" w:eastAsia="仿宋_GB2312"/>
          <w:bCs/>
          <w:color w:val="000000" w:themeColor="text1"/>
          <w:sz w:val="32"/>
        </w:rPr>
        <w:t>年度，在国际邀请赛、全球总决赛等国际同级别重大电竞赛事中取得冠军、亚军和季军的俱乐部，经审核认定后择优分别给予200万元、150万元、100万元奖励；</w:t>
      </w:r>
    </w:p>
    <w:p>
      <w:pPr>
        <w:spacing w:line="560" w:lineRule="exact"/>
        <w:ind w:firstLine="640" w:firstLineChars="200"/>
        <w:jc w:val="left"/>
        <w:rPr>
          <w:rFonts w:ascii="仿宋_GB2312" w:eastAsia="仿宋_GB2312"/>
          <w:bCs/>
          <w:color w:val="000000" w:themeColor="text1"/>
          <w:sz w:val="32"/>
        </w:rPr>
      </w:pPr>
      <w:r>
        <w:rPr>
          <w:rFonts w:hint="eastAsia" w:ascii="仿宋_GB2312" w:eastAsia="仿宋_GB2312"/>
          <w:bCs/>
          <w:color w:val="000000" w:themeColor="text1"/>
          <w:sz w:val="32"/>
        </w:rPr>
        <w:t>（二）202</w:t>
      </w:r>
      <w:r>
        <w:rPr>
          <w:rFonts w:ascii="仿宋_GB2312" w:eastAsia="仿宋_GB2312"/>
          <w:bCs/>
          <w:color w:val="000000" w:themeColor="text1"/>
          <w:sz w:val="32"/>
        </w:rPr>
        <w:t>1</w:t>
      </w:r>
      <w:r>
        <w:rPr>
          <w:rFonts w:hint="eastAsia" w:ascii="仿宋_GB2312" w:eastAsia="仿宋_GB2312"/>
          <w:bCs/>
          <w:color w:val="000000" w:themeColor="text1"/>
          <w:sz w:val="32"/>
        </w:rPr>
        <w:t>年度，在全国电子竞技大赛、职业联赛等国内同级别重大电竞赛事中取得冠军、亚军和季军的俱乐部，经审核认定后择优分别给予100万元、80万元、50万元奖励；</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（三）同一俱乐部获得多项赛事奖励的，按照从高不重复的原则予以支持。补贴金额以万元为单位，不足万元部分舍去。</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1.2021</w:t>
      </w:r>
      <w:r>
        <w:rPr>
          <w:rFonts w:hint="eastAsia" w:ascii="仿宋_GB2312" w:hAnsi="仿宋_GB2312" w:eastAsia="仿宋_GB2312" w:cs="仿宋_GB2312"/>
          <w:color w:val="000000" w:themeColor="text1"/>
          <w:sz w:val="32"/>
          <w:szCs w:val="32"/>
        </w:rPr>
        <w:t>年度</w:t>
      </w:r>
      <w:r>
        <w:rPr>
          <w:rFonts w:hint="eastAsia" w:eastAsia="仿宋_GB2312"/>
          <w:sz w:val="32"/>
          <w:szCs w:val="32"/>
        </w:rPr>
        <w:t>电竞俱乐部奖项奖励</w:t>
      </w:r>
      <w:r>
        <w:rPr>
          <w:rFonts w:hint="eastAsia" w:ascii="仿宋_GB2312" w:hAnsi="仿宋_GB2312" w:eastAsia="仿宋_GB2312" w:cs="仿宋_GB2312"/>
          <w:bCs/>
          <w:color w:val="000000"/>
          <w:kern w:val="0"/>
          <w:sz w:val="32"/>
          <w:szCs w:val="32"/>
        </w:rPr>
        <w:t>申报表</w:t>
      </w:r>
      <w:r>
        <w:rPr>
          <w:rFonts w:hint="eastAsia" w:ascii="仿宋_GB2312" w:hAnsi="仿宋_GB2312" w:eastAsia="仿宋_GB2312" w:cs="仿宋_GB2312"/>
          <w:color w:val="000000" w:themeColor="text1"/>
          <w:sz w:val="32"/>
          <w:szCs w:val="32"/>
        </w:rPr>
        <w:t>，在线填写；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0" w:name="_Hlk115191650"/>
      <w:r>
        <w:rPr>
          <w:rFonts w:hint="eastAsia" w:ascii="仿宋_GB2312" w:hAnsi="仿宋_GB2312" w:eastAsia="仿宋_GB2312" w:cs="仿宋_GB2312"/>
          <w:color w:val="000000" w:themeColor="text1"/>
          <w:sz w:val="32"/>
          <w:szCs w:val="32"/>
        </w:rPr>
        <w:t>选取电子证照</w:t>
      </w:r>
      <w:bookmarkEnd w:id="0"/>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1" w:name="_Hlk115191672"/>
      <w:r>
        <w:rPr>
          <w:rFonts w:hint="eastAsia" w:ascii="仿宋_GB2312" w:hAnsi="仿宋_GB2312" w:eastAsia="仿宋_GB2312" w:cs="仿宋_GB2312"/>
          <w:color w:val="000000" w:themeColor="text1"/>
          <w:sz w:val="32"/>
          <w:szCs w:val="32"/>
        </w:rPr>
        <w:t>下载模板填写，</w:t>
      </w:r>
      <w:bookmarkEnd w:id="1"/>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2" w:name="_Hlk113290483"/>
      <w:r>
        <w:rPr>
          <w:rFonts w:hint="eastAsia" w:ascii="仿宋_GB2312" w:hAnsi="仿宋_GB2312" w:eastAsia="仿宋_GB2312" w:cs="仿宋_GB2312"/>
          <w:color w:val="000000" w:themeColor="text1"/>
          <w:sz w:val="32"/>
          <w:szCs w:val="32"/>
        </w:rPr>
        <w:t>5. 入库期为2021年的企业税收完税证明，原件彩色扫描上传；</w:t>
      </w:r>
    </w:p>
    <w:bookmarkEnd w:id="2"/>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6.有效期内俱乐部认证证明，加盖公章，彩色扫描上传；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俱乐部情况概述，如俱乐部介绍、发展历程、团队情况、参赛情况、既往业绩等，加盖公章，彩色扫描上传；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年度国际或国内获奖项证书，原件彩色扫描上传；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.参赛团队2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年社保缴纳证明，加盖公章，彩色扫描上传；</w:t>
      </w:r>
    </w:p>
    <w:p>
      <w:pPr>
        <w:pStyle w:val="2"/>
        <w:spacing w:line="560" w:lineRule="exact"/>
        <w:ind w:firstLine="664"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10</w:t>
      </w:r>
      <w:r>
        <w:rPr>
          <w:rFonts w:hint="eastAsia" w:ascii="仿宋_GB2312" w:hAnsi="仿宋_GB2312" w:eastAsia="仿宋_GB2312" w:cs="仿宋_GB2312"/>
          <w:spacing w:val="6"/>
          <w:sz w:val="32"/>
          <w:szCs w:val="32"/>
        </w:rPr>
        <w:t>.其他证明，如获得电竞赛事奖项奖金证明等，加盖公章，彩色扫描上传。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bookmarkStart w:id="3" w:name="_GoBack"/>
      <w:bookmarkEnd w:id="3"/>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经开区工委宣传文化部，联系电话：010-67857362、</w:t>
      </w:r>
      <w:r>
        <w:rPr>
          <w:rFonts w:ascii="仿宋_GB2312" w:hAnsi="仿宋_GB2312" w:eastAsia="仿宋_GB2312" w:cs="仿宋_GB2312"/>
          <w:sz w:val="32"/>
          <w:szCs w:val="32"/>
        </w:rPr>
        <w:t>010-53699261、15011094570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17710151273，工作日上午9：00-12：00，下午2:00-6:00</w:t>
      </w:r>
      <w:r>
        <w:rPr>
          <w:rFonts w:hint="eastAsia" w:ascii="仿宋_GB2312" w:hAnsi="仿宋_GB2312" w:eastAsia="仿宋_GB2312" w:cs="仿宋_GB2312"/>
          <w:sz w:val="32"/>
          <w:szCs w:val="32"/>
        </w:rPr>
        <w:t>。</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163A"/>
    <w:rsid w:val="00062C5F"/>
    <w:rsid w:val="000B5202"/>
    <w:rsid w:val="000F62F2"/>
    <w:rsid w:val="001145E7"/>
    <w:rsid w:val="00121C8F"/>
    <w:rsid w:val="00161422"/>
    <w:rsid w:val="00161CCE"/>
    <w:rsid w:val="001B160C"/>
    <w:rsid w:val="00203194"/>
    <w:rsid w:val="00271142"/>
    <w:rsid w:val="002838D9"/>
    <w:rsid w:val="002A0105"/>
    <w:rsid w:val="00360EF1"/>
    <w:rsid w:val="00395968"/>
    <w:rsid w:val="003A6F11"/>
    <w:rsid w:val="0042212A"/>
    <w:rsid w:val="004564E2"/>
    <w:rsid w:val="00457B4D"/>
    <w:rsid w:val="004C442C"/>
    <w:rsid w:val="00533C9A"/>
    <w:rsid w:val="006507D0"/>
    <w:rsid w:val="006750FE"/>
    <w:rsid w:val="00690761"/>
    <w:rsid w:val="00697A2E"/>
    <w:rsid w:val="006A1513"/>
    <w:rsid w:val="006D0140"/>
    <w:rsid w:val="006D252C"/>
    <w:rsid w:val="006D78FC"/>
    <w:rsid w:val="00710378"/>
    <w:rsid w:val="007365B0"/>
    <w:rsid w:val="00792E93"/>
    <w:rsid w:val="0083453E"/>
    <w:rsid w:val="00844BDB"/>
    <w:rsid w:val="00900A14"/>
    <w:rsid w:val="00923A77"/>
    <w:rsid w:val="0098077A"/>
    <w:rsid w:val="00987878"/>
    <w:rsid w:val="00A3406B"/>
    <w:rsid w:val="00AC6E24"/>
    <w:rsid w:val="00B74D80"/>
    <w:rsid w:val="00C122AB"/>
    <w:rsid w:val="00C37D99"/>
    <w:rsid w:val="00C54629"/>
    <w:rsid w:val="00C67ACC"/>
    <w:rsid w:val="00CD0341"/>
    <w:rsid w:val="00D460B2"/>
    <w:rsid w:val="00D568DA"/>
    <w:rsid w:val="00D668C9"/>
    <w:rsid w:val="00D76185"/>
    <w:rsid w:val="00D85A9F"/>
    <w:rsid w:val="00EA199B"/>
    <w:rsid w:val="00EE6BC6"/>
    <w:rsid w:val="00F03541"/>
    <w:rsid w:val="00F86F47"/>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2F0274"/>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51645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FE267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FF65B"/>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 w:type="paragraph" w:customStyle="1" w:styleId="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291</Words>
  <Characters>1659</Characters>
  <Lines>13</Lines>
  <Paragraphs>3</Paragraphs>
  <TotalTime>6</TotalTime>
  <ScaleCrop>false</ScaleCrop>
  <LinksUpToDate>false</LinksUpToDate>
  <CharactersWithSpaces>1947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周伟</cp:lastModifiedBy>
  <cp:lastPrinted>2020-03-22T03:03:00Z</cp:lastPrinted>
  <dcterms:modified xsi:type="dcterms:W3CDTF">2022-10-09T07:16:06Z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