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3</w:t>
      </w:r>
      <w:r>
        <w:rPr>
          <w:rFonts w:hint="eastAsia" w:ascii="黑体" w:hAnsi="黑体" w:eastAsia="黑体" w:cs="黑体"/>
          <w:color w:val="333333"/>
          <w:spacing w:val="15"/>
          <w:kern w:val="0"/>
          <w:sz w:val="32"/>
          <w:szCs w:val="32"/>
          <w:shd w:val="clear" w:color="auto" w:fill="FFFFFF"/>
        </w:rPr>
        <w:t>：</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2021年度精品游戏配套奖励事项办事指南</w:t>
      </w:r>
    </w:p>
    <w:p>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color w:val="000000" w:themeColor="text1"/>
          <w:sz w:val="32"/>
        </w:rPr>
        <w:t>《北京经济技术开发区游戏产业</w:t>
      </w:r>
      <w:r>
        <w:rPr>
          <w:rFonts w:hint="eastAsia" w:ascii="仿宋_GB2312" w:hAnsi="仿宋_GB2312" w:eastAsia="仿宋_GB2312" w:cs="仿宋_GB2312"/>
          <w:sz w:val="32"/>
          <w:szCs w:val="32"/>
        </w:rPr>
        <w:t>政策》中第二条鼓励创新研发和内容创作第</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项“支持企业研发弘扬社会主义核心价值观、传播文明理念和优秀传统文化内涵、富含亦庄新城元素的原创精品力作,对于获得国家级、市级精品游戏奖励的，给予配套资金奖励，最高不超过200万元。</w:t>
      </w:r>
      <w:r>
        <w:rPr>
          <w:rFonts w:hint="eastAsia" w:ascii="仿宋_GB2312" w:hAnsi="仿宋_GB2312" w:eastAsia="仿宋_GB2312" w:cs="仿宋_GB2312"/>
          <w:bCs/>
          <w:color w:val="000000" w:themeColor="text1"/>
          <w:sz w:val="32"/>
        </w:rPr>
        <w:t>”</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sz w:val="32"/>
          <w:szCs w:val="32"/>
        </w:rPr>
        <w:t>2021年度精品游戏配</w:t>
      </w:r>
      <w:r>
        <w:rPr>
          <w:rFonts w:hint="eastAsia" w:eastAsia="仿宋_GB2312"/>
          <w:sz w:val="32"/>
          <w:szCs w:val="32"/>
        </w:rPr>
        <w:t>套奖励</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pStyle w:val="2"/>
        <w:adjustRightInd w:val="0"/>
        <w:snapToGrid w:val="0"/>
        <w:spacing w:line="560" w:lineRule="exact"/>
        <w:ind w:firstLine="640" w:firstLineChars="200"/>
        <w:rPr>
          <w:rFonts w:ascii="仿宋_GB2312" w:eastAsia="仿宋_GB2312"/>
          <w:sz w:val="32"/>
          <w:szCs w:val="32"/>
        </w:rPr>
      </w:pPr>
      <w:r>
        <w:rPr>
          <w:rFonts w:hint="eastAsia" w:ascii="Times New Roman" w:eastAsia="仿宋_GB2312"/>
          <w:sz w:val="32"/>
          <w:szCs w:val="32"/>
        </w:rPr>
        <w:t>（一）申报主体应具有独立法人资格、实行独立核算，在经开区范围内依法注册、纳税、入统</w:t>
      </w:r>
      <w:r>
        <w:rPr>
          <w:rFonts w:hint="eastAsia" w:ascii="仿宋_GB2312" w:eastAsia="仿宋_GB2312"/>
          <w:sz w:val="32"/>
          <w:szCs w:val="32"/>
        </w:rPr>
        <w:t>的企业或机构；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（二）申报作品产权清晰，拥有或已申请原创知识产权，且</w:t>
      </w:r>
      <w:r>
        <w:rPr>
          <w:rFonts w:hint="eastAsia" w:ascii="仿宋_GB2312" w:hAnsi="仿宋_GB2312" w:eastAsia="仿宋_GB2312" w:cs="仿宋_GB2312"/>
          <w:sz w:val="32"/>
          <w:szCs w:val="32"/>
        </w:rPr>
        <w:t>申报主体为精品游戏的产权登记所有人；</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（三）申报作品获奖时间应在202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年1月1日至202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年12月31日内，同一作品仅能申报一次；</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（四）申报主体按照从优不重复原则申报。</w:t>
      </w:r>
    </w:p>
    <w:p>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（一）对获评国家级精品游戏的项目，给予</w:t>
      </w:r>
      <w:r>
        <w:rPr>
          <w:rFonts w:hint="eastAsia" w:ascii="仿宋_GB2312" w:eastAsia="仿宋_GB2312"/>
          <w:sz w:val="32"/>
          <w:szCs w:val="32"/>
          <w:lang w:val="en-US" w:eastAsia="zh-CN"/>
        </w:rPr>
        <w:t>1</w:t>
      </w:r>
      <w:r>
        <w:rPr>
          <w:rFonts w:hint="default" w:ascii="仿宋_GB2312" w:eastAsia="仿宋_GB2312"/>
          <w:sz w:val="32"/>
          <w:szCs w:val="32"/>
          <w:lang w:val="en" w:eastAsia="zh-CN"/>
        </w:rPr>
        <w:t>:</w:t>
      </w:r>
      <w:r>
        <w:rPr>
          <w:rFonts w:hint="eastAsia" w:ascii="仿宋_GB2312" w:eastAsia="仿宋_GB2312"/>
          <w:sz w:val="32"/>
          <w:szCs w:val="32"/>
          <w:lang w:val="en-US" w:eastAsia="zh-CN"/>
        </w:rPr>
        <w:t>1配套</w:t>
      </w:r>
      <w:r>
        <w:rPr>
          <w:rFonts w:hint="eastAsia" w:ascii="仿宋_GB2312" w:eastAsia="仿宋_GB2312"/>
          <w:sz w:val="32"/>
          <w:szCs w:val="32"/>
        </w:rPr>
        <w:t>资金支持，最高不超过200万元，累计支持金额不超过项目自筹资金；</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（二）对获评市级精品游戏的项目，给予</w:t>
      </w:r>
      <w:r>
        <w:rPr>
          <w:rFonts w:hint="eastAsia" w:ascii="仿宋_GB2312" w:eastAsia="仿宋_GB2312"/>
          <w:sz w:val="32"/>
          <w:szCs w:val="32"/>
          <w:lang w:val="en-US" w:eastAsia="zh-CN"/>
        </w:rPr>
        <w:t>1</w:t>
      </w:r>
      <w:r>
        <w:rPr>
          <w:rFonts w:hint="default" w:ascii="仿宋_GB2312" w:eastAsia="仿宋_GB2312"/>
          <w:sz w:val="32"/>
          <w:szCs w:val="32"/>
          <w:lang w:val="en" w:eastAsia="zh-CN"/>
        </w:rPr>
        <w:t>:</w:t>
      </w:r>
      <w:r>
        <w:rPr>
          <w:rFonts w:hint="eastAsia" w:ascii="仿宋_GB2312" w:eastAsia="仿宋_GB2312"/>
          <w:sz w:val="32"/>
          <w:szCs w:val="32"/>
          <w:lang w:val="en-US" w:eastAsia="zh-CN"/>
        </w:rPr>
        <w:t>1配套</w:t>
      </w:r>
      <w:r>
        <w:rPr>
          <w:rFonts w:hint="eastAsia" w:ascii="仿宋_GB2312" w:eastAsia="仿宋_GB2312"/>
          <w:sz w:val="32"/>
          <w:szCs w:val="32"/>
        </w:rPr>
        <w:t>资金支持，最高不超过100万元，累计支持金额不超过项目自筹资金。</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（三）</w:t>
      </w:r>
      <w:r>
        <w:rPr>
          <w:rFonts w:hint="eastAsia" w:ascii="仿宋_GB2312" w:hAnsi="仿宋_GB2312" w:eastAsia="仿宋_GB2312" w:cs="仿宋_GB2312"/>
          <w:sz w:val="32"/>
          <w:szCs w:val="32"/>
        </w:rPr>
        <w:t>补贴金额以万元为单位，不足万元部分舍去。</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spacing w:line="560" w:lineRule="exact"/>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年度精品游戏配套奖励</w:t>
      </w:r>
      <w:r>
        <w:rPr>
          <w:rFonts w:hint="eastAsia" w:ascii="仿宋_GB2312" w:hAnsi="仿宋_GB2312" w:eastAsia="仿宋_GB2312" w:cs="仿宋_GB2312"/>
          <w:bCs/>
          <w:color w:val="000000"/>
          <w:kern w:val="0"/>
          <w:sz w:val="32"/>
          <w:szCs w:val="32"/>
        </w:rPr>
        <w:t>申报表</w:t>
      </w:r>
      <w:r>
        <w:rPr>
          <w:rFonts w:hint="eastAsia" w:ascii="仿宋_GB2312" w:hAnsi="仿宋_GB2312" w:eastAsia="仿宋_GB2312" w:cs="仿宋_GB2312"/>
          <w:color w:val="000000" w:themeColor="text1"/>
          <w:sz w:val="32"/>
          <w:szCs w:val="32"/>
        </w:rPr>
        <w:t>，在线填写；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0" w:name="_Hlk115191650"/>
      <w:r>
        <w:rPr>
          <w:rFonts w:hint="eastAsia" w:ascii="仿宋_GB2312" w:hAnsi="仿宋_GB2312" w:eastAsia="仿宋_GB2312" w:cs="仿宋_GB2312"/>
          <w:color w:val="000000" w:themeColor="text1"/>
          <w:sz w:val="32"/>
          <w:szCs w:val="32"/>
        </w:rPr>
        <w:t>选取电子证照</w:t>
      </w:r>
      <w:bookmarkEnd w:id="0"/>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1" w:name="_Hlk115191672"/>
      <w:r>
        <w:rPr>
          <w:rFonts w:hint="eastAsia" w:ascii="仿宋_GB2312" w:hAnsi="仿宋_GB2312" w:eastAsia="仿宋_GB2312" w:cs="仿宋_GB2312"/>
          <w:color w:val="000000" w:themeColor="text1"/>
          <w:sz w:val="32"/>
          <w:szCs w:val="32"/>
        </w:rPr>
        <w:t>下载模板填写，</w:t>
      </w:r>
      <w:bookmarkEnd w:id="1"/>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2" w:name="_Hlk113290483"/>
      <w:r>
        <w:rPr>
          <w:rFonts w:hint="eastAsia" w:ascii="仿宋_GB2312" w:hAnsi="仿宋_GB2312" w:eastAsia="仿宋_GB2312" w:cs="仿宋_GB2312"/>
          <w:color w:val="000000" w:themeColor="text1"/>
          <w:sz w:val="32"/>
          <w:szCs w:val="32"/>
        </w:rPr>
        <w:t>5. 入库期为2021年的企业税收完税证明，原件彩色扫描上传；</w:t>
      </w:r>
    </w:p>
    <w:bookmarkEnd w:id="2"/>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6.企业获得国家级、市级精品游戏获奖证书或认定证明文件，原件彩色扫描上传； </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7.企业获得国家级、市级精品游戏奖励项目资金到款证明，加盖公章，彩色扫描上传；</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企业获得国家级、市级精品游戏奖励项目自筹资金情况说明及证明，加盖公章，彩色扫描上传；</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游戏作品知识产权（作品登记证书或软件著作权等）证明材料，原件彩色扫描上传。</w:t>
      </w:r>
    </w:p>
    <w:p>
      <w:pPr>
        <w:spacing w:line="56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年10月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6</w:t>
      </w:r>
      <w:bookmarkStart w:id="3" w:name="_GoBack"/>
      <w:bookmarkEnd w:id="3"/>
      <w:r>
        <w:rPr>
          <w:rFonts w:hint="eastAsia" w:ascii="仿宋_GB2312" w:hAnsi="仿宋_GB2312" w:eastAsia="仿宋_GB2312" w:cs="仿宋_GB2312"/>
          <w:sz w:val="32"/>
          <w:szCs w:val="32"/>
        </w:rPr>
        <w:t>日</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spacing w:line="560" w:lineRule="exact"/>
        <w:ind w:firstLine="640" w:firstLineChars="200"/>
        <w:rPr>
          <w:rFonts w:eastAsia="仿宋_GB2312"/>
          <w:sz w:val="32"/>
          <w:szCs w:val="32"/>
        </w:rPr>
      </w:pPr>
      <w:r>
        <w:rPr>
          <w:rFonts w:hint="eastAsia" w:eastAsia="仿宋_GB2312"/>
          <w:sz w:val="32"/>
          <w:szCs w:val="32"/>
        </w:rPr>
        <w:t>政策咨询：</w:t>
      </w:r>
    </w:p>
    <w:p>
      <w:pPr>
        <w:spacing w:line="560" w:lineRule="exact"/>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spacing w:line="560" w:lineRule="exact"/>
        <w:ind w:firstLine="640" w:firstLineChars="200"/>
        <w:rPr>
          <w:rFonts w:eastAsia="仿宋_GB2312"/>
          <w:sz w:val="32"/>
          <w:szCs w:val="32"/>
        </w:rPr>
      </w:pPr>
      <w:r>
        <w:rPr>
          <w:rFonts w:hint="eastAsia" w:eastAsia="仿宋_GB2312"/>
          <w:sz w:val="32"/>
          <w:szCs w:val="32"/>
        </w:rPr>
        <w:t>技术支持：</w:t>
      </w:r>
    </w:p>
    <w:p>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00EC6"/>
    <w:rsid w:val="0001192B"/>
    <w:rsid w:val="00060052"/>
    <w:rsid w:val="00062C5F"/>
    <w:rsid w:val="00090E74"/>
    <w:rsid w:val="000E01B0"/>
    <w:rsid w:val="000F62F2"/>
    <w:rsid w:val="001145E7"/>
    <w:rsid w:val="00161422"/>
    <w:rsid w:val="00161CCE"/>
    <w:rsid w:val="001B160C"/>
    <w:rsid w:val="00203194"/>
    <w:rsid w:val="00271142"/>
    <w:rsid w:val="002838D9"/>
    <w:rsid w:val="002A0105"/>
    <w:rsid w:val="002B124D"/>
    <w:rsid w:val="00360EF1"/>
    <w:rsid w:val="00395968"/>
    <w:rsid w:val="003A6F11"/>
    <w:rsid w:val="0042212A"/>
    <w:rsid w:val="004537A2"/>
    <w:rsid w:val="004564E2"/>
    <w:rsid w:val="00457B4D"/>
    <w:rsid w:val="00533C9A"/>
    <w:rsid w:val="006507D0"/>
    <w:rsid w:val="00697A2E"/>
    <w:rsid w:val="006A1513"/>
    <w:rsid w:val="006D0140"/>
    <w:rsid w:val="00710378"/>
    <w:rsid w:val="00792E93"/>
    <w:rsid w:val="0083453E"/>
    <w:rsid w:val="00844BDB"/>
    <w:rsid w:val="00900A14"/>
    <w:rsid w:val="00901F4D"/>
    <w:rsid w:val="00923A77"/>
    <w:rsid w:val="0098077A"/>
    <w:rsid w:val="00A3406B"/>
    <w:rsid w:val="00AC6E24"/>
    <w:rsid w:val="00B74D80"/>
    <w:rsid w:val="00BE40F4"/>
    <w:rsid w:val="00C115A9"/>
    <w:rsid w:val="00C122AB"/>
    <w:rsid w:val="00C37D99"/>
    <w:rsid w:val="00C67ACC"/>
    <w:rsid w:val="00C940BB"/>
    <w:rsid w:val="00CD0341"/>
    <w:rsid w:val="00CE253C"/>
    <w:rsid w:val="00D460B2"/>
    <w:rsid w:val="00D668C9"/>
    <w:rsid w:val="00D76185"/>
    <w:rsid w:val="00D85A9F"/>
    <w:rsid w:val="00E62003"/>
    <w:rsid w:val="00EA199B"/>
    <w:rsid w:val="00EE6BC6"/>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8D623E3"/>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3B6B49"/>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876B3C"/>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8940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5FFDFC9"/>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6FE1A4E1"/>
    <w:rsid w:val="70007B47"/>
    <w:rsid w:val="702F1D23"/>
    <w:rsid w:val="705342C1"/>
    <w:rsid w:val="705D316C"/>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BFFF3535"/>
    <w:rsid w:val="C7DB93C8"/>
    <w:rsid w:val="DD7E7DC7"/>
    <w:rsid w:val="DEF5E07B"/>
    <w:rsid w:val="EFEEB9E2"/>
    <w:rsid w:val="F5DBA8FA"/>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287</Words>
  <Characters>1641</Characters>
  <Lines>13</Lines>
  <Paragraphs>3</Paragraphs>
  <TotalTime>0</TotalTime>
  <ScaleCrop>false</ScaleCrop>
  <LinksUpToDate>false</LinksUpToDate>
  <CharactersWithSpaces>1925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周伟</cp:lastModifiedBy>
  <cp:lastPrinted>2022-10-01T02:03:00Z</cp:lastPrinted>
  <dcterms:modified xsi:type="dcterms:W3CDTF">2022-10-09T07:29:08Z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