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年度游戏</w:t>
      </w:r>
      <w:r>
        <w:rPr>
          <w:rFonts w:hint="eastAsia" w:ascii="微软雅黑" w:hAnsi="微软雅黑" w:eastAsia="微软雅黑" w:cs="微软雅黑"/>
          <w:sz w:val="44"/>
          <w:szCs w:val="44"/>
        </w:rPr>
        <w:t>产业</w:t>
      </w:r>
      <w:r>
        <w:rPr>
          <w:rFonts w:ascii="方正小标宋简体" w:hAnsi="方正小标宋简体" w:eastAsia="方正小标宋简体" w:cs="方正小标宋简体"/>
          <w:sz w:val="44"/>
          <w:szCs w:val="44"/>
        </w:rPr>
        <w:t>研发机构</w:t>
      </w:r>
      <w:r>
        <w:rPr>
          <w:rFonts w:hint="eastAsia" w:ascii="方正小标宋简体" w:hAnsi="方正小标宋简体" w:eastAsia="方正小标宋简体" w:cs="方正小标宋简体"/>
          <w:sz w:val="44"/>
          <w:szCs w:val="44"/>
        </w:rPr>
        <w:t>落地奖励事项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themeColor="text1"/>
          <w:sz w:val="32"/>
        </w:rPr>
        <w:t>《北京经济技术开发区游戏产业</w:t>
      </w:r>
      <w:r>
        <w:rPr>
          <w:rFonts w:hint="eastAsia" w:ascii="仿宋_GB2312" w:hAnsi="仿宋_GB2312" w:eastAsia="仿宋_GB2312" w:cs="仿宋_GB2312"/>
          <w:sz w:val="32"/>
          <w:szCs w:val="32"/>
        </w:rPr>
        <w:t>政策》中第二条鼓励创新研发和内容创作第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鼓励各层级游戏电竞领域技术创新中心、工程技术中心落地发展，按照从高不重复的支持原则，对获得国家级相关资质的一次性给予1000万元资金支持；获得市级相关资质的一次性给予100万元资金支持；获得区级相关资质的一次性给予50万元资金支持。</w:t>
      </w:r>
      <w:r>
        <w:rPr>
          <w:rFonts w:hint="eastAsia" w:ascii="仿宋_GB2312" w:hAnsi="仿宋_GB2312" w:eastAsia="仿宋_GB2312" w:cs="仿宋_GB2312"/>
          <w:bCs/>
          <w:color w:val="000000" w:themeColor="text1"/>
          <w:sz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ascii="仿宋_GB2312" w:hAnsi="仿宋_GB2312" w:eastAsia="仿宋_GB2312" w:cs="仿宋_GB2312"/>
          <w:sz w:val="32"/>
          <w:szCs w:val="32"/>
        </w:rPr>
      </w:pPr>
      <w:r>
        <w:rPr>
          <w:rFonts w:eastAsia="仿宋_GB2312"/>
          <w:sz w:val="32"/>
          <w:szCs w:val="32"/>
        </w:rPr>
        <w:t>2021</w:t>
      </w:r>
      <w:r>
        <w:rPr>
          <w:rFonts w:hint="eastAsia" w:eastAsia="仿宋_GB2312"/>
          <w:sz w:val="32"/>
          <w:szCs w:val="32"/>
        </w:rPr>
        <w:t>年度游戏</w:t>
      </w:r>
      <w:r>
        <w:rPr>
          <w:rFonts w:hint="eastAsia" w:ascii="仿宋_GB2312" w:hAnsi="仿宋_GB2312" w:eastAsia="仿宋_GB2312" w:cs="仿宋_GB2312"/>
          <w:sz w:val="32"/>
          <w:szCs w:val="32"/>
        </w:rPr>
        <w:t>产业研发机构落地奖励</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（一）申报主体应具备独立法人资格，且是在</w:t>
      </w:r>
      <w:r>
        <w:rPr>
          <w:rFonts w:hint="eastAsia" w:ascii="仿宋_GB2312" w:hAnsi="仿宋_GB2312" w:eastAsia="仿宋_GB2312" w:cs="仿宋_GB2312"/>
          <w:sz w:val="32"/>
          <w:szCs w:val="32"/>
        </w:rPr>
        <w:t>经开区</w:t>
      </w:r>
      <w:r>
        <w:rPr>
          <w:rFonts w:ascii="仿宋_GB2312" w:hAnsi="仿宋_GB2312" w:eastAsia="仿宋_GB2312" w:cs="仿宋_GB2312"/>
          <w:sz w:val="32"/>
          <w:szCs w:val="32"/>
        </w:rPr>
        <w:t>范围内注册、纳税并入统的企业。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eastAsia="仿宋_GB2312"/>
          <w:sz w:val="32"/>
          <w:szCs w:val="32"/>
        </w:rPr>
        <w:t>（二）申报主体</w:t>
      </w:r>
      <w:r>
        <w:rPr>
          <w:rFonts w:eastAsia="仿宋_GB2312"/>
          <w:sz w:val="32"/>
          <w:szCs w:val="32"/>
        </w:rPr>
        <w:t>实际生产、经营、研发活动在</w:t>
      </w:r>
      <w:r>
        <w:rPr>
          <w:rFonts w:hint="eastAsia" w:eastAsia="仿宋_GB2312"/>
          <w:sz w:val="32"/>
          <w:szCs w:val="32"/>
        </w:rPr>
        <w:t>经开区范围内；</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）申报主体在政策申报期内获得国家级、市级、区级</w:t>
      </w:r>
      <w:r>
        <w:rPr>
          <w:rFonts w:hint="eastAsia" w:ascii="仿宋_GB2312" w:hAnsi="仿宋_GB2312" w:eastAsia="仿宋_GB2312" w:cs="仿宋_GB2312"/>
          <w:sz w:val="32"/>
          <w:szCs w:val="32"/>
          <w:lang w:eastAsia="zh-CN"/>
        </w:rPr>
        <w:t>游戏领域</w:t>
      </w:r>
      <w:r>
        <w:rPr>
          <w:rFonts w:ascii="仿宋_GB2312" w:hAnsi="仿宋_GB2312" w:eastAsia="仿宋_GB2312" w:cs="仿宋_GB2312"/>
          <w:sz w:val="32"/>
          <w:szCs w:val="32"/>
        </w:rPr>
        <w:t>研发机构资质。</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eastAsia="仿宋_GB2312"/>
          <w:sz w:val="32"/>
          <w:szCs w:val="32"/>
        </w:rPr>
      </w:pPr>
      <w:bookmarkStart w:id="0" w:name="_Hlk114042221"/>
      <w:r>
        <w:rPr>
          <w:rFonts w:hint="eastAsia" w:ascii="仿宋_GB2312" w:eastAsia="仿宋_GB2312"/>
          <w:sz w:val="32"/>
          <w:szCs w:val="32"/>
        </w:rPr>
        <w:t>（一）对申报主体在202</w:t>
      </w:r>
      <w:r>
        <w:rPr>
          <w:rFonts w:ascii="仿宋_GB2312" w:eastAsia="仿宋_GB2312"/>
          <w:sz w:val="32"/>
          <w:szCs w:val="32"/>
        </w:rPr>
        <w:t>0</w:t>
      </w:r>
      <w:r>
        <w:rPr>
          <w:rFonts w:hint="eastAsia" w:ascii="仿宋_GB2312" w:eastAsia="仿宋_GB2312"/>
          <w:sz w:val="32"/>
          <w:szCs w:val="32"/>
        </w:rPr>
        <w:t>年1月1日-2021年12月31日期间新引进或新获批除</w:t>
      </w:r>
      <w:r>
        <w:rPr>
          <w:rFonts w:ascii="仿宋_GB2312" w:eastAsia="仿宋_GB2312"/>
          <w:sz w:val="32"/>
          <w:szCs w:val="32"/>
        </w:rPr>
        <w:t>科技部认定的国家重点实验室、国家技术创新中心</w:t>
      </w:r>
      <w:r>
        <w:rPr>
          <w:rFonts w:hint="eastAsia" w:ascii="仿宋_GB2312" w:eastAsia="仿宋_GB2312"/>
          <w:sz w:val="32"/>
          <w:szCs w:val="32"/>
        </w:rPr>
        <w:t>；</w:t>
      </w:r>
      <w:r>
        <w:rPr>
          <w:rFonts w:ascii="仿宋_GB2312" w:eastAsia="仿宋_GB2312"/>
          <w:sz w:val="32"/>
          <w:szCs w:val="32"/>
        </w:rPr>
        <w:t>国家发改委认定的国家工程实验室、国家工程研究中心、国家产业创新中心、国家企业技术中心</w:t>
      </w:r>
      <w:r>
        <w:rPr>
          <w:rFonts w:hint="eastAsia" w:ascii="仿宋_GB2312" w:eastAsia="仿宋_GB2312"/>
          <w:sz w:val="32"/>
          <w:szCs w:val="32"/>
        </w:rPr>
        <w:t>；</w:t>
      </w:r>
      <w:r>
        <w:rPr>
          <w:rFonts w:ascii="仿宋_GB2312" w:eastAsia="仿宋_GB2312"/>
          <w:sz w:val="32"/>
          <w:szCs w:val="32"/>
        </w:rPr>
        <w:t>工信部认定的国家制造业创新中心</w:t>
      </w:r>
      <w:r>
        <w:rPr>
          <w:rFonts w:hint="eastAsia" w:ascii="仿宋_GB2312" w:eastAsia="仿宋_GB2312"/>
          <w:sz w:val="32"/>
          <w:szCs w:val="32"/>
        </w:rPr>
        <w:t>之外的其他国家级相关资质的研发机构，一次性给予1000万元资金支持。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（二）对申报主体在202</w:t>
      </w:r>
      <w:r>
        <w:rPr>
          <w:rFonts w:ascii="仿宋_GB2312" w:eastAsia="仿宋_GB2312"/>
          <w:sz w:val="32"/>
          <w:szCs w:val="32"/>
        </w:rPr>
        <w:t>0</w:t>
      </w:r>
      <w:r>
        <w:rPr>
          <w:rFonts w:hint="eastAsia" w:ascii="仿宋_GB2312" w:eastAsia="仿宋_GB2312"/>
          <w:sz w:val="32"/>
          <w:szCs w:val="32"/>
        </w:rPr>
        <w:t>年1月1日-2021年12月31日期间新引进或新获批除</w:t>
      </w:r>
      <w:r>
        <w:rPr>
          <w:rFonts w:ascii="仿宋_GB2312" w:eastAsia="仿宋_GB2312"/>
          <w:sz w:val="32"/>
          <w:szCs w:val="32"/>
        </w:rPr>
        <w:t>北京市科委、中关村管委会认定的重点实验室、技术创新中心、工程技术研究中心、企业科技研究开发机构</w:t>
      </w:r>
      <w:r>
        <w:rPr>
          <w:rFonts w:hint="eastAsia" w:ascii="仿宋_GB2312" w:eastAsia="仿宋_GB2312"/>
          <w:sz w:val="32"/>
          <w:szCs w:val="32"/>
        </w:rPr>
        <w:t>；</w:t>
      </w:r>
      <w:r>
        <w:rPr>
          <w:rFonts w:ascii="仿宋_GB2312" w:eastAsia="仿宋_GB2312"/>
          <w:sz w:val="32"/>
          <w:szCs w:val="32"/>
        </w:rPr>
        <w:t>北京市发改委认定的工程实验室、工程研究中心</w:t>
      </w:r>
      <w:r>
        <w:rPr>
          <w:rFonts w:hint="eastAsia" w:ascii="仿宋_GB2312" w:eastAsia="仿宋_GB2312"/>
          <w:sz w:val="32"/>
          <w:szCs w:val="32"/>
        </w:rPr>
        <w:t>；</w:t>
      </w:r>
      <w:r>
        <w:rPr>
          <w:rFonts w:ascii="仿宋_GB2312" w:eastAsia="仿宋_GB2312"/>
          <w:sz w:val="32"/>
          <w:szCs w:val="32"/>
        </w:rPr>
        <w:t>北京市经信局认定的企业技术中心、产业创新中心</w:t>
      </w:r>
      <w:r>
        <w:rPr>
          <w:rFonts w:hint="eastAsia" w:ascii="仿宋_GB2312" w:eastAsia="仿宋_GB2312"/>
          <w:sz w:val="32"/>
          <w:szCs w:val="32"/>
        </w:rPr>
        <w:t>之外的其他北京市级相关资质的研发机构，一次性给予100万元资金支持。</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 w:eastAsia="zh-CN"/>
        </w:rPr>
        <w:t>（三）对申报主体在</w:t>
      </w:r>
      <w:r>
        <w:rPr>
          <w:rFonts w:hint="eastAsia" w:ascii="仿宋_GB2312" w:eastAsia="仿宋_GB2312"/>
          <w:sz w:val="32"/>
          <w:szCs w:val="32"/>
          <w:lang w:val="en-US" w:eastAsia="zh-CN"/>
        </w:rPr>
        <w:t>2020年1月-2021年12月31日期间新引进或新获批的由经开区认定的相关资质的研发机构，一次性给予50万元资金支持。</w:t>
      </w:r>
    </w:p>
    <w:bookmarkEnd w:id="0"/>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）上述资金支持，按照从高不重复执行。即，只按照支持对象所获最高级别资质给予相对应的资金支持，对于所获多个同级别资质的只给予一个资质资金支持。获得更高级别资质时，可以补足支持资金的差额。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）对于新引进的、资质在有效期内的研发机构给予支持。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）对于不是新引进的、资质有效期满后复核通过的研发机构不予支持。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）对于分公司获得研发机构资质的不予支持。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）对于新引进的、资质在有效期内的申报单位进行实地核查，查看是否在经开区范围内有实际办公场所和人员。如没有，则不予支持。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）申报单位应在经开区进行注册、纳税并进行统计登记，积极配合开发区疫情防控工作，积极履行入区协议的条款。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近三年有无企业法人被限制高消费，环保领域处罚5万元以上、安监领域处罚10万元以上，存在违法建设且在政策兑现前未完成整改，在财政、工商、税务、海关等部门有严重不良行为记录，以及不良行为发生后企业的处理情况。如有相关情况，则不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十一</w:t>
      </w:r>
      <w:r>
        <w:rPr>
          <w:rFonts w:hint="eastAsia" w:ascii="仿宋_GB2312" w:eastAsia="仿宋_GB2312"/>
          <w:sz w:val="32"/>
          <w:szCs w:val="32"/>
        </w:rPr>
        <w:t>）申报单位是否为《北京市新增产业的禁止和限制目录》禁止类和限制类范围的企业。如有相关情况，则不予支持。</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1.2021</w:t>
      </w:r>
      <w:r>
        <w:rPr>
          <w:rFonts w:hint="eastAsia" w:ascii="仿宋_GB2312" w:hAnsi="仿宋_GB2312" w:eastAsia="仿宋_GB2312" w:cs="仿宋_GB2312"/>
          <w:color w:val="000000" w:themeColor="text1"/>
          <w:sz w:val="32"/>
          <w:szCs w:val="32"/>
        </w:rPr>
        <w:t>年度游戏产业研发机构落地奖励申报表，在线填写；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1" w:name="_Hlk115191650"/>
      <w:r>
        <w:rPr>
          <w:rFonts w:hint="eastAsia" w:ascii="仿宋_GB2312" w:hAnsi="仿宋_GB2312" w:eastAsia="仿宋_GB2312" w:cs="仿宋_GB2312"/>
          <w:color w:val="000000" w:themeColor="text1"/>
          <w:sz w:val="32"/>
          <w:szCs w:val="32"/>
        </w:rPr>
        <w:t>选取电子证照</w:t>
      </w:r>
      <w:bookmarkEnd w:id="1"/>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2" w:name="_Hlk115191672"/>
      <w:r>
        <w:rPr>
          <w:rFonts w:hint="eastAsia" w:ascii="仿宋_GB2312" w:hAnsi="仿宋_GB2312" w:eastAsia="仿宋_GB2312" w:cs="仿宋_GB2312"/>
          <w:color w:val="000000" w:themeColor="text1"/>
          <w:sz w:val="32"/>
          <w:szCs w:val="32"/>
        </w:rPr>
        <w:t>下载模板填写，</w:t>
      </w:r>
      <w:bookmarkEnd w:id="2"/>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3" w:name="_Hlk113290483"/>
      <w:r>
        <w:rPr>
          <w:rFonts w:hint="eastAsia" w:ascii="仿宋_GB2312" w:hAnsi="仿宋_GB2312" w:eastAsia="仿宋_GB2312" w:cs="仿宋_GB2312"/>
          <w:color w:val="000000" w:themeColor="text1"/>
          <w:sz w:val="32"/>
          <w:szCs w:val="32"/>
        </w:rPr>
        <w:t>5. 2</w:t>
      </w:r>
      <w:r>
        <w:rPr>
          <w:rFonts w:ascii="仿宋_GB2312" w:hAnsi="仿宋_GB2312" w:eastAsia="仿宋_GB2312" w:cs="仿宋_GB2312"/>
          <w:color w:val="000000" w:themeColor="text1"/>
          <w:sz w:val="32"/>
          <w:szCs w:val="32"/>
        </w:rPr>
        <w:t>021</w:t>
      </w:r>
      <w:r>
        <w:rPr>
          <w:rFonts w:hint="eastAsia" w:ascii="仿宋_GB2312" w:hAnsi="仿宋_GB2312" w:eastAsia="仿宋_GB2312" w:cs="仿宋_GB2312"/>
          <w:color w:val="000000" w:themeColor="text1"/>
          <w:sz w:val="32"/>
          <w:szCs w:val="32"/>
        </w:rPr>
        <w:t>年度企业入库期完税证明，原件彩色扫描上传；</w:t>
      </w:r>
    </w:p>
    <w:bookmarkEnd w:id="3"/>
    <w:p>
      <w:pPr>
        <w:pStyle w:val="2"/>
        <w:spacing w:line="560" w:lineRule="exact"/>
        <w:ind w:firstLine="664" w:firstLineChars="200"/>
        <w:rPr>
          <w:rFonts w:ascii="仿宋_GB2312" w:hAnsi="仿宋_GB2312" w:eastAsia="仿宋_GB2312" w:cs="仿宋_GB2312"/>
          <w:sz w:val="32"/>
          <w:szCs w:val="32"/>
        </w:rPr>
      </w:pPr>
      <w:bookmarkStart w:id="4" w:name="_Hlk114042239"/>
      <w:r>
        <w:rPr>
          <w:rFonts w:hint="eastAsia" w:ascii="仿宋_GB2312" w:hAnsi="仿宋_GB2312" w:eastAsia="仿宋_GB2312" w:cs="仿宋_GB2312"/>
          <w:color w:val="000000" w:themeColor="text1"/>
          <w:spacing w:val="6"/>
          <w:sz w:val="32"/>
          <w:szCs w:val="32"/>
        </w:rPr>
        <w:t>6.</w:t>
      </w:r>
      <w:r>
        <w:rPr>
          <w:rFonts w:ascii="仿宋_GB2312" w:hAnsi="仿宋_GB2312" w:eastAsia="仿宋_GB2312" w:cs="仿宋_GB2312"/>
          <w:color w:val="000000" w:themeColor="text1"/>
          <w:spacing w:val="6"/>
          <w:sz w:val="32"/>
          <w:szCs w:val="32"/>
        </w:rPr>
        <w:t>2020</w:t>
      </w:r>
      <w:r>
        <w:rPr>
          <w:rFonts w:hint="eastAsia" w:ascii="仿宋_GB2312" w:hAnsi="仿宋_GB2312" w:eastAsia="仿宋_GB2312" w:cs="仿宋_GB2312"/>
          <w:color w:val="000000" w:themeColor="text1"/>
          <w:spacing w:val="6"/>
          <w:sz w:val="32"/>
          <w:szCs w:val="32"/>
        </w:rPr>
        <w:t>年-</w:t>
      </w:r>
      <w:r>
        <w:rPr>
          <w:rFonts w:ascii="仿宋_GB2312" w:hAnsi="仿宋_GB2312" w:eastAsia="仿宋_GB2312" w:cs="仿宋_GB2312"/>
          <w:color w:val="000000" w:themeColor="text1"/>
          <w:spacing w:val="6"/>
          <w:sz w:val="32"/>
          <w:szCs w:val="32"/>
        </w:rPr>
        <w:t>2021</w:t>
      </w:r>
      <w:r>
        <w:rPr>
          <w:rFonts w:hint="eastAsia" w:ascii="仿宋_GB2312" w:hAnsi="仿宋_GB2312" w:eastAsia="仿宋_GB2312" w:cs="仿宋_GB2312"/>
          <w:color w:val="000000" w:themeColor="text1"/>
          <w:spacing w:val="6"/>
          <w:sz w:val="32"/>
          <w:szCs w:val="32"/>
        </w:rPr>
        <w:t>年期间相关</w:t>
      </w:r>
      <w:r>
        <w:rPr>
          <w:rFonts w:hint="eastAsia" w:ascii="仿宋_GB2312" w:hAnsi="仿宋_GB2312" w:eastAsia="仿宋_GB2312" w:cs="仿宋_GB2312"/>
          <w:sz w:val="32"/>
          <w:szCs w:val="32"/>
        </w:rPr>
        <w:t>研发机构批复文件和证书,</w:t>
      </w:r>
      <w:r>
        <w:rPr>
          <w:rFonts w:hint="eastAsia" w:ascii="仿宋_GB2312" w:hAnsi="仿宋_GB2312" w:eastAsia="仿宋_GB2312" w:cs="仿宋_GB2312"/>
          <w:color w:val="000000" w:themeColor="text1"/>
          <w:sz w:val="32"/>
          <w:szCs w:val="32"/>
        </w:rPr>
        <w:t>原件彩色扫描上传</w:t>
      </w:r>
      <w:r>
        <w:rPr>
          <w:rFonts w:hint="eastAsia" w:ascii="仿宋_GB2312" w:hAnsi="仿宋_GB2312" w:eastAsia="仿宋_GB2312" w:cs="仿宋_GB2312"/>
          <w:sz w:val="32"/>
          <w:szCs w:val="32"/>
        </w:rPr>
        <w:t>。</w:t>
      </w:r>
    </w:p>
    <w:bookmarkEnd w:id="4"/>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：经开区工委宣传文化部局对审核通过的申报主体拟定兑现扶持奖励金额。</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年10月13日至20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bookmarkStart w:id="5" w:name="_GoBack"/>
      <w:bookmarkEnd w:id="5"/>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F62F2"/>
    <w:rsid w:val="001145E7"/>
    <w:rsid w:val="0016122C"/>
    <w:rsid w:val="00161422"/>
    <w:rsid w:val="00161CCE"/>
    <w:rsid w:val="001B160C"/>
    <w:rsid w:val="001C0B79"/>
    <w:rsid w:val="00203194"/>
    <w:rsid w:val="00271142"/>
    <w:rsid w:val="002838D9"/>
    <w:rsid w:val="002A0105"/>
    <w:rsid w:val="0033744C"/>
    <w:rsid w:val="00360EF1"/>
    <w:rsid w:val="00395968"/>
    <w:rsid w:val="003A6F11"/>
    <w:rsid w:val="004564E2"/>
    <w:rsid w:val="00457B4D"/>
    <w:rsid w:val="004838DC"/>
    <w:rsid w:val="004C6FDA"/>
    <w:rsid w:val="00530DBE"/>
    <w:rsid w:val="006507D0"/>
    <w:rsid w:val="00697A2E"/>
    <w:rsid w:val="006A1513"/>
    <w:rsid w:val="006D0140"/>
    <w:rsid w:val="00710378"/>
    <w:rsid w:val="007340CF"/>
    <w:rsid w:val="00792E93"/>
    <w:rsid w:val="0083453E"/>
    <w:rsid w:val="00844BDB"/>
    <w:rsid w:val="008B6AF2"/>
    <w:rsid w:val="008C4FA8"/>
    <w:rsid w:val="00900A14"/>
    <w:rsid w:val="00923A77"/>
    <w:rsid w:val="0098077A"/>
    <w:rsid w:val="009E52A3"/>
    <w:rsid w:val="00A3406B"/>
    <w:rsid w:val="00AC6E24"/>
    <w:rsid w:val="00B74D80"/>
    <w:rsid w:val="00B77094"/>
    <w:rsid w:val="00BF1FF6"/>
    <w:rsid w:val="00C122AB"/>
    <w:rsid w:val="00C37D99"/>
    <w:rsid w:val="00C67ACC"/>
    <w:rsid w:val="00CD0341"/>
    <w:rsid w:val="00D460B2"/>
    <w:rsid w:val="00D668C9"/>
    <w:rsid w:val="00D76185"/>
    <w:rsid w:val="00D85A9F"/>
    <w:rsid w:val="00EA199B"/>
    <w:rsid w:val="00F46A56"/>
    <w:rsid w:val="00F6265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7F172E"/>
    <w:rsid w:val="15AF3425"/>
    <w:rsid w:val="15B34768"/>
    <w:rsid w:val="15F61B74"/>
    <w:rsid w:val="160B7C23"/>
    <w:rsid w:val="162B13C4"/>
    <w:rsid w:val="16C70B72"/>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874FDF"/>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6D1547"/>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BFAD24"/>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B01B88"/>
    <w:rsid w:val="4BF702DB"/>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771704"/>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9FB3030"/>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492DA0"/>
    <w:rsid w:val="5E60221A"/>
    <w:rsid w:val="5E852B06"/>
    <w:rsid w:val="5EBB0773"/>
    <w:rsid w:val="5EC9424F"/>
    <w:rsid w:val="5F3F6EB7"/>
    <w:rsid w:val="5F595787"/>
    <w:rsid w:val="5F8D1C46"/>
    <w:rsid w:val="5FBD03D0"/>
    <w:rsid w:val="5FE50B69"/>
    <w:rsid w:val="5FE9ACE6"/>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478094"/>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E3A4D4"/>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CBF4862"/>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352</Words>
  <Characters>2008</Characters>
  <Lines>16</Lines>
  <Paragraphs>4</Paragraphs>
  <TotalTime>0</TotalTime>
  <ScaleCrop>false</ScaleCrop>
  <LinksUpToDate>false</LinksUpToDate>
  <CharactersWithSpaces>2356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周伟</cp:lastModifiedBy>
  <cp:lastPrinted>2022-10-01T18:02:00Z</cp:lastPrinted>
  <dcterms:modified xsi:type="dcterms:W3CDTF">2022-10-09T07:28:56Z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