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2022年度</w:t>
      </w:r>
      <w:r>
        <w:rPr>
          <w:rFonts w:hint="eastAsia" w:ascii="方正小标宋简体" w:hAnsi="方正小标宋简体" w:eastAsia="方正小标宋简体" w:cs="方正小标宋简体"/>
          <w:sz w:val="44"/>
          <w:szCs w:val="44"/>
        </w:rPr>
        <w:t>高端服务机构总部运营补贴政策</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事项办事指南</w:t>
      </w:r>
    </w:p>
    <w:p>
      <w:pPr>
        <w:rPr>
          <w:rFonts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sz w:val="32"/>
          <w:szCs w:val="32"/>
        </w:rPr>
        <w:t>一、政策依据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sz w:val="32"/>
          <w:szCs w:val="32"/>
        </w:rPr>
      </w:pPr>
      <w:r>
        <w:rPr>
          <w:rFonts w:hint="eastAsia" w:ascii="仿宋_GB2312" w:hAnsi="仿宋_GB2312" w:eastAsia="仿宋_GB2312" w:cs="仿宋_GB2312"/>
          <w:sz w:val="32"/>
          <w:szCs w:val="32"/>
        </w:rPr>
        <w:t>《北京经济技术开发区支持高精尖产业人才创新创业实施办法（试行）》中第六条“</w:t>
      </w:r>
      <w:r>
        <w:rPr>
          <w:rFonts w:hint="eastAsia" w:ascii="仿宋_GB2312" w:hAnsi="黑体" w:eastAsia="仿宋_GB2312" w:cs="黑体"/>
          <w:sz w:val="32"/>
          <w:szCs w:val="32"/>
        </w:rPr>
        <w:t>在经开区设立总部的高端服务机构，经认定后，可连续三年享受每年</w:t>
      </w:r>
      <w:r>
        <w:rPr>
          <w:rFonts w:ascii="仿宋_GB2312" w:hAnsi="黑体" w:eastAsia="仿宋_GB2312" w:cs="黑体"/>
          <w:sz w:val="32"/>
          <w:szCs w:val="32"/>
        </w:rPr>
        <w:t>30万元的</w:t>
      </w:r>
      <w:r>
        <w:rPr>
          <w:rFonts w:hint="eastAsia" w:ascii="仿宋_GB2312" w:hAnsi="黑体" w:eastAsia="仿宋_GB2312" w:cs="黑体"/>
          <w:sz w:val="32"/>
          <w:szCs w:val="32"/>
        </w:rPr>
        <w:t>运营经费补贴</w:t>
      </w:r>
      <w:r>
        <w:rPr>
          <w:rFonts w:ascii="仿宋_GB2312" w:hAnsi="黑体" w:eastAsia="仿宋_GB2312" w:cs="黑体"/>
          <w:sz w:val="32"/>
          <w:szCs w:val="32"/>
        </w:rPr>
        <w:t>。</w:t>
      </w:r>
      <w:r>
        <w:rPr>
          <w:rFonts w:hint="eastAsia" w:ascii="仿宋_GB2312" w:hAnsi="黑体" w:eastAsia="仿宋_GB2312" w:cs="黑体"/>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二、申报事项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cs="仿宋_GB2312"/>
          <w:sz w:val="32"/>
          <w:szCs w:val="32"/>
        </w:rPr>
      </w:pPr>
      <w:r>
        <w:rPr>
          <w:rFonts w:hint="eastAsia" w:eastAsia="仿宋_GB2312" w:cs="仿宋_GB2312"/>
          <w:sz w:val="32"/>
          <w:szCs w:val="32"/>
          <w:lang w:val="en-US" w:eastAsia="zh-CN"/>
        </w:rPr>
        <w:t>2022年度</w:t>
      </w:r>
      <w:r>
        <w:rPr>
          <w:rFonts w:hint="eastAsia" w:eastAsia="仿宋_GB2312" w:cs="仿宋_GB2312"/>
          <w:sz w:val="32"/>
          <w:szCs w:val="32"/>
        </w:rPr>
        <w:t>高端服务机构总部运营补贴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黑体"/>
          <w:sz w:val="32"/>
          <w:szCs w:val="32"/>
        </w:rPr>
      </w:pPr>
      <w:r>
        <w:rPr>
          <w:rFonts w:hint="eastAsia" w:ascii="仿宋_GB2312" w:hAnsi="黑体" w:eastAsia="仿宋_GB2312" w:cs="黑体"/>
          <w:sz w:val="32"/>
          <w:szCs w:val="32"/>
        </w:rPr>
        <w:t>（一）工商注册地、税务关系、统计</w:t>
      </w:r>
      <w:r>
        <w:rPr>
          <w:rFonts w:hint="eastAsia" w:ascii="仿宋_GB2312" w:hAnsi="仿宋_GB2312" w:eastAsia="仿宋_GB2312" w:cs="仿宋_GB2312"/>
          <w:sz w:val="32"/>
          <w:szCs w:val="32"/>
        </w:rPr>
        <w:t>关系</w:t>
      </w:r>
      <w:r>
        <w:rPr>
          <w:rFonts w:hint="eastAsia" w:ascii="仿宋_GB2312" w:hAnsi="黑体" w:eastAsia="仿宋_GB2312" w:cs="黑体"/>
          <w:sz w:val="32"/>
          <w:szCs w:val="32"/>
        </w:rPr>
        <w:t>在经开区范围内，具有独立法人资格、有健全的财务制度、对经开区社会经济发展具有带动作用。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黑体"/>
          <w:sz w:val="32"/>
          <w:szCs w:val="32"/>
        </w:rPr>
      </w:pPr>
      <w:r>
        <w:rPr>
          <w:rFonts w:hint="eastAsia" w:ascii="仿宋_GB2312" w:hAnsi="黑体" w:eastAsia="仿宋_GB2312" w:cs="黑体"/>
          <w:sz w:val="32"/>
          <w:szCs w:val="32"/>
        </w:rPr>
        <w:t>（二）申请运营补贴的高端服务机构包括从事为生产活动提供研发设计与其他技术服务，货物运输、通用航空生产、仓储和邮政快递服务，信息服务，金融服务，节能与环保服务，生产性租赁服务，商务服务，人力资源管理与职业教育培训服务，批发与贸易经纪代理服务，生产性支持服务等国民经济行业分类中符合生产性服务业特征的企业或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黑体"/>
          <w:sz w:val="32"/>
          <w:szCs w:val="32"/>
        </w:rPr>
      </w:pPr>
      <w:r>
        <w:rPr>
          <w:rFonts w:hint="eastAsia" w:ascii="仿宋_GB2312" w:hAnsi="黑体" w:eastAsia="仿宋_GB2312" w:cs="黑体"/>
          <w:sz w:val="32"/>
          <w:szCs w:val="32"/>
        </w:rPr>
        <w:t>（三）高端服务机构总部企业包括全国总部、区域总部、功能性总部，截至202</w:t>
      </w:r>
      <w:r>
        <w:rPr>
          <w:rFonts w:hint="eastAsia" w:ascii="仿宋_GB2312" w:hAnsi="黑体" w:eastAsia="仿宋_GB2312" w:cs="黑体"/>
          <w:sz w:val="32"/>
          <w:szCs w:val="32"/>
          <w:lang w:val="en-US" w:eastAsia="zh-CN"/>
        </w:rPr>
        <w:t>1</w:t>
      </w:r>
      <w:r>
        <w:rPr>
          <w:rFonts w:hint="eastAsia" w:ascii="仿宋_GB2312" w:hAnsi="黑体" w:eastAsia="仿宋_GB2312" w:cs="黑体"/>
          <w:sz w:val="32"/>
          <w:szCs w:val="32"/>
        </w:rPr>
        <w:t>年度，全资或绝对控股公司、分公司不少于3家，其中区外公司不少于2家（即区内申请总部企业1家，区外控股子公司或分公司不少于2家，总企业数不少于3家）。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黑体"/>
          <w:sz w:val="32"/>
          <w:szCs w:val="32"/>
        </w:rPr>
      </w:pPr>
      <w:r>
        <w:rPr>
          <w:rFonts w:hint="eastAsia" w:ascii="仿宋_GB2312" w:hAnsi="黑体" w:eastAsia="仿宋_GB2312" w:cs="黑体"/>
          <w:sz w:val="32"/>
          <w:szCs w:val="32"/>
        </w:rPr>
        <w:t>（四）202</w:t>
      </w:r>
      <w:r>
        <w:rPr>
          <w:rFonts w:hint="eastAsia" w:ascii="仿宋_GB2312" w:hAnsi="黑体" w:eastAsia="仿宋_GB2312" w:cs="黑体"/>
          <w:sz w:val="32"/>
          <w:szCs w:val="32"/>
          <w:lang w:val="en-US" w:eastAsia="zh-CN"/>
        </w:rPr>
        <w:t>1</w:t>
      </w:r>
      <w:r>
        <w:rPr>
          <w:rFonts w:hint="eastAsia" w:ascii="仿宋_GB2312" w:hAnsi="黑体" w:eastAsia="仿宋_GB2312" w:cs="黑体"/>
          <w:sz w:val="32"/>
          <w:szCs w:val="32"/>
        </w:rPr>
        <w:t>年度对经开区经济贡献不少于500万元。成立不满一年的企业，成立之日至申报之日经济贡献不少于500万元。</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黑体" w:eastAsia="仿宋_GB2312" w:cs="黑体"/>
          <w:sz w:val="32"/>
          <w:szCs w:val="32"/>
        </w:rPr>
      </w:pPr>
      <w:r>
        <w:rPr>
          <w:rFonts w:hint="eastAsia" w:ascii="仿宋_GB2312" w:hAnsi="黑体" w:eastAsia="仿宋_GB2312" w:cs="黑体"/>
          <w:sz w:val="32"/>
          <w:szCs w:val="32"/>
        </w:rPr>
        <w:t>在经开区设立总部的高端服务机构，经认定后，自202</w:t>
      </w:r>
      <w:r>
        <w:rPr>
          <w:rFonts w:hint="eastAsia" w:ascii="仿宋_GB2312" w:hAnsi="黑体" w:eastAsia="仿宋_GB2312" w:cs="黑体"/>
          <w:sz w:val="32"/>
          <w:szCs w:val="32"/>
          <w:lang w:val="en-US" w:eastAsia="zh-CN"/>
        </w:rPr>
        <w:t>1</w:t>
      </w:r>
      <w:r>
        <w:rPr>
          <w:rFonts w:hint="eastAsia" w:ascii="仿宋_GB2312" w:hAnsi="黑体" w:eastAsia="仿宋_GB2312" w:cs="黑体"/>
          <w:sz w:val="32"/>
          <w:szCs w:val="32"/>
        </w:rPr>
        <w:t>年度起，每年可申报30万元的运营经费补贴，同一主体连续支持不超过三年。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五、申报材料及要求</w:t>
      </w:r>
    </w:p>
    <w:p>
      <w:pPr>
        <w:keepNext w:val="0"/>
        <w:keepLines w:val="0"/>
        <w:pageBreakBefore w:val="0"/>
        <w:kinsoku/>
        <w:wordWrap/>
        <w:overflowPunct/>
        <w:topLinePunct w:val="0"/>
        <w:autoSpaceDE/>
        <w:autoSpaceDN/>
        <w:bidi w:val="0"/>
        <w:adjustRightInd/>
        <w:snapToGrid/>
        <w:spacing w:line="560" w:lineRule="exact"/>
        <w:ind w:firstLine="664" w:firstLineChars="200"/>
        <w:textAlignment w:val="auto"/>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黑体"/>
          <w:sz w:val="32"/>
          <w:szCs w:val="32"/>
          <w:lang w:eastAsia="zh-CN"/>
        </w:rPr>
      </w:pPr>
      <w:r>
        <w:rPr>
          <w:rFonts w:hint="eastAsia" w:ascii="仿宋_GB2312" w:hAnsi="仿宋_GB2312" w:eastAsia="仿宋_GB2312" w:cs="仿宋_GB2312"/>
          <w:sz w:val="32"/>
          <w:szCs w:val="32"/>
        </w:rPr>
        <w:t>1.</w:t>
      </w:r>
      <w:r>
        <w:rPr>
          <w:rFonts w:hint="eastAsia" w:ascii="仿宋_GB2312" w:hAnsi="黑体" w:eastAsia="仿宋_GB2312" w:cs="黑体"/>
          <w:sz w:val="32"/>
          <w:szCs w:val="32"/>
          <w:lang w:eastAsia="zh-CN"/>
        </w:rPr>
        <w:t>高端服务机构总部运营补贴事项申报表，在线填写</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仿宋_GB2312" w:eastAsia="仿宋_GB2312" w:cs="仿宋_GB2312"/>
          <w:sz w:val="32"/>
          <w:szCs w:val="32"/>
        </w:rPr>
        <w:t>2.企业营业执照，</w:t>
      </w:r>
      <w:r>
        <w:rPr>
          <w:rFonts w:hint="eastAsia" w:ascii="仿宋_GB2312" w:hAnsi="仿宋_GB2312" w:eastAsia="仿宋_GB2312" w:cs="仿宋_GB2312"/>
          <w:sz w:val="32"/>
          <w:szCs w:val="32"/>
          <w:lang w:val="en-US" w:eastAsia="zh-CN"/>
        </w:rPr>
        <w:t>选取电子证照</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黑体" w:eastAsia="仿宋_GB2312" w:cs="黑体"/>
          <w:sz w:val="32"/>
          <w:szCs w:val="32"/>
          <w:lang w:val="en-US" w:eastAsia="zh-CN"/>
        </w:rPr>
        <w:t>3</w:t>
      </w:r>
      <w:r>
        <w:rPr>
          <w:rFonts w:hint="eastAsia" w:ascii="仿宋_GB2312" w:hAnsi="黑体" w:eastAsia="仿宋_GB2312" w:cs="黑体"/>
          <w:sz w:val="32"/>
          <w:szCs w:val="32"/>
        </w:rPr>
        <w:t>.</w:t>
      </w:r>
      <w:r>
        <w:rPr>
          <w:rFonts w:hint="eastAsia" w:ascii="仿宋_GB2312" w:hAnsi="仿宋_GB2312" w:eastAsia="仿宋_GB2312" w:cs="仿宋_GB2312"/>
          <w:sz w:val="32"/>
          <w:szCs w:val="32"/>
        </w:rPr>
        <w:t>承诺书，</w:t>
      </w:r>
      <w:r>
        <w:rPr>
          <w:rFonts w:hint="eastAsia" w:ascii="仿宋_GB2312" w:hAnsi="仿宋_GB2312" w:eastAsia="仿宋_GB2312" w:cs="仿宋_GB2312"/>
          <w:spacing w:val="6"/>
          <w:sz w:val="32"/>
          <w:szCs w:val="32"/>
        </w:rPr>
        <w:t>签字</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2"/>
        <w:rPr>
          <w:rFonts w:ascii="仿宋_GB2312" w:hAnsi="仿宋_GB2312" w:eastAsia="仿宋_GB2312" w:cs="仿宋_GB2312"/>
          <w:sz w:val="32"/>
          <w:szCs w:val="32"/>
        </w:rPr>
      </w:pPr>
      <w:r>
        <w:rPr>
          <w:rFonts w:hint="eastAsia" w:ascii="仿宋_GB2312" w:hAnsi="黑体" w:eastAsia="仿宋_GB2312" w:cs="黑体"/>
          <w:sz w:val="32"/>
          <w:szCs w:val="32"/>
        </w:rPr>
        <w:t>4.</w:t>
      </w:r>
      <w:r>
        <w:rPr>
          <w:rFonts w:hint="eastAsia" w:ascii="仿宋_GB2312" w:hAnsi="仿宋_GB2312" w:eastAsia="仿宋_GB2312" w:cs="仿宋_GB2312"/>
          <w:sz w:val="32"/>
          <w:szCs w:val="32"/>
        </w:rPr>
        <w:t>银行</w:t>
      </w:r>
      <w:r>
        <w:rPr>
          <w:rFonts w:hint="eastAsia" w:ascii="仿宋_GB2312" w:hAnsi="仿宋_GB2312" w:eastAsia="仿宋_GB2312" w:cs="仿宋_GB2312"/>
          <w:sz w:val="32"/>
          <w:szCs w:val="32"/>
          <w:lang w:eastAsia="zh-CN"/>
        </w:rPr>
        <w:t>账户信息</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下载模板填写，加盖公章，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黑体"/>
          <w:sz w:val="32"/>
          <w:szCs w:val="32"/>
          <w:lang w:eastAsia="zh-CN"/>
        </w:rPr>
      </w:pPr>
      <w:r>
        <w:rPr>
          <w:rFonts w:hint="eastAsia" w:ascii="仿宋_GB2312" w:hAnsi="黑体" w:eastAsia="仿宋_GB2312" w:cs="黑体"/>
          <w:sz w:val="32"/>
          <w:szCs w:val="32"/>
        </w:rPr>
        <w:t>5.公司章程及分、子公司章程</w:t>
      </w:r>
      <w:r>
        <w:rPr>
          <w:rFonts w:hint="eastAsia" w:ascii="仿宋_GB2312" w:hAnsi="黑体" w:eastAsia="仿宋_GB2312" w:cs="黑体"/>
          <w:sz w:val="32"/>
          <w:szCs w:val="32"/>
          <w:lang w:eastAsia="zh-CN"/>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黑体"/>
          <w:sz w:val="32"/>
          <w:szCs w:val="32"/>
          <w:lang w:eastAsia="zh-CN"/>
        </w:rPr>
      </w:pPr>
      <w:r>
        <w:rPr>
          <w:rFonts w:hint="eastAsia" w:ascii="仿宋_GB2312" w:hAnsi="黑体" w:eastAsia="仿宋_GB2312" w:cs="黑体"/>
          <w:sz w:val="32"/>
          <w:szCs w:val="32"/>
        </w:rPr>
        <w:t>6.企业组织架构说明文件</w:t>
      </w:r>
      <w:r>
        <w:rPr>
          <w:rFonts w:hint="eastAsia" w:ascii="仿宋_GB2312" w:hAnsi="黑体" w:eastAsia="仿宋_GB2312" w:cs="黑体"/>
          <w:sz w:val="32"/>
          <w:szCs w:val="32"/>
          <w:lang w:eastAsia="zh-CN"/>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7.对经开区服务</w:t>
      </w:r>
      <w:r>
        <w:rPr>
          <w:rFonts w:hint="eastAsia" w:ascii="仿宋_GB2312" w:hAnsi="黑体" w:eastAsia="仿宋_GB2312" w:cs="黑体"/>
          <w:sz w:val="32"/>
          <w:szCs w:val="32"/>
        </w:rPr>
        <w:t>情况</w:t>
      </w:r>
      <w:r>
        <w:rPr>
          <w:rFonts w:hint="eastAsia" w:ascii="仿宋_GB2312" w:hAnsi="仿宋_GB2312" w:eastAsia="仿宋_GB2312" w:cs="仿宋_GB2312"/>
          <w:sz w:val="32"/>
          <w:szCs w:val="32"/>
        </w:rPr>
        <w:t>说明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pacing w:val="6"/>
          <w:sz w:val="32"/>
          <w:szCs w:val="32"/>
        </w:rPr>
        <w:t>加盖公章，</w:t>
      </w:r>
      <w:r>
        <w:rPr>
          <w:rFonts w:ascii="仿宋_GB2312" w:hAnsi="仿宋_GB2312" w:eastAsia="仿宋_GB2312" w:cs="仿宋_GB2312"/>
          <w:spacing w:val="6"/>
          <w:sz w:val="32"/>
          <w:szCs w:val="32"/>
        </w:rPr>
        <w:t>彩色</w:t>
      </w:r>
      <w:r>
        <w:rPr>
          <w:rFonts w:hint="eastAsia" w:ascii="仿宋_GB2312" w:hAnsi="仿宋_GB2312" w:eastAsia="仿宋_GB2312" w:cs="仿宋_GB2312"/>
          <w:spacing w:val="6"/>
          <w:sz w:val="32"/>
          <w:szCs w:val="32"/>
        </w:rPr>
        <w:t>扫描</w:t>
      </w:r>
      <w:r>
        <w:rPr>
          <w:rFonts w:ascii="仿宋_GB2312" w:hAnsi="仿宋_GB2312" w:eastAsia="仿宋_GB2312" w:cs="仿宋_GB2312"/>
          <w:spacing w:val="6"/>
          <w:sz w:val="32"/>
          <w:szCs w:val="32"/>
        </w:rPr>
        <w:t>上传</w:t>
      </w:r>
      <w:r>
        <w:rPr>
          <w:rFonts w:hint="eastAsia" w:ascii="仿宋_GB2312" w:hAnsi="仿宋_GB2312" w:eastAsia="仿宋_GB2312" w:cs="仿宋_GB2312"/>
          <w:spacing w:val="6"/>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w:t>
      </w:r>
      <w:r>
        <w:rPr>
          <w:rFonts w:hint="eastAsia" w:ascii="仿宋_GB2312" w:hAnsi="仿宋_GB2312" w:eastAsia="仿宋_GB2312" w:cs="仿宋_GB2312"/>
          <w:sz w:val="32"/>
          <w:szCs w:val="32"/>
          <w:lang w:eastAsia="zh-CN"/>
        </w:rPr>
        <w:t>账户信息</w:t>
      </w:r>
      <w:r>
        <w:rPr>
          <w:rFonts w:hint="eastAsia" w:ascii="仿宋_GB2312" w:hAnsi="仿宋_GB2312" w:eastAsia="仿宋_GB2312" w:cs="仿宋_GB2312"/>
          <w:sz w:val="32"/>
          <w:szCs w:val="32"/>
        </w:rPr>
        <w:t>无需装订，加盖公章，一并递交至受理窗口。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六、办理程序</w:t>
      </w:r>
    </w:p>
    <w:p>
      <w:pPr>
        <w:pStyle w:val="7"/>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（一）网上申报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7"/>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（二）初审</w:t>
      </w:r>
      <w:r>
        <w:rPr>
          <w:rFonts w:hint="eastAsia" w:ascii="仿宋_GB2312" w:hAnsi="仿宋_GB2312" w:eastAsia="仿宋_GB2312" w:cs="仿宋_GB2312"/>
          <w:color w:val="000000"/>
          <w:kern w:val="2"/>
          <w:sz w:val="32"/>
          <w:szCs w:val="32"/>
        </w:rPr>
        <w:t>：经开区政务服务中心对申报主体提交的材料进行</w:t>
      </w:r>
      <w:r>
        <w:rPr>
          <w:rFonts w:hint="eastAsia" w:ascii="仿宋_GB2312" w:hAnsi="仿宋_GB2312" w:eastAsia="仿宋_GB2312" w:cs="仿宋_GB2312"/>
          <w:color w:val="000000"/>
          <w:sz w:val="32"/>
          <w:szCs w:val="32"/>
        </w:rPr>
        <w:t>完整性</w:t>
      </w:r>
      <w:r>
        <w:rPr>
          <w:rFonts w:hint="eastAsia" w:ascii="仿宋_GB2312" w:hAnsi="仿宋_GB2312" w:eastAsia="仿宋_GB2312" w:cs="仿宋_GB2312"/>
          <w:color w:val="000000"/>
          <w:kern w:val="2"/>
          <w:sz w:val="32"/>
          <w:szCs w:val="32"/>
        </w:rPr>
        <w:t>审查，材料不齐全或不符合要求的，告知申报主体补正材料，申报主体按时、按要求补正材料。</w:t>
      </w:r>
    </w:p>
    <w:p>
      <w:pPr>
        <w:pStyle w:val="7"/>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（三）审核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营商合作局</w:t>
      </w:r>
      <w:r>
        <w:rPr>
          <w:rFonts w:hint="eastAsia" w:ascii="仿宋_GB2312" w:hAnsi="仿宋_GB2312" w:eastAsia="仿宋_GB2312" w:cs="仿宋_GB2312"/>
          <w:color w:val="000000"/>
          <w:kern w:val="2"/>
          <w:sz w:val="32"/>
          <w:szCs w:val="32"/>
        </w:rPr>
        <w:t>对申请材料进行实质审核。</w:t>
      </w:r>
    </w:p>
    <w:p>
      <w:pPr>
        <w:pStyle w:val="7"/>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（四）专家评审：</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营商合作</w:t>
      </w:r>
      <w:r>
        <w:rPr>
          <w:rFonts w:hint="eastAsia" w:ascii="仿宋_GB2312" w:hAnsi="仿宋_GB2312" w:eastAsia="仿宋_GB2312" w:cs="仿宋_GB2312"/>
          <w:color w:val="000000"/>
          <w:kern w:val="2"/>
          <w:sz w:val="32"/>
          <w:szCs w:val="32"/>
        </w:rPr>
        <w:t>局组织专家线下对申请材料进行评审，评审后将结果上传到系统。</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（五）线下受理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（六）确</w:t>
      </w:r>
      <w:r>
        <w:rPr>
          <w:rFonts w:hint="eastAsia" w:ascii="仿宋_GB2312" w:hAnsi="仿宋_GB2312" w:eastAsia="仿宋_GB2312" w:cs="仿宋_GB2312"/>
          <w:b/>
          <w:bCs/>
          <w:color w:val="000000"/>
          <w:kern w:val="2"/>
          <w:sz w:val="32"/>
          <w:szCs w:val="32"/>
          <w:lang w:val="en-US" w:eastAsia="zh-CN"/>
        </w:rPr>
        <w:t>定</w:t>
      </w:r>
      <w:r>
        <w:rPr>
          <w:rFonts w:hint="eastAsia" w:ascii="仿宋_GB2312" w:hAnsi="仿宋_GB2312" w:eastAsia="仿宋_GB2312" w:cs="仿宋_GB2312"/>
          <w:b/>
          <w:bCs/>
          <w:color w:val="000000"/>
          <w:kern w:val="2"/>
          <w:sz w:val="32"/>
          <w:szCs w:val="32"/>
        </w:rPr>
        <w:t>扶持结果</w:t>
      </w:r>
      <w:r>
        <w:rPr>
          <w:rFonts w:hint="eastAsia" w:ascii="仿宋_GB2312" w:hAnsi="仿宋_GB2312" w:eastAsia="仿宋_GB2312" w:cs="仿宋_GB2312"/>
          <w:color w:val="000000"/>
          <w:kern w:val="2"/>
          <w:sz w:val="32"/>
          <w:szCs w:val="32"/>
          <w:lang w:eastAsia="zh-CN"/>
        </w:rPr>
        <w:t>：</w:t>
      </w:r>
      <w:r>
        <w:rPr>
          <w:rFonts w:hint="eastAsia" w:ascii="仿宋_GB2312" w:hAnsi="仿宋_GB2312" w:eastAsia="仿宋_GB2312" w:cs="仿宋_GB2312"/>
          <w:color w:val="000000"/>
          <w:kern w:val="2"/>
          <w:sz w:val="32"/>
          <w:szCs w:val="32"/>
        </w:rPr>
        <w:t>经开</w:t>
      </w:r>
      <w:r>
        <w:rPr>
          <w:rFonts w:hint="eastAsia" w:ascii="仿宋_GB2312" w:hAnsi="仿宋_GB2312" w:eastAsia="仿宋_GB2312" w:cs="仿宋_GB2312"/>
          <w:color w:val="000000"/>
          <w:kern w:val="2"/>
          <w:sz w:val="32"/>
          <w:szCs w:val="32"/>
          <w:lang w:eastAsia="zh-CN"/>
        </w:rPr>
        <w:t>区营商合作</w:t>
      </w:r>
      <w:r>
        <w:rPr>
          <w:rFonts w:hint="eastAsia" w:ascii="仿宋_GB2312" w:hAnsi="仿宋_GB2312" w:eastAsia="仿宋_GB2312" w:cs="仿宋_GB2312"/>
          <w:color w:val="000000"/>
          <w:kern w:val="2"/>
          <w:sz w:val="32"/>
          <w:szCs w:val="32"/>
        </w:rPr>
        <w:t>局对审核通过的申报主体拟定兑现扶持奖励金额。</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ascii="仿宋_GB2312" w:hAnsi="仿宋_GB2312" w:eastAsia="仿宋_GB2312" w:cs="仿宋_GB2312"/>
          <w:color w:val="000000"/>
          <w:kern w:val="2"/>
          <w:sz w:val="32"/>
          <w:szCs w:val="32"/>
        </w:rPr>
      </w:pPr>
      <w:r>
        <w:rPr>
          <w:rFonts w:hint="eastAsia" w:ascii="仿宋_GB2312" w:hAnsi="仿宋_GB2312" w:eastAsia="仿宋_GB2312" w:cs="仿宋_GB2312"/>
          <w:b/>
          <w:bCs/>
          <w:color w:val="000000"/>
          <w:kern w:val="2"/>
          <w:sz w:val="32"/>
          <w:szCs w:val="32"/>
        </w:rPr>
        <w:t>（七）公示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7"/>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3"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b/>
          <w:bCs/>
          <w:color w:val="000000"/>
          <w:kern w:val="2"/>
          <w:sz w:val="32"/>
          <w:szCs w:val="32"/>
        </w:rPr>
        <w:t>（八）资金拨付</w:t>
      </w:r>
      <w:r>
        <w:rPr>
          <w:rFonts w:hint="eastAsia" w:ascii="仿宋_GB2312" w:hAnsi="仿宋_GB2312" w:eastAsia="仿宋_GB2312" w:cs="仿宋_GB2312"/>
          <w:color w:val="000000"/>
          <w:kern w:val="2"/>
          <w:sz w:val="32"/>
          <w:szCs w:val="32"/>
        </w:rPr>
        <w:t>：经公示无异议的，经开区财政审计局完成资金拨付工作。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七、主责部门</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
          <w:bCs/>
          <w:sz w:val="32"/>
          <w:szCs w:val="32"/>
        </w:rPr>
      </w:pPr>
      <w:r>
        <w:rPr>
          <w:rFonts w:hint="eastAsia" w:eastAsia="仿宋_GB2312" w:cs="仿宋_GB2312"/>
          <w:sz w:val="32"/>
          <w:szCs w:val="32"/>
        </w:rPr>
        <w:t>经开区营商合作局。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八、受理窗口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北京经济技术开发区亦城国际中心2层政务服务大厅“政策申报”窗口。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九、申报时间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十、联系人及联系方式</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申报咨询：政务服务大厅</w:t>
      </w:r>
      <w:r>
        <w:rPr>
          <w:rFonts w:hint="eastAsia" w:ascii="仿宋_GB2312" w:hAnsi="黑体" w:eastAsia="仿宋_GB2312" w:cs="黑体"/>
          <w:sz w:val="32"/>
          <w:szCs w:val="32"/>
        </w:rPr>
        <w:t>“政策申报”</w:t>
      </w:r>
      <w:r>
        <w:rPr>
          <w:rFonts w:hint="eastAsia" w:eastAsia="仿宋_GB2312"/>
          <w:sz w:val="32"/>
          <w:szCs w:val="32"/>
        </w:rPr>
        <w:t>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w:t>
      </w:r>
      <w:r>
        <w:rPr>
          <w:rFonts w:hint="eastAsia" w:ascii="仿宋_GB2312" w:hAnsi="仿宋_GB2312" w:eastAsia="仿宋_GB2312" w:cs="仿宋_GB2312"/>
          <w:sz w:val="32"/>
          <w:szCs w:val="32"/>
          <w:lang w:val="en-US" w:eastAsia="zh-CN"/>
        </w:rPr>
        <w:t>68</w:t>
      </w:r>
      <w:r>
        <w:rPr>
          <w:rFonts w:hint="eastAsia" w:ascii="仿宋_GB2312" w:hAnsi="仿宋_GB2312" w:eastAsia="仿宋_GB2312" w:cs="仿宋_GB2312"/>
          <w:sz w:val="32"/>
          <w:szCs w:val="32"/>
        </w:rPr>
        <w:t>，工作日上午9:00—12:00，下午1:30—5:00。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政策解读：经开</w:t>
      </w:r>
      <w:r>
        <w:rPr>
          <w:rFonts w:hint="eastAsia" w:ascii="仿宋_GB2312" w:hAnsi="仿宋_GB2312" w:eastAsia="仿宋_GB2312" w:cs="仿宋_GB2312"/>
          <w:sz w:val="32"/>
          <w:szCs w:val="32"/>
        </w:rPr>
        <w:t>区营商合作局，联系人：沈冲 ，联系电话：13031009071，工作日上午9:00—12:00，下午2:00—6:00。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仿宋_GB2312"/>
          <w:sz w:val="32"/>
          <w:szCs w:val="32"/>
        </w:rPr>
      </w:pPr>
      <w:r>
        <w:rPr>
          <w:rFonts w:hint="eastAsia" w:eastAsia="仿宋_GB2312"/>
          <w:sz w:val="32"/>
          <w:szCs w:val="32"/>
        </w:rPr>
        <w:t>技术支持联系电话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十一、收费标准</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十二、特别说明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360" w:lineRule="auto"/>
        <w:jc w:val="center"/>
      </w:pPr>
    </w:p>
    <w:p>
      <w:bookmarkStart w:id="0" w:name="_GoBack"/>
      <w:bookmarkEnd w:id="0"/>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8</w:t>
    </w:r>
    <w: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UzYzAzMzM1NWI4NWRmNGI2NjI5OGY0MTcyMTBjNzYifQ=="/>
  </w:docVars>
  <w:rsids>
    <w:rsidRoot w:val="00360EF1"/>
    <w:rsid w:val="0001192B"/>
    <w:rsid w:val="00036252"/>
    <w:rsid w:val="00062C5F"/>
    <w:rsid w:val="00096B07"/>
    <w:rsid w:val="000F62F2"/>
    <w:rsid w:val="00106FCD"/>
    <w:rsid w:val="00112F25"/>
    <w:rsid w:val="001145E7"/>
    <w:rsid w:val="0014725F"/>
    <w:rsid w:val="00161422"/>
    <w:rsid w:val="00161CCE"/>
    <w:rsid w:val="001B4E90"/>
    <w:rsid w:val="002838D9"/>
    <w:rsid w:val="002B413E"/>
    <w:rsid w:val="00360EF1"/>
    <w:rsid w:val="003D0A21"/>
    <w:rsid w:val="004017E9"/>
    <w:rsid w:val="00457B4D"/>
    <w:rsid w:val="004D5CC3"/>
    <w:rsid w:val="006D0140"/>
    <w:rsid w:val="00710378"/>
    <w:rsid w:val="007B3C11"/>
    <w:rsid w:val="007C4E1F"/>
    <w:rsid w:val="008332D3"/>
    <w:rsid w:val="00844BDB"/>
    <w:rsid w:val="00900A14"/>
    <w:rsid w:val="00904786"/>
    <w:rsid w:val="0092047F"/>
    <w:rsid w:val="009235F9"/>
    <w:rsid w:val="0098077A"/>
    <w:rsid w:val="009A0F81"/>
    <w:rsid w:val="00A80BDA"/>
    <w:rsid w:val="00B320C8"/>
    <w:rsid w:val="00B74D80"/>
    <w:rsid w:val="00BA0A41"/>
    <w:rsid w:val="00BE5CDB"/>
    <w:rsid w:val="00CC6483"/>
    <w:rsid w:val="00D02B39"/>
    <w:rsid w:val="00D47BA2"/>
    <w:rsid w:val="00D627C5"/>
    <w:rsid w:val="00D76185"/>
    <w:rsid w:val="00E24825"/>
    <w:rsid w:val="00EA199B"/>
    <w:rsid w:val="00EB5CA6"/>
    <w:rsid w:val="00FB0DBC"/>
    <w:rsid w:val="00FC7808"/>
    <w:rsid w:val="00FE20FE"/>
    <w:rsid w:val="01540D91"/>
    <w:rsid w:val="01586909"/>
    <w:rsid w:val="015C7ADB"/>
    <w:rsid w:val="01904DED"/>
    <w:rsid w:val="01CB7B50"/>
    <w:rsid w:val="01D948CF"/>
    <w:rsid w:val="020C0B78"/>
    <w:rsid w:val="0225322D"/>
    <w:rsid w:val="02297D4E"/>
    <w:rsid w:val="026102BC"/>
    <w:rsid w:val="0278373A"/>
    <w:rsid w:val="0290748C"/>
    <w:rsid w:val="03056B13"/>
    <w:rsid w:val="032269ED"/>
    <w:rsid w:val="037C128E"/>
    <w:rsid w:val="03987D96"/>
    <w:rsid w:val="03E353C9"/>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93955CA"/>
    <w:rsid w:val="09677F84"/>
    <w:rsid w:val="09FF2B6A"/>
    <w:rsid w:val="0A12715A"/>
    <w:rsid w:val="0A192B78"/>
    <w:rsid w:val="0A7A09DE"/>
    <w:rsid w:val="0A7A6E57"/>
    <w:rsid w:val="0AD40459"/>
    <w:rsid w:val="0B1708BD"/>
    <w:rsid w:val="0B3E75A5"/>
    <w:rsid w:val="0B401B24"/>
    <w:rsid w:val="0B6B119E"/>
    <w:rsid w:val="0B782C5C"/>
    <w:rsid w:val="0BD84C47"/>
    <w:rsid w:val="0BE45BB4"/>
    <w:rsid w:val="0BEE6FC8"/>
    <w:rsid w:val="0BF72154"/>
    <w:rsid w:val="0C3A5354"/>
    <w:rsid w:val="0C4C6FFF"/>
    <w:rsid w:val="0C804154"/>
    <w:rsid w:val="0C817D6C"/>
    <w:rsid w:val="0CD93D42"/>
    <w:rsid w:val="0D0138A5"/>
    <w:rsid w:val="0D920D6C"/>
    <w:rsid w:val="0D9E4973"/>
    <w:rsid w:val="0E4A7C7C"/>
    <w:rsid w:val="0E5672B2"/>
    <w:rsid w:val="0EAB08F2"/>
    <w:rsid w:val="0ED00FB9"/>
    <w:rsid w:val="0F193762"/>
    <w:rsid w:val="0F221A0E"/>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2723BB"/>
    <w:rsid w:val="14483333"/>
    <w:rsid w:val="144F1126"/>
    <w:rsid w:val="14942D13"/>
    <w:rsid w:val="14977ACF"/>
    <w:rsid w:val="14A407D6"/>
    <w:rsid w:val="15026CFF"/>
    <w:rsid w:val="151415E7"/>
    <w:rsid w:val="153730CA"/>
    <w:rsid w:val="15526AEE"/>
    <w:rsid w:val="15553FBA"/>
    <w:rsid w:val="15AF3425"/>
    <w:rsid w:val="15B34768"/>
    <w:rsid w:val="15F61B74"/>
    <w:rsid w:val="160B7C23"/>
    <w:rsid w:val="162B13C4"/>
    <w:rsid w:val="17261A0A"/>
    <w:rsid w:val="17286EDC"/>
    <w:rsid w:val="173A2F14"/>
    <w:rsid w:val="17415178"/>
    <w:rsid w:val="17AF44C7"/>
    <w:rsid w:val="17C45824"/>
    <w:rsid w:val="17C86D9E"/>
    <w:rsid w:val="183712FC"/>
    <w:rsid w:val="18DF1E8D"/>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602BD3"/>
    <w:rsid w:val="271005EA"/>
    <w:rsid w:val="2727206E"/>
    <w:rsid w:val="273D6D1B"/>
    <w:rsid w:val="275E3649"/>
    <w:rsid w:val="2768133E"/>
    <w:rsid w:val="27721755"/>
    <w:rsid w:val="27874815"/>
    <w:rsid w:val="281D6715"/>
    <w:rsid w:val="286873FE"/>
    <w:rsid w:val="288627FF"/>
    <w:rsid w:val="28942D3D"/>
    <w:rsid w:val="28A332E9"/>
    <w:rsid w:val="29D97CC6"/>
    <w:rsid w:val="2A1D0ADC"/>
    <w:rsid w:val="2A5F7219"/>
    <w:rsid w:val="2AB25697"/>
    <w:rsid w:val="2ACF7AB8"/>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D73427"/>
    <w:rsid w:val="2F2F2A58"/>
    <w:rsid w:val="2F5D1137"/>
    <w:rsid w:val="2F6E0190"/>
    <w:rsid w:val="2F8D4635"/>
    <w:rsid w:val="3012512B"/>
    <w:rsid w:val="30140526"/>
    <w:rsid w:val="306E5387"/>
    <w:rsid w:val="30AB0C90"/>
    <w:rsid w:val="310A0BC4"/>
    <w:rsid w:val="31281962"/>
    <w:rsid w:val="312A1C2B"/>
    <w:rsid w:val="315A3762"/>
    <w:rsid w:val="31624147"/>
    <w:rsid w:val="31D65AF9"/>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6744D66"/>
    <w:rsid w:val="36E95DAE"/>
    <w:rsid w:val="37184DFF"/>
    <w:rsid w:val="37B84612"/>
    <w:rsid w:val="37C93788"/>
    <w:rsid w:val="37EF6300"/>
    <w:rsid w:val="37FD7B6F"/>
    <w:rsid w:val="380942B0"/>
    <w:rsid w:val="382D54B8"/>
    <w:rsid w:val="38363290"/>
    <w:rsid w:val="383A3742"/>
    <w:rsid w:val="386D6E75"/>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906CBE"/>
    <w:rsid w:val="3AA934A6"/>
    <w:rsid w:val="3B0A5D15"/>
    <w:rsid w:val="3B6877C8"/>
    <w:rsid w:val="3BDA7DE5"/>
    <w:rsid w:val="3C2F160E"/>
    <w:rsid w:val="3C5F033A"/>
    <w:rsid w:val="3CD117BD"/>
    <w:rsid w:val="3CF83180"/>
    <w:rsid w:val="3D23696B"/>
    <w:rsid w:val="3D94503B"/>
    <w:rsid w:val="3DAA6DAB"/>
    <w:rsid w:val="3DD55352"/>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553C37"/>
    <w:rsid w:val="4275720E"/>
    <w:rsid w:val="42AB283A"/>
    <w:rsid w:val="438C7869"/>
    <w:rsid w:val="44256103"/>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74159DD"/>
    <w:rsid w:val="48045B63"/>
    <w:rsid w:val="484F2842"/>
    <w:rsid w:val="49006A23"/>
    <w:rsid w:val="492A682B"/>
    <w:rsid w:val="49596A53"/>
    <w:rsid w:val="49AE2D68"/>
    <w:rsid w:val="49C3065B"/>
    <w:rsid w:val="4A3148B7"/>
    <w:rsid w:val="4A3C2091"/>
    <w:rsid w:val="4A41431D"/>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A85F8D"/>
    <w:rsid w:val="4DD62215"/>
    <w:rsid w:val="4E2B5D5D"/>
    <w:rsid w:val="4E8B3508"/>
    <w:rsid w:val="4ED13285"/>
    <w:rsid w:val="4F1A6236"/>
    <w:rsid w:val="4F21794E"/>
    <w:rsid w:val="4F6A651C"/>
    <w:rsid w:val="4FA73771"/>
    <w:rsid w:val="4FD4377C"/>
    <w:rsid w:val="4FFF4C5B"/>
    <w:rsid w:val="50086DF5"/>
    <w:rsid w:val="508E5ABD"/>
    <w:rsid w:val="50A336F5"/>
    <w:rsid w:val="50BD79A6"/>
    <w:rsid w:val="510D1202"/>
    <w:rsid w:val="515D1CF8"/>
    <w:rsid w:val="515D60CA"/>
    <w:rsid w:val="51714084"/>
    <w:rsid w:val="51AA50CA"/>
    <w:rsid w:val="51D12D37"/>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E90CAC"/>
    <w:rsid w:val="59254995"/>
    <w:rsid w:val="595347E9"/>
    <w:rsid w:val="595E5D54"/>
    <w:rsid w:val="59667436"/>
    <w:rsid w:val="598177AB"/>
    <w:rsid w:val="598E51A0"/>
    <w:rsid w:val="59D21F08"/>
    <w:rsid w:val="59D74A3B"/>
    <w:rsid w:val="59E254CE"/>
    <w:rsid w:val="5A136301"/>
    <w:rsid w:val="5A32726C"/>
    <w:rsid w:val="5A55165E"/>
    <w:rsid w:val="5A5C093F"/>
    <w:rsid w:val="5AA36BE1"/>
    <w:rsid w:val="5AF64E2C"/>
    <w:rsid w:val="5AFE68EE"/>
    <w:rsid w:val="5B263105"/>
    <w:rsid w:val="5B505870"/>
    <w:rsid w:val="5B9546C3"/>
    <w:rsid w:val="5B982FC7"/>
    <w:rsid w:val="5BBE2157"/>
    <w:rsid w:val="5BE96A8D"/>
    <w:rsid w:val="5BF15375"/>
    <w:rsid w:val="5BF938B5"/>
    <w:rsid w:val="5C76716F"/>
    <w:rsid w:val="5C866EDB"/>
    <w:rsid w:val="5C973F92"/>
    <w:rsid w:val="5C9A1486"/>
    <w:rsid w:val="5C9A6C78"/>
    <w:rsid w:val="5CAC0B80"/>
    <w:rsid w:val="5CFF4E17"/>
    <w:rsid w:val="5D1237AB"/>
    <w:rsid w:val="5D442416"/>
    <w:rsid w:val="5D5B7524"/>
    <w:rsid w:val="5D731173"/>
    <w:rsid w:val="5DB61076"/>
    <w:rsid w:val="5DB96EBE"/>
    <w:rsid w:val="5DFA426F"/>
    <w:rsid w:val="5E60221A"/>
    <w:rsid w:val="5E852B06"/>
    <w:rsid w:val="5EC9424F"/>
    <w:rsid w:val="5F595787"/>
    <w:rsid w:val="5F8D1C46"/>
    <w:rsid w:val="5FBD03D0"/>
    <w:rsid w:val="601B4866"/>
    <w:rsid w:val="60303D05"/>
    <w:rsid w:val="60386110"/>
    <w:rsid w:val="60B75222"/>
    <w:rsid w:val="60F636C1"/>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25170"/>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140083"/>
    <w:rsid w:val="6A7C3B1B"/>
    <w:rsid w:val="6A9153AF"/>
    <w:rsid w:val="6B3F3AAD"/>
    <w:rsid w:val="6B891093"/>
    <w:rsid w:val="6BA55CDC"/>
    <w:rsid w:val="6C021C08"/>
    <w:rsid w:val="6C0A466E"/>
    <w:rsid w:val="6C1948F8"/>
    <w:rsid w:val="6C4D6808"/>
    <w:rsid w:val="6C725360"/>
    <w:rsid w:val="6C7908D0"/>
    <w:rsid w:val="6C8A0C15"/>
    <w:rsid w:val="6C926DA7"/>
    <w:rsid w:val="6CB16FB4"/>
    <w:rsid w:val="6CE4440B"/>
    <w:rsid w:val="6D034EA5"/>
    <w:rsid w:val="6D1334E9"/>
    <w:rsid w:val="6D231259"/>
    <w:rsid w:val="6D3203DA"/>
    <w:rsid w:val="6D5B79BC"/>
    <w:rsid w:val="6DCF4058"/>
    <w:rsid w:val="6DE9238A"/>
    <w:rsid w:val="6E2B147B"/>
    <w:rsid w:val="6E3A4154"/>
    <w:rsid w:val="6E893371"/>
    <w:rsid w:val="6E8C71B7"/>
    <w:rsid w:val="6EA731B5"/>
    <w:rsid w:val="6EB6086C"/>
    <w:rsid w:val="6F0C63B7"/>
    <w:rsid w:val="6F345206"/>
    <w:rsid w:val="6F941165"/>
    <w:rsid w:val="6FBC2D32"/>
    <w:rsid w:val="70007B47"/>
    <w:rsid w:val="702F1D23"/>
    <w:rsid w:val="705342C1"/>
    <w:rsid w:val="708D3892"/>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576C93"/>
    <w:rsid w:val="75684CCA"/>
    <w:rsid w:val="75711074"/>
    <w:rsid w:val="75893E4D"/>
    <w:rsid w:val="75D12F9F"/>
    <w:rsid w:val="75E87AE4"/>
    <w:rsid w:val="76206188"/>
    <w:rsid w:val="767E6D89"/>
    <w:rsid w:val="768B48F5"/>
    <w:rsid w:val="76A32A08"/>
    <w:rsid w:val="76DD66F2"/>
    <w:rsid w:val="76EC6FC3"/>
    <w:rsid w:val="7718563E"/>
    <w:rsid w:val="776A3F9A"/>
    <w:rsid w:val="77901978"/>
    <w:rsid w:val="77915027"/>
    <w:rsid w:val="779D4F4D"/>
    <w:rsid w:val="77CF1648"/>
    <w:rsid w:val="781D2C7A"/>
    <w:rsid w:val="783A56AF"/>
    <w:rsid w:val="78413BD7"/>
    <w:rsid w:val="788F717D"/>
    <w:rsid w:val="78915F29"/>
    <w:rsid w:val="78A77DB4"/>
    <w:rsid w:val="78B31BDE"/>
    <w:rsid w:val="78F21850"/>
    <w:rsid w:val="79141BD6"/>
    <w:rsid w:val="791B03AB"/>
    <w:rsid w:val="79714C66"/>
    <w:rsid w:val="79C31CF4"/>
    <w:rsid w:val="79D31F15"/>
    <w:rsid w:val="79D657CC"/>
    <w:rsid w:val="79E40A04"/>
    <w:rsid w:val="7A151811"/>
    <w:rsid w:val="7B3C52F1"/>
    <w:rsid w:val="7BA046F3"/>
    <w:rsid w:val="7BC37346"/>
    <w:rsid w:val="7BE71A21"/>
    <w:rsid w:val="7BF87E00"/>
    <w:rsid w:val="7C064DA7"/>
    <w:rsid w:val="7C0A2379"/>
    <w:rsid w:val="7C551636"/>
    <w:rsid w:val="7C5F3CF1"/>
    <w:rsid w:val="7C697AB1"/>
    <w:rsid w:val="7CB460B3"/>
    <w:rsid w:val="7CD445C4"/>
    <w:rsid w:val="7CED17F8"/>
    <w:rsid w:val="7D274421"/>
    <w:rsid w:val="7D3D452B"/>
    <w:rsid w:val="7D957EE1"/>
    <w:rsid w:val="7DFC4CA2"/>
    <w:rsid w:val="7E137B54"/>
    <w:rsid w:val="7E4E0E62"/>
    <w:rsid w:val="7E503B32"/>
    <w:rsid w:val="7E6B7B24"/>
    <w:rsid w:val="7E757D8F"/>
    <w:rsid w:val="7EFFFA7B"/>
    <w:rsid w:val="7FC14E2C"/>
    <w:rsid w:val="9F6F6015"/>
    <w:rsid w:val="C7DB93C8"/>
    <w:rsid w:val="DEF5E07B"/>
    <w:rsid w:val="F5DBA8F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rPr>
  </w:style>
  <w:style w:type="paragraph" w:styleId="3">
    <w:name w:val="annotation text"/>
    <w:basedOn w:val="1"/>
    <w:qFormat/>
    <w:uiPriority w:val="0"/>
    <w:pPr>
      <w:jc w:val="left"/>
    </w:pPr>
  </w:style>
  <w:style w:type="paragraph" w:styleId="4">
    <w:name w:val="Balloon Text"/>
    <w:basedOn w:val="1"/>
    <w:link w:val="13"/>
    <w:qFormat/>
    <w:uiPriority w:val="0"/>
    <w:rPr>
      <w:sz w:val="18"/>
      <w:szCs w:val="18"/>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Hyperlink"/>
    <w:basedOn w:val="9"/>
    <w:qFormat/>
    <w:uiPriority w:val="0"/>
    <w:rPr>
      <w:color w:val="0000FF"/>
      <w:u w:val="single"/>
    </w:rPr>
  </w:style>
  <w:style w:type="character" w:customStyle="1" w:styleId="11">
    <w:name w:val="页眉 字符"/>
    <w:basedOn w:val="9"/>
    <w:link w:val="6"/>
    <w:qFormat/>
    <w:uiPriority w:val="0"/>
    <w:rPr>
      <w:kern w:val="2"/>
      <w:sz w:val="18"/>
      <w:szCs w:val="18"/>
    </w:rPr>
  </w:style>
  <w:style w:type="character" w:customStyle="1" w:styleId="12">
    <w:name w:val="页脚 字符"/>
    <w:basedOn w:val="9"/>
    <w:link w:val="5"/>
    <w:qFormat/>
    <w:uiPriority w:val="0"/>
    <w:rPr>
      <w:kern w:val="2"/>
      <w:sz w:val="18"/>
      <w:szCs w:val="18"/>
    </w:rPr>
  </w:style>
  <w:style w:type="character" w:customStyle="1" w:styleId="13">
    <w:name w:val="批注框文本 字符"/>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1519</Words>
  <Characters>1668</Characters>
  <Lines>12</Lines>
  <Paragraphs>3</Paragraphs>
  <TotalTime>0</TotalTime>
  <ScaleCrop>false</ScaleCrop>
  <LinksUpToDate>false</LinksUpToDate>
  <CharactersWithSpaces>1669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2019-08-10T14:54:00Z</dcterms:created>
  <dc:creator>zkk</dc:creator>
  <cp:lastModifiedBy>彭博</cp:lastModifiedBy>
  <cp:lastPrinted>2020-03-20T11:03:00Z</cp:lastPrinted>
  <dcterms:modified xsi:type="dcterms:W3CDTF">2022-06-10T07:43:06Z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9AC0E20094C74FC696A00A714C3BE0EC</vt:lpwstr>
  </property>
</Properties>
</file>