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3CD6" w14:textId="77777777" w:rsidR="000F4BEC" w:rsidRDefault="00000000">
      <w:pPr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</w:p>
    <w:p w14:paraId="326192A5" w14:textId="637332B3" w:rsidR="000F4BEC" w:rsidRDefault="0004032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2021年固定资产投资奖励专项办事指南</w:t>
      </w:r>
    </w:p>
    <w:p w14:paraId="6443808E" w14:textId="77777777" w:rsidR="000F4BEC" w:rsidRDefault="000F4BEC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0CA7C5C5" w14:textId="77777777" w:rsidR="000F4BEC" w:rsidRDefault="00000000">
      <w:pPr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1B5AC58D" w14:textId="77777777" w:rsidR="000F4BEC" w:rsidRDefault="00000000">
      <w:pPr>
        <w:pStyle w:val="a9"/>
        <w:shd w:val="clear" w:color="auto" w:fill="FFFFFF"/>
        <w:spacing w:beforeAutospacing="0" w:afterAutospacing="0" w:line="420" w:lineRule="atLeast"/>
        <w:ind w:firstLine="480"/>
        <w:rPr>
          <w:rFonts w:ascii="仿宋_GB2312" w:eastAsia="仿宋_GB2312" w:hAnsi="微软雅黑" w:cs="Segoe UI" w:hint="eastAsia"/>
          <w:color w:val="303133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sz w:val="32"/>
          <w:szCs w:val="32"/>
        </w:rPr>
        <w:t>《关于贯彻新发展理念加快亦庄新城高质量发展的若干措施（3.0版）》（</w:t>
      </w:r>
      <w:proofErr w:type="gramStart"/>
      <w:r>
        <w:rPr>
          <w:rFonts w:ascii="仿宋_GB2312" w:eastAsia="仿宋_GB2312" w:hAnsi="微软雅黑" w:cs="Segoe UI" w:hint="eastAsia"/>
          <w:color w:val="303133"/>
          <w:sz w:val="32"/>
          <w:szCs w:val="32"/>
        </w:rPr>
        <w:t>京技管</w:t>
      </w:r>
      <w:proofErr w:type="gramEnd"/>
      <w:r>
        <w:rPr>
          <w:rFonts w:ascii="仿宋_GB2312" w:eastAsia="仿宋_GB2312" w:hAnsi="微软雅黑" w:cs="Segoe UI" w:hint="eastAsia"/>
          <w:color w:val="303133"/>
          <w:sz w:val="32"/>
          <w:szCs w:val="32"/>
        </w:rPr>
        <w:t>〔2021〕42号）中第十条固定资产投资等指标条款。</w:t>
      </w:r>
    </w:p>
    <w:p w14:paraId="0459616E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73FB7D11" w14:textId="77777777" w:rsidR="000F4BEC" w:rsidRDefault="00000000">
      <w:pPr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2021</w:t>
      </w:r>
      <w:r>
        <w:rPr>
          <w:rFonts w:eastAsia="仿宋_GB2312" w:cs="仿宋_GB2312" w:hint="eastAsia"/>
          <w:sz w:val="32"/>
          <w:szCs w:val="32"/>
        </w:rPr>
        <w:t>年固定资产投资奖励</w:t>
      </w:r>
    </w:p>
    <w:p w14:paraId="11F9F9A7" w14:textId="77777777" w:rsidR="000F4BEC" w:rsidRDefault="00000000">
      <w:pPr>
        <w:ind w:firstLineChars="200" w:firstLine="64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三、申报条件</w:t>
      </w:r>
    </w:p>
    <w:p w14:paraId="3DEB348A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Hlk62812091"/>
      <w:r>
        <w:rPr>
          <w:rFonts w:ascii="仿宋_GB2312" w:eastAsia="仿宋_GB2312" w:hAnsi="仿宋_GB2312" w:cs="仿宋_GB2312" w:hint="eastAsia"/>
          <w:sz w:val="32"/>
          <w:szCs w:val="32"/>
        </w:rPr>
        <w:t>申报条件。申报主体应同时符合以下各项条件：</w:t>
      </w:r>
    </w:p>
    <w:p w14:paraId="034B66CE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申请主体为经开区</w:t>
      </w:r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（亦庄新城）</w:t>
      </w: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范围内从事生产活动的企业、机构；</w:t>
      </w:r>
    </w:p>
    <w:p w14:paraId="7EB3AA0D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（二）具有独立法人资格、实行独立核算；</w:t>
      </w:r>
    </w:p>
    <w:p w14:paraId="4D8F9DEC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（三）在经开区范围内依法注册、纳税、入统；</w:t>
      </w:r>
    </w:p>
    <w:p w14:paraId="19AA588E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（四）实际生产、经营、研发活动在经开区；</w:t>
      </w:r>
    </w:p>
    <w:p w14:paraId="3713EFB1" w14:textId="77777777" w:rsidR="000F4BEC" w:rsidRDefault="00000000">
      <w:pPr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（五）申请主体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积极配合经开区新型冠状病毒感染的肺炎预防控制工作、</w:t>
      </w: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固定资产投资工作，且近3年内在财政、工商、税务、银行、海关等部门无严重不良行为记录。严重不良行为记录包括不限于以下：</w:t>
      </w:r>
    </w:p>
    <w:p w14:paraId="12DF244F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1.法人被限制高消费；</w:t>
      </w:r>
    </w:p>
    <w:p w14:paraId="1580975C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lastRenderedPageBreak/>
        <w:t>2.环保领域处罚5万元以上、安</w:t>
      </w:r>
      <w:proofErr w:type="gramStart"/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监领域</w:t>
      </w:r>
      <w:proofErr w:type="gramEnd"/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处罚10万元以上；</w:t>
      </w:r>
    </w:p>
    <w:p w14:paraId="013B61CB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3.存在套取政府财政补贴资金行为；</w:t>
      </w:r>
    </w:p>
    <w:p w14:paraId="5E235327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4.产生社会负面影响较大的行为。</w:t>
      </w:r>
    </w:p>
    <w:bookmarkEnd w:id="0"/>
    <w:p w14:paraId="0C39F808" w14:textId="77777777" w:rsidR="000F4BEC" w:rsidRDefault="00000000">
      <w:pPr>
        <w:ind w:firstLineChars="200" w:firstLine="64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四、支持内容及标准</w:t>
      </w:r>
    </w:p>
    <w:p w14:paraId="26ED0953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近三年开工的产业项目（房地产项目除外）且在2021年实施固定资产投资1000万元及以上的，按固定资产投资额（土地购置费用除外）的1%给予资金奖励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E8B7464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（二）奖励资金全年最高兑现</w:t>
      </w:r>
      <w:r>
        <w:rPr>
          <w:rFonts w:ascii="仿宋_GB2312" w:eastAsia="仿宋_GB2312" w:hAnsi="微软雅黑" w:cs="Segoe UI"/>
          <w:color w:val="303133"/>
          <w:kern w:val="0"/>
          <w:sz w:val="32"/>
          <w:szCs w:val="32"/>
        </w:rPr>
        <w:t>3</w:t>
      </w: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000万元。</w:t>
      </w:r>
    </w:p>
    <w:p w14:paraId="76FD05DA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（三）</w:t>
      </w:r>
      <w:bookmarkStart w:id="1" w:name="_Hlk62811988"/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实际奖励金额以万元为单位，舍去不足万元部分。</w:t>
      </w:r>
      <w:bookmarkEnd w:id="1"/>
    </w:p>
    <w:p w14:paraId="63D68131" w14:textId="77777777" w:rsidR="000F4BEC" w:rsidRDefault="00000000">
      <w:pPr>
        <w:pStyle w:val="a9"/>
        <w:widowControl/>
        <w:spacing w:beforeAutospacing="0" w:afterAutospacing="0"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color w:val="40404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color w:val="404040"/>
          <w:sz w:val="32"/>
          <w:szCs w:val="32"/>
        </w:rPr>
        <w:t>单家企业享受政策奖励总额不超过该企业2021年区域经济贡献的50%，常态化疫情防控、提升创新能力类条款除外，申报主体为行业协会、联盟等非营利组织的除外。</w:t>
      </w:r>
    </w:p>
    <w:p w14:paraId="37271E87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五、申报材料及要求</w:t>
      </w:r>
    </w:p>
    <w:p w14:paraId="72CADFD5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bookmarkStart w:id="2" w:name="_Hlk62812122"/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（一）申报材料</w:t>
      </w:r>
    </w:p>
    <w:p w14:paraId="6BF9D075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1.企业固定资产投资奖励申报表，在线填写；</w:t>
      </w:r>
    </w:p>
    <w:p w14:paraId="69BF0FDD" w14:textId="77777777" w:rsidR="000F4BEC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2.企业营业执照，加盖公章，彩色扫描上传；</w:t>
      </w:r>
    </w:p>
    <w:bookmarkEnd w:id="2"/>
    <w:p w14:paraId="61D078C2" w14:textId="77777777" w:rsidR="000F4BEC" w:rsidRDefault="00000000">
      <w:pPr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3.承诺书，下载模板填写，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签字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加盖公章，原件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彩色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扫描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上传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15B5A4C3" w14:textId="080F4EB5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4.企业开户许可证，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加盖公章，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彩色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扫描</w:t>
      </w:r>
      <w:r>
        <w:rPr>
          <w:rFonts w:ascii="仿宋_GB2312" w:eastAsia="仿宋_GB2312" w:hAnsi="仿宋_GB2312" w:cs="仿宋_GB2312"/>
          <w:spacing w:val="6"/>
          <w:sz w:val="32"/>
          <w:szCs w:val="32"/>
        </w:rPr>
        <w:t>上传</w:t>
      </w:r>
      <w:r w:rsidR="00037C2E"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</w:t>
      </w:r>
    </w:p>
    <w:p w14:paraId="4E7883CA" w14:textId="63705514" w:rsidR="00037C2E" w:rsidRDefault="00037C2E">
      <w:pPr>
        <w:ind w:firstLineChars="200" w:firstLine="664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5.</w:t>
      </w:r>
      <w:r w:rsidRPr="00037C2E">
        <w:rPr>
          <w:rFonts w:ascii="仿宋_GB2312" w:eastAsia="仿宋_GB2312" w:hAnsi="仿宋_GB2312" w:cs="仿宋_GB2312" w:hint="eastAsia"/>
          <w:spacing w:val="6"/>
          <w:sz w:val="32"/>
          <w:szCs w:val="32"/>
        </w:rPr>
        <w:t>相关证明材料，加盖公章，彩色扫描上传。</w:t>
      </w:r>
    </w:p>
    <w:p w14:paraId="747E9119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（二）打印纸质材料要求</w:t>
      </w:r>
    </w:p>
    <w:p w14:paraId="36915821" w14:textId="77777777" w:rsidR="000F4BEC" w:rsidRDefault="00000000">
      <w:pPr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收到打印纸质材料短信通知后，在3个工作日内从平台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下载带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水印全套申报材料进行打印，一式两份有序装订（整本首页、骑缝盖章），其中银行账户信息无需装订，加盖公章，一并递交至受理窗口。</w:t>
      </w:r>
    </w:p>
    <w:p w14:paraId="00EEC122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6273F257" w14:textId="77777777" w:rsidR="000F4BEC" w:rsidRDefault="00000000">
      <w:pPr>
        <w:pStyle w:val="a9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微软雅黑" w:cs="Segoe UI" w:hint="eastAsia"/>
          <w:color w:val="303133"/>
          <w:sz w:val="32"/>
          <w:szCs w:val="32"/>
        </w:rPr>
        <w:t>申报主体于2022年</w:t>
      </w:r>
      <w:r>
        <w:rPr>
          <w:rFonts w:ascii="仿宋_GB2312" w:eastAsia="仿宋_GB2312" w:hAnsi="微软雅黑" w:cs="Segoe UI"/>
          <w:color w:val="303133"/>
          <w:sz w:val="32"/>
          <w:szCs w:val="32"/>
        </w:rPr>
        <w:t>2</w:t>
      </w:r>
      <w:r>
        <w:rPr>
          <w:rFonts w:ascii="仿宋_GB2312" w:eastAsia="仿宋_GB2312" w:hAnsi="微软雅黑" w:cs="Segoe UI" w:hint="eastAsia"/>
          <w:color w:val="303133"/>
          <w:sz w:val="32"/>
          <w:szCs w:val="32"/>
        </w:rPr>
        <w:t>月22日前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通过经开区官网</w:t>
      </w:r>
      <w:r>
        <w:rPr>
          <w:rFonts w:ascii="仿宋_GB2312" w:eastAsia="仿宋_GB2312" w:hAnsi="仿宋_GB2312" w:cs="仿宋_GB2312" w:hint="eastAsia"/>
          <w:sz w:val="32"/>
          <w:szCs w:val="32"/>
        </w:rPr>
        <w:t>中政策兑现模块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进入经开区政策兑现综合服务平台，</w:t>
      </w:r>
      <w:r>
        <w:rPr>
          <w:rFonts w:ascii="仿宋_GB2312" w:eastAsia="仿宋_GB2312" w:hAnsi="仿宋_GB2312" w:cs="仿宋_GB2312" w:hint="eastAsia"/>
          <w:sz w:val="32"/>
          <w:szCs w:val="32"/>
        </w:rPr>
        <w:t>或使用360浏览器的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极速模式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登陆网址：zcdx.kfqgw.beijing.gov.cn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，注册登录后进行项目申报。如未在规定时间内提交申请的，视为自动放弃。</w:t>
      </w:r>
    </w:p>
    <w:p w14:paraId="1524EE44" w14:textId="77777777" w:rsidR="000F4BEC" w:rsidRDefault="00000000">
      <w:pPr>
        <w:pStyle w:val="a9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：经开区政务服务中心对申报主体提交的材料进行完整性审查，材料不齐全或不符合要求的，告知申报主体补正材料，申报主体按时、按要求补正材料。</w:t>
      </w:r>
    </w:p>
    <w:p w14:paraId="44D572E8" w14:textId="77777777" w:rsidR="000F4BEC" w:rsidRDefault="00000000">
      <w:pPr>
        <w:pStyle w:val="a9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：经开区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经济发展局会同相关部门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对申请材料进行实质审核。</w:t>
      </w:r>
    </w:p>
    <w:p w14:paraId="4BA5FDB4" w14:textId="77777777" w:rsidR="000F4BEC" w:rsidRDefault="00000000">
      <w:pPr>
        <w:pStyle w:val="a9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：经开区政务服务中心对审核通过的申报主体进行公示。</w:t>
      </w:r>
    </w:p>
    <w:p w14:paraId="3A02D0E9" w14:textId="77777777" w:rsidR="000F4BEC" w:rsidRDefault="00000000">
      <w:pPr>
        <w:pStyle w:val="a9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：经公示无异议的，经开区财政审计局完成资金拨付工作。</w:t>
      </w:r>
    </w:p>
    <w:p w14:paraId="1915516A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七、主责部门</w:t>
      </w:r>
    </w:p>
    <w:p w14:paraId="61E11005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经开区经济发展局</w:t>
      </w:r>
    </w:p>
    <w:p w14:paraId="123078B8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八、受理窗口</w:t>
      </w:r>
    </w:p>
    <w:p w14:paraId="6893E9B5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北京经济技术开发区亦城国际中心2层政务服务大厅“政策申报”窗口</w:t>
      </w:r>
    </w:p>
    <w:p w14:paraId="0D79ADCF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100D84A4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年2月8日至20</w:t>
      </w:r>
      <w:r>
        <w:rPr>
          <w:rFonts w:ascii="仿宋_GB2312" w:eastAsia="仿宋_GB2312" w:hAnsi="仿宋_GB2312" w:cs="仿宋_GB2312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月22日</w:t>
      </w:r>
    </w:p>
    <w:p w14:paraId="71A64205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十、联系人及联系方式</w:t>
      </w:r>
    </w:p>
    <w:p w14:paraId="123FADBC" w14:textId="77777777" w:rsidR="000F4BEC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申报咨询：政务服务大厅“政策申报”窗口，联系电话：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010-67857687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010-67857878转4；010-67857668，工作日9:00-17:00。</w:t>
      </w:r>
    </w:p>
    <w:p w14:paraId="2FF8B8C6" w14:textId="77777777" w:rsidR="000F4BEC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政策解读：经开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区经济发展局。联系人：</w:t>
      </w: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黎春雷</w:t>
      </w:r>
      <w:r>
        <w:rPr>
          <w:rFonts w:ascii="仿宋_GB2312" w:eastAsia="仿宋_GB2312" w:hAnsi="仿宋_GB2312" w:cs="仿宋_GB2312" w:hint="eastAsia"/>
          <w:sz w:val="32"/>
          <w:szCs w:val="32"/>
        </w:rPr>
        <w:t>，陈珺；联系电话：010-</w:t>
      </w: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678</w:t>
      </w:r>
      <w:r>
        <w:rPr>
          <w:rFonts w:ascii="仿宋_GB2312" w:eastAsia="仿宋_GB2312" w:hAnsi="微软雅黑" w:cs="Segoe UI"/>
          <w:color w:val="303133"/>
          <w:kern w:val="0"/>
          <w:sz w:val="32"/>
          <w:szCs w:val="32"/>
        </w:rPr>
        <w:t>81337</w:t>
      </w:r>
      <w:r>
        <w:rPr>
          <w:rFonts w:ascii="仿宋_GB2312" w:eastAsia="仿宋_GB2312" w:hAnsi="仿宋_GB2312" w:cs="仿宋_GB2312" w:hint="eastAsia"/>
          <w:sz w:val="32"/>
          <w:szCs w:val="32"/>
        </w:rPr>
        <w:t>，67885761；工作日9:00-18:00。</w:t>
      </w:r>
    </w:p>
    <w:p w14:paraId="73D55599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技术支持联系电话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：010-67857638或使用平台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右侧浮窗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的智能客服，电话联系的时间为工作日9:00-18:00。</w:t>
      </w:r>
    </w:p>
    <w:p w14:paraId="5A41CE55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2995878B" w14:textId="77777777" w:rsidR="000F4BE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687DB237" w14:textId="77777777" w:rsidR="000F4BEC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392AD633" w14:textId="77777777" w:rsidR="000F4BEC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sectPr w:rsidR="000F4B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EF1"/>
    <w:rsid w:val="C7DB93C8"/>
    <w:rsid w:val="DEF5E07B"/>
    <w:rsid w:val="F5DBA8FA"/>
    <w:rsid w:val="0001192B"/>
    <w:rsid w:val="00037C2E"/>
    <w:rsid w:val="00040328"/>
    <w:rsid w:val="00062C5F"/>
    <w:rsid w:val="000F4BEC"/>
    <w:rsid w:val="000F62F2"/>
    <w:rsid w:val="001145E7"/>
    <w:rsid w:val="00154704"/>
    <w:rsid w:val="00161422"/>
    <w:rsid w:val="00161CCE"/>
    <w:rsid w:val="00175AC5"/>
    <w:rsid w:val="001C48FA"/>
    <w:rsid w:val="00217867"/>
    <w:rsid w:val="00243C9F"/>
    <w:rsid w:val="00266865"/>
    <w:rsid w:val="002838D9"/>
    <w:rsid w:val="0029314D"/>
    <w:rsid w:val="00310A5D"/>
    <w:rsid w:val="00360EF1"/>
    <w:rsid w:val="00397130"/>
    <w:rsid w:val="00457B4D"/>
    <w:rsid w:val="0049260B"/>
    <w:rsid w:val="004D7FF0"/>
    <w:rsid w:val="00556347"/>
    <w:rsid w:val="005B1A0B"/>
    <w:rsid w:val="006C52AA"/>
    <w:rsid w:val="006D0140"/>
    <w:rsid w:val="00710378"/>
    <w:rsid w:val="00715006"/>
    <w:rsid w:val="007B4B06"/>
    <w:rsid w:val="007B74DE"/>
    <w:rsid w:val="007C0F02"/>
    <w:rsid w:val="008006C5"/>
    <w:rsid w:val="008058AD"/>
    <w:rsid w:val="00844BDB"/>
    <w:rsid w:val="00861413"/>
    <w:rsid w:val="008E0F8B"/>
    <w:rsid w:val="008F31C1"/>
    <w:rsid w:val="00900A14"/>
    <w:rsid w:val="00960F35"/>
    <w:rsid w:val="0098077A"/>
    <w:rsid w:val="009E6239"/>
    <w:rsid w:val="00A0689F"/>
    <w:rsid w:val="00A07B04"/>
    <w:rsid w:val="00A07C78"/>
    <w:rsid w:val="00B74D80"/>
    <w:rsid w:val="00B93941"/>
    <w:rsid w:val="00BA77AC"/>
    <w:rsid w:val="00C651F7"/>
    <w:rsid w:val="00C7251E"/>
    <w:rsid w:val="00C81B9A"/>
    <w:rsid w:val="00C93A96"/>
    <w:rsid w:val="00C97398"/>
    <w:rsid w:val="00D2343E"/>
    <w:rsid w:val="00D51F44"/>
    <w:rsid w:val="00D70EAB"/>
    <w:rsid w:val="00D76185"/>
    <w:rsid w:val="00DB28E1"/>
    <w:rsid w:val="00DB3B79"/>
    <w:rsid w:val="00E33411"/>
    <w:rsid w:val="00EA199B"/>
    <w:rsid w:val="00EA309D"/>
    <w:rsid w:val="00EF4096"/>
    <w:rsid w:val="00F03929"/>
    <w:rsid w:val="00F16594"/>
    <w:rsid w:val="00F55C97"/>
    <w:rsid w:val="00F60342"/>
    <w:rsid w:val="00FF4879"/>
    <w:rsid w:val="00FF707D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4080ECA"/>
    <w:rsid w:val="04514B65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874912"/>
    <w:rsid w:val="08925D0E"/>
    <w:rsid w:val="089620E8"/>
    <w:rsid w:val="08A45B0A"/>
    <w:rsid w:val="08A825A4"/>
    <w:rsid w:val="08B97A0D"/>
    <w:rsid w:val="08BF34BA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D00FB9"/>
    <w:rsid w:val="0F193762"/>
    <w:rsid w:val="0F221A0E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D426BF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AF3425"/>
    <w:rsid w:val="15B34768"/>
    <w:rsid w:val="15F61B74"/>
    <w:rsid w:val="160B7C23"/>
    <w:rsid w:val="162B13C4"/>
    <w:rsid w:val="16F52838"/>
    <w:rsid w:val="17261A0A"/>
    <w:rsid w:val="17286EDC"/>
    <w:rsid w:val="173A2F14"/>
    <w:rsid w:val="17AF44C7"/>
    <w:rsid w:val="17C45824"/>
    <w:rsid w:val="17C86D9E"/>
    <w:rsid w:val="183712FC"/>
    <w:rsid w:val="186C439B"/>
    <w:rsid w:val="18CA0259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6714DB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673120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251D94"/>
    <w:rsid w:val="26476FEA"/>
    <w:rsid w:val="26602BD3"/>
    <w:rsid w:val="26C00CEB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1D0ADC"/>
    <w:rsid w:val="2A5F7219"/>
    <w:rsid w:val="2A893CCD"/>
    <w:rsid w:val="2AB25697"/>
    <w:rsid w:val="2ACF7AB8"/>
    <w:rsid w:val="2B2024A7"/>
    <w:rsid w:val="2B833D12"/>
    <w:rsid w:val="2B9B0A58"/>
    <w:rsid w:val="2BA7027E"/>
    <w:rsid w:val="2BAB54C5"/>
    <w:rsid w:val="2BC05AF8"/>
    <w:rsid w:val="2BE013B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D73427"/>
    <w:rsid w:val="2F2F2A58"/>
    <w:rsid w:val="2F5D1137"/>
    <w:rsid w:val="2F6E0190"/>
    <w:rsid w:val="2F8D4635"/>
    <w:rsid w:val="2FC37EFE"/>
    <w:rsid w:val="2FCF576B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C81D62"/>
    <w:rsid w:val="31D65AF9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7F2704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05769A"/>
    <w:rsid w:val="3A906CBE"/>
    <w:rsid w:val="3AA934A6"/>
    <w:rsid w:val="3B0A5D15"/>
    <w:rsid w:val="3B204327"/>
    <w:rsid w:val="3B6877C8"/>
    <w:rsid w:val="3BDA7DE5"/>
    <w:rsid w:val="3C2F160E"/>
    <w:rsid w:val="3C5F033A"/>
    <w:rsid w:val="3CD117BD"/>
    <w:rsid w:val="3CF83180"/>
    <w:rsid w:val="3D23696B"/>
    <w:rsid w:val="3D94503B"/>
    <w:rsid w:val="3DAA6DAB"/>
    <w:rsid w:val="3DD55352"/>
    <w:rsid w:val="3DE32562"/>
    <w:rsid w:val="3E20508B"/>
    <w:rsid w:val="3E2C4DF2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CA019A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553C37"/>
    <w:rsid w:val="4275720E"/>
    <w:rsid w:val="42AB283A"/>
    <w:rsid w:val="439D7450"/>
    <w:rsid w:val="44256103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5EA5542"/>
    <w:rsid w:val="4634401A"/>
    <w:rsid w:val="46352992"/>
    <w:rsid w:val="467F7F60"/>
    <w:rsid w:val="469D497C"/>
    <w:rsid w:val="46C07C6D"/>
    <w:rsid w:val="46D46FCB"/>
    <w:rsid w:val="474159DD"/>
    <w:rsid w:val="48045B63"/>
    <w:rsid w:val="484F2842"/>
    <w:rsid w:val="49006A23"/>
    <w:rsid w:val="492A682B"/>
    <w:rsid w:val="49596A53"/>
    <w:rsid w:val="497C3DDD"/>
    <w:rsid w:val="49AE2D68"/>
    <w:rsid w:val="49C3065B"/>
    <w:rsid w:val="4A3148B7"/>
    <w:rsid w:val="4A3C2091"/>
    <w:rsid w:val="4A41431D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045CA"/>
    <w:rsid w:val="4CF91E5B"/>
    <w:rsid w:val="4D181700"/>
    <w:rsid w:val="4D6B0A00"/>
    <w:rsid w:val="4D75145B"/>
    <w:rsid w:val="4D9449F9"/>
    <w:rsid w:val="4DA85F8D"/>
    <w:rsid w:val="4DD62215"/>
    <w:rsid w:val="4E2B5D5D"/>
    <w:rsid w:val="4E8B3508"/>
    <w:rsid w:val="4ED13285"/>
    <w:rsid w:val="4F1A6236"/>
    <w:rsid w:val="4F6A651C"/>
    <w:rsid w:val="4FA73771"/>
    <w:rsid w:val="4FD4377C"/>
    <w:rsid w:val="4FFF4C5B"/>
    <w:rsid w:val="50086DF5"/>
    <w:rsid w:val="508E5ABD"/>
    <w:rsid w:val="50A336F5"/>
    <w:rsid w:val="50BD79A6"/>
    <w:rsid w:val="50CC0B20"/>
    <w:rsid w:val="510D1202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BE2157"/>
    <w:rsid w:val="5BE96A8D"/>
    <w:rsid w:val="5BF15375"/>
    <w:rsid w:val="5BF938B5"/>
    <w:rsid w:val="5C570649"/>
    <w:rsid w:val="5C76716F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C9424F"/>
    <w:rsid w:val="5F595787"/>
    <w:rsid w:val="5F8D1C46"/>
    <w:rsid w:val="5FA155BE"/>
    <w:rsid w:val="5FBD03D0"/>
    <w:rsid w:val="601B4866"/>
    <w:rsid w:val="60303D05"/>
    <w:rsid w:val="60386110"/>
    <w:rsid w:val="60B75222"/>
    <w:rsid w:val="60CF1E4E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6B7896"/>
    <w:rsid w:val="64797172"/>
    <w:rsid w:val="649C056B"/>
    <w:rsid w:val="64AE5736"/>
    <w:rsid w:val="64BD0615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B3F3AAD"/>
    <w:rsid w:val="6B891093"/>
    <w:rsid w:val="6BA55CDC"/>
    <w:rsid w:val="6BEB345C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D034EA5"/>
    <w:rsid w:val="6D1334E9"/>
    <w:rsid w:val="6D231259"/>
    <w:rsid w:val="6D3203DA"/>
    <w:rsid w:val="6D5B79BC"/>
    <w:rsid w:val="6D89164C"/>
    <w:rsid w:val="6DCF4058"/>
    <w:rsid w:val="6DE9238A"/>
    <w:rsid w:val="6E2B147B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6FCD630F"/>
    <w:rsid w:val="70007B47"/>
    <w:rsid w:val="702F1D23"/>
    <w:rsid w:val="705342C1"/>
    <w:rsid w:val="708D3892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576C93"/>
    <w:rsid w:val="75711074"/>
    <w:rsid w:val="75893E4D"/>
    <w:rsid w:val="75D12F9F"/>
    <w:rsid w:val="75E87AE4"/>
    <w:rsid w:val="76206188"/>
    <w:rsid w:val="767E6D89"/>
    <w:rsid w:val="768B48F5"/>
    <w:rsid w:val="76A32A08"/>
    <w:rsid w:val="76DD66F2"/>
    <w:rsid w:val="76EC6FC3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F21850"/>
    <w:rsid w:val="791B03AB"/>
    <w:rsid w:val="79714C66"/>
    <w:rsid w:val="79D31F15"/>
    <w:rsid w:val="79D657CC"/>
    <w:rsid w:val="79E40A04"/>
    <w:rsid w:val="7A151811"/>
    <w:rsid w:val="7B3C52F1"/>
    <w:rsid w:val="7B6F6F75"/>
    <w:rsid w:val="7BA046F3"/>
    <w:rsid w:val="7BC37346"/>
    <w:rsid w:val="7BE71A21"/>
    <w:rsid w:val="7BF87E00"/>
    <w:rsid w:val="7C064DA7"/>
    <w:rsid w:val="7C0A2379"/>
    <w:rsid w:val="7C495235"/>
    <w:rsid w:val="7C551636"/>
    <w:rsid w:val="7C5F3CF1"/>
    <w:rsid w:val="7C697AB1"/>
    <w:rsid w:val="7CB460B3"/>
    <w:rsid w:val="7CD445C4"/>
    <w:rsid w:val="7CED17F8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FFFA7B"/>
    <w:rsid w:val="7FC14E2C"/>
    <w:rsid w:val="9F6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AB30C"/>
  <w15:docId w15:val="{34A569FF-03E5-4040-B157-64797296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037C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223</Words>
  <Characters>1274</Characters>
  <Application>Microsoft Office Word</Application>
  <DocSecurity>0</DocSecurity>
  <Lines>10</Lines>
  <Paragraphs>2</Paragraphs>
  <ScaleCrop>false</ScaleCrop>
  <Company>China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53</cp:revision>
  <cp:lastPrinted>2020-03-20T19:03:00Z</cp:lastPrinted>
  <dcterms:created xsi:type="dcterms:W3CDTF">2019-08-10T22:54:00Z</dcterms:created>
  <dcterms:modified xsi:type="dcterms:W3CDTF">2025-03-31T08:33:00Z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BEF36C1F822D40CEAC2DDD5C454B91A8_13</vt:lpwstr>
  </property>
  <property fmtid="{D5CDD505-2E9C-101B-9397-08002B2CF9AE}" pid="4" name="KSOTemplateDocerSaveRecord">
    <vt:lpwstr>eyJoZGlkIjoiMjg5YzlhMmEwMzkxNWIwOTM4YWVjMDEzNTQyYmQ3MzYiLCJ1c2VySWQiOiIxOTg1MDIyODYifQ==</vt:lpwstr>
  </property>
</Properties>
</file>