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olor w:val="auto"/>
          <w:sz w:val="32"/>
          <w:highlight w:val="none"/>
        </w:rPr>
      </w:pPr>
      <w:r>
        <w:rPr>
          <w:rFonts w:hint="eastAsia" w:ascii="方正小标宋简体" w:hAnsi="仿宋" w:eastAsia="方正小标宋简体"/>
          <w:color w:val="auto"/>
          <w:sz w:val="32"/>
          <w:highlight w:val="none"/>
        </w:rPr>
        <w:t>北京经济技术开发区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仿宋" w:eastAsia="方正小标宋简体"/>
          <w:color w:val="auto"/>
          <w:sz w:val="32"/>
          <w:highlight w:val="none"/>
        </w:rPr>
      </w:pPr>
      <w:r>
        <w:rPr>
          <w:rFonts w:hint="eastAsia" w:ascii="方正小标宋简体" w:hAnsi="仿宋" w:eastAsia="方正小标宋简体"/>
          <w:color w:val="auto"/>
          <w:sz w:val="32"/>
          <w:highlight w:val="none"/>
        </w:rPr>
        <w:t>202</w:t>
      </w:r>
      <w:r>
        <w:rPr>
          <w:rFonts w:hint="eastAsia" w:ascii="方正小标宋简体" w:hAnsi="仿宋" w:eastAsia="方正小标宋简体"/>
          <w:color w:val="auto"/>
          <w:sz w:val="32"/>
          <w:highlight w:val="none"/>
          <w:lang w:val="en-US" w:eastAsia="zh-CN"/>
        </w:rPr>
        <w:t>4</w:t>
      </w:r>
      <w:r>
        <w:rPr>
          <w:rFonts w:hint="eastAsia" w:ascii="方正小标宋简体" w:hAnsi="仿宋" w:eastAsia="方正小标宋简体"/>
          <w:color w:val="auto"/>
          <w:sz w:val="32"/>
          <w:highlight w:val="none"/>
        </w:rPr>
        <w:t>年国民经济和社会发展</w:t>
      </w:r>
      <w:r>
        <w:rPr>
          <w:rFonts w:hint="eastAsia" w:ascii="方正小标宋简体" w:hAnsi="仿宋" w:eastAsia="方正小标宋简体"/>
          <w:color w:val="auto"/>
          <w:sz w:val="32"/>
          <w:highlight w:val="none"/>
          <w:lang w:eastAsia="zh-CN"/>
        </w:rPr>
        <w:t>统计</w:t>
      </w:r>
      <w:r>
        <w:rPr>
          <w:rFonts w:hint="eastAsia" w:ascii="方正小标宋简体" w:hAnsi="仿宋" w:eastAsia="方正小标宋简体"/>
          <w:color w:val="auto"/>
          <w:sz w:val="32"/>
          <w:highlight w:val="none"/>
        </w:rPr>
        <w:t>公报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仿宋" w:eastAsia="方正小标宋简体"/>
          <w:color w:val="auto"/>
          <w:sz w:val="32"/>
          <w:highlight w:val="none"/>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8"/>
          <w:rFonts w:hint="eastAsia" w:eastAsia="仿宋_GB2312"/>
          <w:color w:val="auto"/>
          <w:lang w:val="en-US" w:eastAsia="zh-CN"/>
        </w:rPr>
      </w:pPr>
      <w:r>
        <w:rPr>
          <w:rStyle w:val="8"/>
          <w:rFonts w:hint="eastAsia" w:eastAsia="仿宋_GB2312"/>
          <w:color w:val="auto"/>
          <w:lang w:val="en-US" w:eastAsia="zh-CN"/>
        </w:rPr>
        <w:t>2024年是实现“十四五”规划目标任务的关键之年，经开区坚持以习近平新时代中国特色社会主义思想为指导，在市委、市政府和工委、管委会的坚强领导下，全面贯彻党的二十大和二十届二中、三中全会精神，深入贯彻习近平总书记对国家级经开区工作重要指示精神，紧紧围绕“三城一区”主平台和“四区一阵地”功能定位，大力推动产业升级，奋力推进科技创新，为新时代首都高质量发展作出了亦庄贡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黑体" w:hAnsi="黑体" w:eastAsia="黑体" w:cs="仿宋_GB2312"/>
          <w:color w:val="auto"/>
          <w:kern w:val="2"/>
          <w:sz w:val="32"/>
          <w:szCs w:val="32"/>
          <w:highlight w:val="none"/>
          <w:lang w:val="zh-TW"/>
        </w:rPr>
      </w:pPr>
      <w:r>
        <w:rPr>
          <w:rFonts w:hint="eastAsia" w:ascii="黑体" w:hAnsi="黑体" w:eastAsia="黑体" w:cs="仿宋_GB2312"/>
          <w:color w:val="auto"/>
          <w:kern w:val="2"/>
          <w:sz w:val="32"/>
          <w:szCs w:val="32"/>
          <w:highlight w:val="none"/>
          <w:lang w:val="zh-TW"/>
        </w:rPr>
        <w:t>一、综合经济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color w:val="auto"/>
          <w:kern w:val="2"/>
          <w:sz w:val="32"/>
          <w:szCs w:val="32"/>
          <w:highlight w:val="none"/>
          <w:lang w:val="zh-TW"/>
        </w:rPr>
        <w:t>经济总量：</w:t>
      </w:r>
      <w:r>
        <w:rPr>
          <w:rFonts w:hint="eastAsia" w:ascii="仿宋_GB2312" w:hAnsi="仿宋_GB2312" w:eastAsia="仿宋_GB2312" w:cs="仿宋_GB2312"/>
          <w:b w:val="0"/>
          <w:bCs/>
          <w:color w:val="auto"/>
          <w:kern w:val="2"/>
          <w:sz w:val="32"/>
          <w:szCs w:val="32"/>
          <w:highlight w:val="none"/>
          <w:lang w:val="zh-TW"/>
        </w:rPr>
        <w:t>初步核算，亦庄新城全年实现地区生产总值</w:t>
      </w:r>
      <w:r>
        <w:rPr>
          <w:rFonts w:hint="eastAsia" w:ascii="仿宋_GB2312" w:hAnsi="仿宋_GB2312" w:eastAsia="仿宋_GB2312" w:cs="仿宋_GB2312"/>
          <w:b w:val="0"/>
          <w:bCs/>
          <w:color w:val="auto"/>
          <w:kern w:val="2"/>
          <w:sz w:val="32"/>
          <w:szCs w:val="32"/>
          <w:highlight w:val="none"/>
          <w:lang w:val="en-US" w:eastAsia="zh-CN"/>
        </w:rPr>
        <w:t>3649.3</w:t>
      </w:r>
      <w:r>
        <w:rPr>
          <w:rFonts w:hint="eastAsia" w:ascii="仿宋_GB2312" w:hAnsi="仿宋_GB2312" w:eastAsia="仿宋_GB2312" w:cs="仿宋_GB2312"/>
          <w:b w:val="0"/>
          <w:bCs/>
          <w:color w:val="auto"/>
          <w:kern w:val="2"/>
          <w:sz w:val="32"/>
          <w:szCs w:val="32"/>
          <w:highlight w:val="none"/>
          <w:lang w:val="zh-TW"/>
        </w:rPr>
        <w:t>亿元，按可比价格计算，比上年增长</w:t>
      </w:r>
      <w:r>
        <w:rPr>
          <w:rFonts w:hint="eastAsia" w:ascii="仿宋_GB2312" w:hAnsi="仿宋_GB2312" w:eastAsia="仿宋_GB2312" w:cs="仿宋_GB2312"/>
          <w:b w:val="0"/>
          <w:bCs/>
          <w:color w:val="auto"/>
          <w:kern w:val="2"/>
          <w:sz w:val="32"/>
          <w:szCs w:val="32"/>
          <w:highlight w:val="none"/>
          <w:lang w:val="en-US" w:eastAsia="zh-CN"/>
        </w:rPr>
        <w:t>9.0</w:t>
      </w:r>
      <w:r>
        <w:rPr>
          <w:rFonts w:hint="eastAsia" w:ascii="仿宋_GB2312" w:hAnsi="仿宋_GB2312" w:eastAsia="仿宋_GB2312" w:cs="仿宋_GB2312"/>
          <w:b w:val="0"/>
          <w:bCs/>
          <w:color w:val="auto"/>
          <w:kern w:val="2"/>
          <w:sz w:val="32"/>
          <w:szCs w:val="32"/>
          <w:highlight w:val="none"/>
          <w:lang w:val="zh-TW"/>
        </w:rPr>
        <w:t>%。其中，第二产业增加值</w:t>
      </w:r>
      <w:r>
        <w:rPr>
          <w:rFonts w:hint="eastAsia" w:ascii="仿宋_GB2312" w:hAnsi="仿宋_GB2312" w:eastAsia="仿宋_GB2312" w:cs="仿宋_GB2312"/>
          <w:b w:val="0"/>
          <w:bCs/>
          <w:color w:val="auto"/>
          <w:kern w:val="2"/>
          <w:sz w:val="32"/>
          <w:szCs w:val="32"/>
          <w:highlight w:val="none"/>
          <w:lang w:val="en-US" w:eastAsia="zh-CN"/>
        </w:rPr>
        <w:t>2157.8</w:t>
      </w:r>
      <w:r>
        <w:rPr>
          <w:rFonts w:hint="eastAsia" w:ascii="仿宋_GB2312" w:hAnsi="仿宋_GB2312" w:eastAsia="仿宋_GB2312" w:cs="仿宋_GB2312"/>
          <w:b w:val="0"/>
          <w:bCs/>
          <w:color w:val="auto"/>
          <w:kern w:val="2"/>
          <w:sz w:val="32"/>
          <w:szCs w:val="32"/>
          <w:highlight w:val="none"/>
          <w:lang w:val="zh-TW"/>
        </w:rPr>
        <w:t>亿元，第三产业增加值</w:t>
      </w:r>
      <w:r>
        <w:rPr>
          <w:rFonts w:hint="eastAsia" w:ascii="仿宋_GB2312" w:hAnsi="仿宋_GB2312" w:eastAsia="仿宋_GB2312" w:cs="仿宋_GB2312"/>
          <w:b w:val="0"/>
          <w:bCs/>
          <w:color w:val="auto"/>
          <w:kern w:val="2"/>
          <w:sz w:val="32"/>
          <w:szCs w:val="32"/>
          <w:highlight w:val="none"/>
          <w:lang w:val="en-US" w:eastAsia="zh-CN"/>
        </w:rPr>
        <w:t>1491.5</w:t>
      </w:r>
      <w:r>
        <w:rPr>
          <w:rFonts w:hint="eastAsia" w:ascii="仿宋_GB2312" w:hAnsi="仿宋_GB2312" w:eastAsia="仿宋_GB2312" w:cs="仿宋_GB2312"/>
          <w:b w:val="0"/>
          <w:bCs/>
          <w:color w:val="auto"/>
          <w:kern w:val="2"/>
          <w:sz w:val="32"/>
          <w:szCs w:val="32"/>
          <w:highlight w:val="none"/>
          <w:lang w:val="zh-TW"/>
        </w:rPr>
        <w:t>亿元，第二产业和第三产业构成为59.</w:t>
      </w: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lang w:val="zh-TW"/>
        </w:rPr>
        <w:t>：40.</w:t>
      </w:r>
      <w:r>
        <w:rPr>
          <w:rFonts w:hint="eastAsia" w:ascii="仿宋_GB2312" w:hAnsi="仿宋_GB2312" w:eastAsia="仿宋_GB2312" w:cs="仿宋_GB2312"/>
          <w:b w:val="0"/>
          <w:bCs/>
          <w:color w:val="auto"/>
          <w:kern w:val="2"/>
          <w:sz w:val="32"/>
          <w:szCs w:val="32"/>
          <w:highlight w:val="none"/>
          <w:lang w:val="en-US" w:eastAsia="zh-CN"/>
        </w:rPr>
        <w:t>9</w:t>
      </w:r>
      <w:r>
        <w:rPr>
          <w:rFonts w:hint="eastAsia" w:ascii="仿宋_GB2312" w:hAnsi="仿宋_GB2312" w:eastAsia="仿宋_GB2312" w:cs="仿宋_GB2312"/>
          <w:b w:val="0"/>
          <w:bCs/>
          <w:color w:val="auto"/>
          <w:kern w:val="2"/>
          <w:sz w:val="32"/>
          <w:szCs w:val="32"/>
          <w:highlight w:val="none"/>
          <w:lang w:val="zh-TW"/>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cs="仿宋_GB2312"/>
          <w:b/>
          <w:bCs/>
          <w:color w:val="auto"/>
          <w:kern w:val="2"/>
          <w:szCs w:val="32"/>
          <w:highlight w:val="none"/>
          <w:lang w:val="zh-TW"/>
        </w:rPr>
      </w:pPr>
      <w:r>
        <w:rPr>
          <w:rFonts w:hint="eastAsia" w:cs="仿宋_GB2312"/>
          <w:b/>
          <w:bCs/>
          <w:color w:val="auto"/>
          <w:kern w:val="2"/>
          <w:szCs w:val="32"/>
          <w:highlight w:val="none"/>
          <w:lang w:val="zh-TW"/>
        </w:rPr>
        <w:t>表1</w:t>
      </w:r>
      <w:r>
        <w:rPr>
          <w:rFonts w:hint="eastAsia" w:cs="仿宋_GB2312"/>
          <w:b/>
          <w:bCs/>
          <w:color w:val="auto"/>
          <w:kern w:val="2"/>
          <w:szCs w:val="32"/>
          <w:highlight w:val="none"/>
          <w:lang w:val="en-US" w:eastAsia="zh-CN"/>
        </w:rPr>
        <w:t xml:space="preserve"> </w:t>
      </w:r>
      <w:r>
        <w:rPr>
          <w:rFonts w:hint="eastAsia" w:cs="仿宋_GB2312"/>
          <w:b/>
          <w:bCs/>
          <w:color w:val="auto"/>
          <w:kern w:val="2"/>
          <w:szCs w:val="32"/>
          <w:highlight w:val="none"/>
          <w:lang w:val="zh-TW"/>
        </w:rPr>
        <w:t>202</w:t>
      </w:r>
      <w:r>
        <w:rPr>
          <w:rFonts w:hint="eastAsia" w:cs="仿宋_GB2312"/>
          <w:b/>
          <w:bCs/>
          <w:color w:val="auto"/>
          <w:kern w:val="2"/>
          <w:szCs w:val="32"/>
          <w:highlight w:val="none"/>
          <w:lang w:val="en-US" w:eastAsia="zh-CN"/>
        </w:rPr>
        <w:t>4</w:t>
      </w:r>
      <w:r>
        <w:rPr>
          <w:rFonts w:hint="eastAsia" w:cs="仿宋_GB2312"/>
          <w:b/>
          <w:bCs/>
          <w:color w:val="auto"/>
          <w:kern w:val="2"/>
          <w:szCs w:val="32"/>
          <w:highlight w:val="none"/>
          <w:lang w:val="zh-TW"/>
        </w:rPr>
        <w:t>年亦庄新城地区生产总值</w:t>
      </w:r>
    </w:p>
    <w:tbl>
      <w:tblPr>
        <w:tblStyle w:val="6"/>
        <w:tblW w:w="8379" w:type="dxa"/>
        <w:tblInd w:w="9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126"/>
        <w:gridCol w:w="1559"/>
        <w:gridCol w:w="1418"/>
        <w:gridCol w:w="127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4126" w:type="dxa"/>
            <w:tcBorders>
              <w:tl2br w:val="nil"/>
              <w:tr2bl w:val="nil"/>
            </w:tcBorders>
            <w:shd w:val="clear" w:color="auto"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指标</w:t>
            </w:r>
          </w:p>
        </w:tc>
        <w:tc>
          <w:tcPr>
            <w:tcW w:w="1559" w:type="dxa"/>
            <w:tcBorders>
              <w:tl2br w:val="nil"/>
              <w:tr2bl w:val="nil"/>
            </w:tcBorders>
            <w:shd w:val="clear" w:color="auto"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绝对数（亿元）</w:t>
            </w:r>
          </w:p>
        </w:tc>
        <w:tc>
          <w:tcPr>
            <w:tcW w:w="1418" w:type="dxa"/>
            <w:tcBorders>
              <w:tl2br w:val="nil"/>
              <w:tr2bl w:val="nil"/>
            </w:tcBorders>
            <w:shd w:val="clear" w:color="auto" w:fill="auto"/>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增速（%）</w:t>
            </w:r>
          </w:p>
        </w:tc>
        <w:tc>
          <w:tcPr>
            <w:tcW w:w="1276" w:type="dxa"/>
            <w:tcBorders>
              <w:tl2br w:val="nil"/>
              <w:tr2bl w:val="nil"/>
            </w:tcBorders>
            <w:shd w:val="clear" w:color="auto"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比重（%）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widowControl/>
              <w:jc w:val="left"/>
              <w:rPr>
                <w:rFonts w:hint="eastAsia" w:ascii="宋体" w:hAnsi="宋体" w:eastAsia="宋体" w:cs="宋体"/>
                <w:bCs/>
                <w:color w:val="auto"/>
                <w:kern w:val="0"/>
                <w:sz w:val="21"/>
                <w:szCs w:val="21"/>
                <w:highlight w:val="none"/>
              </w:rPr>
            </w:pPr>
            <w:r>
              <w:rPr>
                <w:rFonts w:hint="eastAsia"/>
                <w:color w:val="auto"/>
              </w:rPr>
              <w:t>地区生产总值</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3649.3</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Cs w:val="0"/>
                <w:color w:val="auto"/>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9.0</w:t>
            </w:r>
          </w:p>
        </w:tc>
        <w:tc>
          <w:tcPr>
            <w:tcW w:w="1276" w:type="dxa"/>
            <w:tcBorders>
              <w:tl2br w:val="nil"/>
              <w:tr2bl w:val="nil"/>
            </w:tcBorders>
            <w:shd w:val="clear" w:color="auto" w:fill="auto"/>
            <w:noWrap/>
            <w:vAlign w:val="center"/>
          </w:tcPr>
          <w:p>
            <w:pPr>
              <w:jc w:val="righ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widowControl/>
              <w:jc w:val="left"/>
              <w:rPr>
                <w:rFonts w:hint="eastAsia" w:ascii="宋体" w:hAnsi="宋体" w:eastAsia="宋体" w:cs="宋体"/>
                <w:bCs/>
                <w:color w:val="auto"/>
                <w:kern w:val="0"/>
                <w:sz w:val="21"/>
                <w:szCs w:val="21"/>
                <w:highlight w:val="none"/>
              </w:rPr>
            </w:pPr>
            <w:r>
              <w:rPr>
                <w:rFonts w:hint="eastAsia"/>
                <w:color w:val="auto"/>
              </w:rPr>
              <w:t>按行业分：</w:t>
            </w:r>
          </w:p>
        </w:tc>
        <w:tc>
          <w:tcPr>
            <w:tcW w:w="1559" w:type="dxa"/>
            <w:tcBorders>
              <w:tl2br w:val="nil"/>
              <w:tr2bl w:val="nil"/>
            </w:tcBorders>
            <w:shd w:val="clear" w:color="auto" w:fill="auto"/>
            <w:noWrap/>
            <w:vAlign w:val="center"/>
          </w:tcPr>
          <w:p>
            <w:pPr>
              <w:rPr>
                <w:rFonts w:hint="eastAsia" w:ascii="宋体" w:hAnsi="宋体" w:eastAsia="宋体" w:cs="宋体"/>
                <w:i w:val="0"/>
                <w:iCs w:val="0"/>
                <w:color w:val="auto"/>
                <w:kern w:val="0"/>
                <w:sz w:val="21"/>
                <w:szCs w:val="21"/>
                <w:highlight w:val="none"/>
                <w:u w:val="none"/>
                <w:lang w:val="en-US" w:eastAsia="zh-CN" w:bidi="ar"/>
              </w:rPr>
            </w:pPr>
          </w:p>
        </w:tc>
        <w:tc>
          <w:tcPr>
            <w:tcW w:w="1418" w:type="dxa"/>
            <w:tcBorders>
              <w:tl2br w:val="nil"/>
              <w:tr2bl w:val="nil"/>
            </w:tcBorders>
            <w:shd w:val="clear" w:color="auto" w:fill="auto"/>
            <w:vAlign w:val="center"/>
          </w:tcPr>
          <w:p>
            <w:pPr>
              <w:rPr>
                <w:rFonts w:hint="eastAsia" w:ascii="宋体" w:hAnsi="宋体" w:eastAsia="宋体" w:cs="宋体"/>
                <w:bCs/>
                <w:color w:val="auto"/>
                <w:sz w:val="21"/>
                <w:szCs w:val="21"/>
                <w:highlight w:val="none"/>
              </w:rPr>
            </w:pPr>
          </w:p>
        </w:tc>
        <w:tc>
          <w:tcPr>
            <w:tcW w:w="1276" w:type="dxa"/>
            <w:tcBorders>
              <w:tl2br w:val="nil"/>
              <w:tr2bl w:val="nil"/>
            </w:tcBorders>
            <w:shd w:val="clear" w:color="auto" w:fill="auto"/>
            <w:noWrap/>
            <w:vAlign w:val="center"/>
          </w:tcPr>
          <w:p>
            <w:pPr>
              <w:rPr>
                <w:rFonts w:hint="eastAsia" w:ascii="宋体" w:hAnsi="宋体" w:eastAsia="宋体" w:cs="宋体"/>
                <w:bCs/>
                <w:color w:val="auto"/>
                <w:sz w:val="21"/>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widowControl/>
              <w:ind w:firstLine="210" w:firstLineChars="100"/>
              <w:jc w:val="left"/>
              <w:rPr>
                <w:rFonts w:hint="eastAsia" w:ascii="宋体" w:hAnsi="宋体" w:eastAsia="宋体" w:cs="宋体"/>
                <w:color w:val="auto"/>
                <w:kern w:val="0"/>
                <w:sz w:val="21"/>
                <w:szCs w:val="21"/>
                <w:highlight w:val="none"/>
              </w:rPr>
            </w:pPr>
            <w:r>
              <w:rPr>
                <w:rFonts w:hint="eastAsia"/>
                <w:color w:val="auto"/>
              </w:rPr>
              <w:t>工业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2130.3</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12.8</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58.4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widowControl/>
              <w:ind w:firstLine="210" w:firstLineChars="100"/>
              <w:jc w:val="left"/>
              <w:rPr>
                <w:rFonts w:hint="eastAsia" w:ascii="宋体" w:hAnsi="宋体" w:eastAsia="宋体" w:cs="宋体"/>
                <w:color w:val="auto"/>
                <w:kern w:val="0"/>
                <w:sz w:val="21"/>
                <w:szCs w:val="21"/>
                <w:highlight w:val="none"/>
              </w:rPr>
            </w:pPr>
            <w:r>
              <w:rPr>
                <w:rFonts w:hint="eastAsia"/>
                <w:color w:val="auto"/>
              </w:rPr>
              <w:t>建筑业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56.2</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-1.8</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widowControl/>
              <w:ind w:firstLine="210" w:firstLineChars="100"/>
              <w:jc w:val="left"/>
              <w:rPr>
                <w:rFonts w:hint="eastAsia" w:ascii="宋体" w:hAnsi="宋体" w:eastAsia="宋体" w:cs="宋体"/>
                <w:bCs/>
                <w:color w:val="auto"/>
                <w:kern w:val="0"/>
                <w:sz w:val="21"/>
                <w:szCs w:val="21"/>
                <w:highlight w:val="none"/>
              </w:rPr>
            </w:pPr>
            <w:r>
              <w:rPr>
                <w:rFonts w:hint="eastAsia"/>
                <w:color w:val="auto"/>
              </w:rPr>
              <w:t>批发和零售业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295.0</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6.2</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8.1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交通运输、仓储和邮政业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74.9</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5.9</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住宿和餐饮业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23.5</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4.0</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信息传输、软件和信息技术服务业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454.3</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6.0</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金融业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111.4</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12.7</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房地产业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143.1</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6.5</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租赁与商务服务业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89.7</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-3.2</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科学研究和技术服务业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169.5</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-1.0</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水利、环境和公共设施管理业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10.5</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-18.0</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居民服务、修理和其他服务业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8.9</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-2.8</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教育</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28.6</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-13.5</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卫生和社会工作</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21.2</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3.8</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文化、体育和娱乐业</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10.5</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-4.1</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126" w:type="dxa"/>
            <w:tcBorders>
              <w:tl2br w:val="nil"/>
              <w:tr2bl w:val="nil"/>
            </w:tcBorders>
            <w:shd w:val="clear" w:color="auto" w:fill="auto"/>
            <w:noWrap/>
            <w:vAlign w:val="center"/>
          </w:tcPr>
          <w:p>
            <w:pPr>
              <w:keepNext w:val="0"/>
              <w:keepLines w:val="0"/>
              <w:widowControl/>
              <w:suppressLineNumbers w:val="0"/>
              <w:ind w:firstLine="210" w:firstLineChars="100"/>
              <w:jc w:val="left"/>
              <w:textAlignment w:val="center"/>
              <w:rPr>
                <w:rFonts w:hint="eastAsia" w:ascii="宋体" w:hAnsi="宋体" w:eastAsia="宋体" w:cs="宋体"/>
                <w:color w:val="auto"/>
                <w:kern w:val="0"/>
                <w:sz w:val="21"/>
                <w:szCs w:val="21"/>
                <w:highlight w:val="none"/>
              </w:rPr>
            </w:pPr>
            <w:r>
              <w:rPr>
                <w:rFonts w:hint="eastAsia"/>
                <w:color w:val="auto"/>
              </w:rPr>
              <w:t>公共管理、社会保障和社会组织</w:t>
            </w:r>
          </w:p>
        </w:tc>
        <w:tc>
          <w:tcPr>
            <w:tcW w:w="155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21.8</w:t>
            </w:r>
          </w:p>
        </w:tc>
        <w:tc>
          <w:tcPr>
            <w:tcW w:w="1418"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1.2</w:t>
            </w:r>
          </w:p>
        </w:tc>
        <w:tc>
          <w:tcPr>
            <w:tcW w:w="1276"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val="en-US" w:eastAsia="zh-CN"/>
        </w:rPr>
        <w:t>2024年亦庄新城全年完成地方级收入418.9亿元，比上年增长11.0%。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固定资产投资：</w:t>
      </w:r>
      <w:r>
        <w:rPr>
          <w:rFonts w:hint="eastAsia" w:ascii="仿宋_GB2312" w:hAnsi="仿宋_GB2312" w:eastAsia="仿宋_GB2312" w:cs="仿宋_GB2312"/>
          <w:b w:val="0"/>
          <w:bCs w:val="0"/>
          <w:color w:val="auto"/>
          <w:sz w:val="32"/>
          <w:szCs w:val="32"/>
          <w:highlight w:val="none"/>
          <w:lang w:val="en-US" w:eastAsia="zh-CN"/>
        </w:rPr>
        <w:t>亦庄新城全年固定资产投资（不含农户）比上年增长6.2%，分产业看，第二产业投资比上年增长58.7%，第三产业投资比上年下降39.1%。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FF0000"/>
          <w:sz w:val="32"/>
          <w:szCs w:val="32"/>
          <w:highlight w:val="none"/>
          <w:lang w:val="zh-TW"/>
        </w:rPr>
      </w:pPr>
      <w:r>
        <w:rPr>
          <w:rFonts w:hint="eastAsia" w:ascii="仿宋_GB2312" w:hAnsi="仿宋_GB2312" w:eastAsia="仿宋_GB2312" w:cs="仿宋_GB2312"/>
          <w:b/>
          <w:bCs/>
          <w:color w:val="auto"/>
          <w:sz w:val="32"/>
          <w:szCs w:val="32"/>
          <w:highlight w:val="none"/>
          <w:lang w:val="en-US" w:eastAsia="zh-CN"/>
        </w:rPr>
        <w:t>社会消费品零售额：</w:t>
      </w:r>
      <w:r>
        <w:rPr>
          <w:rFonts w:hint="eastAsia" w:ascii="仿宋_GB2312" w:hAnsi="仿宋_GB2312" w:eastAsia="仿宋_GB2312" w:cs="仿宋_GB2312"/>
          <w:b w:val="0"/>
          <w:bCs w:val="0"/>
          <w:color w:val="auto"/>
          <w:sz w:val="32"/>
          <w:szCs w:val="32"/>
          <w:highlight w:val="none"/>
          <w:lang w:val="en-US" w:eastAsia="zh-CN"/>
        </w:rPr>
        <w:t>亦庄新城全年实现社会消费品零售额3137.2亿元，比上年下降1.7%。</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zh-TW" w:eastAsia="zh-CN" w:bidi="ar-SA"/>
        </w:rPr>
      </w:pPr>
      <w:r>
        <w:rPr>
          <w:rFonts w:hint="eastAsia" w:ascii="仿宋_GB2312" w:hAnsi="仿宋_GB2312" w:eastAsia="仿宋_GB2312" w:cs="仿宋_GB2312"/>
          <w:b/>
          <w:color w:val="auto"/>
          <w:sz w:val="32"/>
          <w:szCs w:val="32"/>
          <w:highlight w:val="none"/>
          <w:lang w:val="zh-TW"/>
        </w:rPr>
        <w:t>对外经济：</w:t>
      </w:r>
      <w:r>
        <w:rPr>
          <w:rFonts w:hint="eastAsia" w:ascii="仿宋_GB2312" w:hAnsi="仿宋_GB2312" w:eastAsia="仿宋_GB2312" w:cs="仿宋_GB2312"/>
          <w:b w:val="0"/>
          <w:bCs/>
          <w:color w:val="auto"/>
          <w:sz w:val="32"/>
          <w:szCs w:val="32"/>
          <w:highlight w:val="none"/>
          <w:lang w:val="zh-TW"/>
        </w:rPr>
        <w:t>2024年，</w:t>
      </w:r>
      <w:r>
        <w:rPr>
          <w:rFonts w:hint="eastAsia" w:ascii="仿宋_GB2312" w:hAnsi="仿宋_GB2312" w:eastAsia="仿宋_GB2312" w:cs="仿宋_GB2312"/>
          <w:b w:val="0"/>
          <w:bCs/>
          <w:color w:val="auto"/>
          <w:sz w:val="32"/>
          <w:szCs w:val="32"/>
          <w:highlight w:val="none"/>
          <w:lang w:val="zh-TW" w:eastAsia="zh-CN"/>
        </w:rPr>
        <w:t>亦庄新城</w:t>
      </w:r>
      <w:r>
        <w:rPr>
          <w:rFonts w:hint="eastAsia" w:ascii="仿宋_GB2312" w:hAnsi="仿宋_GB2312" w:eastAsia="仿宋_GB2312" w:cs="仿宋_GB2312"/>
          <w:b w:val="0"/>
          <w:bCs/>
          <w:color w:val="auto"/>
          <w:sz w:val="32"/>
          <w:szCs w:val="32"/>
          <w:highlight w:val="none"/>
          <w:lang w:val="zh-TW"/>
        </w:rPr>
        <w:t>实现进出口总额274.5亿</w:t>
      </w:r>
      <w:r>
        <w:rPr>
          <w:rFonts w:hint="eastAsia" w:ascii="仿宋_GB2312" w:hAnsi="仿宋_GB2312" w:eastAsia="仿宋_GB2312" w:cs="仿宋_GB2312"/>
          <w:b w:val="0"/>
          <w:bCs/>
          <w:color w:val="auto"/>
          <w:sz w:val="32"/>
          <w:szCs w:val="32"/>
          <w:highlight w:val="none"/>
          <w:lang w:val="zh-TW" w:eastAsia="zh-CN"/>
        </w:rPr>
        <w:t>美元</w:t>
      </w:r>
      <w:r>
        <w:rPr>
          <w:rFonts w:hint="eastAsia" w:ascii="仿宋_GB2312" w:hAnsi="仿宋_GB2312" w:eastAsia="仿宋_GB2312" w:cs="仿宋_GB2312"/>
          <w:b w:val="0"/>
          <w:bCs/>
          <w:color w:val="auto"/>
          <w:sz w:val="32"/>
          <w:szCs w:val="32"/>
          <w:highlight w:val="none"/>
          <w:lang w:val="zh-TW"/>
        </w:rPr>
        <w:t>，</w:t>
      </w:r>
      <w:r>
        <w:rPr>
          <w:rFonts w:hint="eastAsia" w:ascii="仿宋_GB2312" w:hAnsi="仿宋_GB2312" w:eastAsia="仿宋_GB2312" w:cs="仿宋_GB2312"/>
          <w:b w:val="0"/>
          <w:bCs/>
          <w:color w:val="auto"/>
          <w:sz w:val="32"/>
          <w:szCs w:val="32"/>
          <w:highlight w:val="none"/>
          <w:lang w:val="zh-TW" w:eastAsia="zh-CN"/>
        </w:rPr>
        <w:t>比上年增长</w:t>
      </w:r>
      <w:r>
        <w:rPr>
          <w:rFonts w:hint="eastAsia" w:ascii="仿宋_GB2312" w:hAnsi="仿宋_GB2312" w:eastAsia="仿宋_GB2312" w:cs="仿宋_GB2312"/>
          <w:b w:val="0"/>
          <w:bCs/>
          <w:color w:val="auto"/>
          <w:sz w:val="32"/>
          <w:szCs w:val="32"/>
          <w:highlight w:val="none"/>
          <w:lang w:val="zh-TW"/>
        </w:rPr>
        <w:t>15.1%。其中进口196.1亿美元，</w:t>
      </w:r>
      <w:r>
        <w:rPr>
          <w:rFonts w:hint="eastAsia" w:ascii="仿宋_GB2312" w:hAnsi="仿宋_GB2312" w:eastAsia="仿宋_GB2312" w:cs="仿宋_GB2312"/>
          <w:b w:val="0"/>
          <w:bCs/>
          <w:color w:val="auto"/>
          <w:sz w:val="32"/>
          <w:szCs w:val="32"/>
          <w:highlight w:val="none"/>
          <w:lang w:val="zh-TW" w:eastAsia="zh-CN"/>
        </w:rPr>
        <w:t>比上年增长</w:t>
      </w:r>
      <w:r>
        <w:rPr>
          <w:rFonts w:hint="eastAsia" w:ascii="仿宋_GB2312" w:hAnsi="仿宋_GB2312" w:eastAsia="仿宋_GB2312" w:cs="仿宋_GB2312"/>
          <w:b w:val="0"/>
          <w:bCs/>
          <w:color w:val="auto"/>
          <w:sz w:val="32"/>
          <w:szCs w:val="32"/>
          <w:highlight w:val="none"/>
          <w:lang w:val="zh-TW"/>
        </w:rPr>
        <w:t>15.3%，出口78.4亿美元，</w:t>
      </w:r>
      <w:r>
        <w:rPr>
          <w:rFonts w:hint="eastAsia" w:ascii="仿宋_GB2312" w:hAnsi="仿宋_GB2312" w:eastAsia="仿宋_GB2312" w:cs="仿宋_GB2312"/>
          <w:b w:val="0"/>
          <w:bCs/>
          <w:color w:val="auto"/>
          <w:sz w:val="32"/>
          <w:szCs w:val="32"/>
          <w:highlight w:val="none"/>
          <w:lang w:val="zh-TW" w:eastAsia="zh-CN"/>
        </w:rPr>
        <w:t>比上年增长</w:t>
      </w:r>
      <w:r>
        <w:rPr>
          <w:rFonts w:hint="eastAsia" w:ascii="仿宋_GB2312" w:hAnsi="仿宋_GB2312" w:eastAsia="仿宋_GB2312" w:cs="仿宋_GB2312"/>
          <w:b w:val="0"/>
          <w:bCs/>
          <w:color w:val="auto"/>
          <w:sz w:val="32"/>
          <w:szCs w:val="32"/>
          <w:highlight w:val="none"/>
          <w:lang w:val="zh-TW"/>
        </w:rPr>
        <w:t>14.6%。</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eastAsia="宋体" w:cs="仿宋_GB2312"/>
          <w:b/>
          <w:bCs/>
          <w:color w:val="auto"/>
          <w:kern w:val="2"/>
          <w:szCs w:val="32"/>
          <w:highlight w:val="none"/>
          <w:lang w:val="zh-TW"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339725</wp:posOffset>
                </wp:positionV>
                <wp:extent cx="662305" cy="2381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6230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宋体"/>
                                <w:sz w:val="16"/>
                                <w:szCs w:val="15"/>
                                <w:lang w:eastAsia="zh-CN"/>
                              </w:rPr>
                            </w:pPr>
                            <w:r>
                              <w:rPr>
                                <w:rFonts w:hint="eastAsia"/>
                                <w:sz w:val="16"/>
                                <w:szCs w:val="15"/>
                                <w:lang w:eastAsia="zh-CN"/>
                              </w:rPr>
                              <w:t>（亿美元）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26.75pt;height:18.75pt;width:52.15pt;z-index:251661312;mso-width-relative:page;mso-height-relative:page;" filled="f" stroked="f" coordsize="21600,21600" o:gfxdata="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YZmLDZAAAACAEAAA8AAAAAAAAAAQAgAAAAIgAAAGRycy9k&#10;b3ducmV2LnhtbFBLAQIUABQAAAAIAIdO4kBiN+OxOgIAAGUEAAAOAAAAAAAAAAEAIAAAACgBAABk&#10;cnMvZTJvRG9jLnhtbFBLBQYAAAAABgAGAFkBAADUBQAAAAA=&#10;">
                <v:fill on="f" focussize="0,0"/>
                <v:stroke on="f" weight="0.5pt"/>
                <v:imagedata o:title=""/>
                <o:lock v:ext="edit" aspectratio="f"/>
                <v:textbox>
                  <w:txbxContent>
                    <w:p>
                      <w:pPr>
                        <w:jc w:val="both"/>
                        <w:rPr>
                          <w:rFonts w:hint="eastAsia" w:eastAsia="宋体"/>
                          <w:sz w:val="16"/>
                          <w:szCs w:val="15"/>
                          <w:lang w:eastAsia="zh-CN"/>
                        </w:rPr>
                      </w:pPr>
                      <w:r>
                        <w:rPr>
                          <w:rFonts w:hint="eastAsia"/>
                          <w:sz w:val="16"/>
                          <w:szCs w:val="15"/>
                          <w:lang w:eastAsia="zh-CN"/>
                        </w:rPr>
                        <w:t>（亿美元）</w:t>
                      </w:r>
                    </w:p>
                  </w:txbxContent>
                </v:textbox>
              </v:shape>
            </w:pict>
          </mc:Fallback>
        </mc:AlternateContent>
      </w:r>
      <w:r>
        <w:rPr>
          <w:rFonts w:hint="eastAsia" w:cs="仿宋_GB2312"/>
          <w:b/>
          <w:bCs/>
          <w:color w:val="auto"/>
          <w:kern w:val="2"/>
          <w:szCs w:val="32"/>
          <w:highlight w:val="none"/>
          <w:lang w:val="zh-TW"/>
        </w:rPr>
        <w:t>图</w:t>
      </w:r>
      <w:r>
        <w:rPr>
          <w:rFonts w:hint="eastAsia" w:cs="仿宋_GB2312"/>
          <w:b/>
          <w:bCs/>
          <w:color w:val="auto"/>
          <w:kern w:val="2"/>
          <w:szCs w:val="32"/>
          <w:highlight w:val="none"/>
          <w:lang w:val="en-US" w:eastAsia="zh-CN"/>
        </w:rPr>
        <w:t xml:space="preserve">1 </w:t>
      </w:r>
      <w:r>
        <w:rPr>
          <w:rFonts w:hint="eastAsia" w:cs="仿宋_GB2312"/>
          <w:b/>
          <w:bCs/>
          <w:color w:val="auto"/>
          <w:kern w:val="2"/>
          <w:szCs w:val="32"/>
          <w:highlight w:val="none"/>
          <w:lang w:val="zh-TW"/>
        </w:rPr>
        <w:t>2018—202</w:t>
      </w:r>
      <w:r>
        <w:rPr>
          <w:rFonts w:hint="eastAsia" w:cs="仿宋_GB2312"/>
          <w:b/>
          <w:bCs/>
          <w:color w:val="auto"/>
          <w:kern w:val="2"/>
          <w:szCs w:val="32"/>
          <w:highlight w:val="none"/>
          <w:lang w:val="en-US" w:eastAsia="zh-CN"/>
        </w:rPr>
        <w:t>4</w:t>
      </w:r>
      <w:r>
        <w:rPr>
          <w:rFonts w:hint="eastAsia" w:cs="仿宋_GB2312"/>
          <w:b/>
          <w:bCs/>
          <w:color w:val="auto"/>
          <w:kern w:val="2"/>
          <w:szCs w:val="32"/>
          <w:highlight w:val="none"/>
          <w:lang w:val="zh-TW"/>
        </w:rPr>
        <w:t>年亦庄新城进口额和出口额</w:t>
      </w:r>
    </w:p>
    <w:p>
      <w:pPr>
        <w:jc w:val="center"/>
        <w:rPr>
          <w:rFonts w:hint="eastAsia" w:ascii="仿宋_GB2312" w:hAnsi="仿宋_GB2312" w:eastAsia="仿宋_GB2312" w:cs="仿宋_GB2312"/>
          <w:color w:val="FF0000"/>
          <w:sz w:val="32"/>
          <w:szCs w:val="32"/>
          <w:highlight w:val="none"/>
          <w:lang w:val="zh-TW" w:eastAsia="zh-CN"/>
        </w:rPr>
      </w:pPr>
      <w:r>
        <w:rPr>
          <w:rFonts w:hint="eastAsia" w:ascii="仿宋_GB2312" w:hAnsi="仿宋_GB2312" w:eastAsia="仿宋_GB2312" w:cs="仿宋_GB2312"/>
          <w:color w:val="FF0000"/>
          <w:sz w:val="32"/>
          <w:szCs w:val="32"/>
          <w:highlight w:val="none"/>
          <w:lang w:val="zh-TW" w:eastAsia="zh-CN"/>
        </w:rPr>
        <w:drawing>
          <wp:inline distT="0" distB="0" distL="114300" distR="114300">
            <wp:extent cx="5080000" cy="2493645"/>
            <wp:effectExtent l="4445" t="4445" r="20955"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2024年，全年新设外资企业首次破百，达到103家，</w:t>
      </w:r>
      <w:r>
        <w:rPr>
          <w:rFonts w:hint="eastAsia" w:ascii="仿宋_GB2312" w:hAnsi="仿宋_GB2312" w:eastAsia="仿宋_GB2312" w:cs="仿宋_GB2312"/>
          <w:color w:val="auto"/>
          <w:sz w:val="32"/>
          <w:szCs w:val="32"/>
          <w:highlight w:val="none"/>
          <w:lang w:val="zh-TW" w:eastAsia="zh-CN"/>
        </w:rPr>
        <w:t>比上年</w:t>
      </w:r>
      <w:r>
        <w:rPr>
          <w:rFonts w:hint="eastAsia" w:ascii="仿宋_GB2312" w:hAnsi="仿宋_GB2312" w:eastAsia="仿宋_GB2312" w:cs="仿宋_GB2312"/>
          <w:color w:val="auto"/>
          <w:sz w:val="32"/>
          <w:szCs w:val="32"/>
          <w:highlight w:val="none"/>
          <w:lang w:val="zh-TW"/>
        </w:rPr>
        <w:t>增长19.8%；实际利用外资1</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lang w:val="zh-TW"/>
        </w:rPr>
        <w:t>亿美元，</w:t>
      </w:r>
      <w:r>
        <w:rPr>
          <w:rFonts w:hint="eastAsia" w:ascii="仿宋_GB2312" w:hAnsi="仿宋_GB2312" w:eastAsia="仿宋_GB2312" w:cs="仿宋_GB2312"/>
          <w:color w:val="auto"/>
          <w:sz w:val="32"/>
          <w:szCs w:val="32"/>
          <w:highlight w:val="none"/>
          <w:lang w:val="zh-TW" w:eastAsia="zh-CN"/>
        </w:rPr>
        <w:t>比上年</w:t>
      </w:r>
      <w:r>
        <w:rPr>
          <w:rFonts w:hint="eastAsia" w:ascii="仿宋_GB2312" w:hAnsi="仿宋_GB2312" w:eastAsia="仿宋_GB2312" w:cs="仿宋_GB2312"/>
          <w:color w:val="auto"/>
          <w:sz w:val="32"/>
          <w:szCs w:val="32"/>
          <w:highlight w:val="none"/>
          <w:lang w:val="zh-TW"/>
        </w:rPr>
        <w:t>增长2</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zh-TW"/>
        </w:rPr>
        <w:t>%，稳居全市第三，占全市</w:t>
      </w:r>
      <w:r>
        <w:rPr>
          <w:rFonts w:hint="eastAsia" w:ascii="仿宋_GB2312" w:hAnsi="仿宋_GB2312" w:eastAsia="仿宋_GB2312" w:cs="仿宋_GB2312"/>
          <w:color w:val="auto"/>
          <w:sz w:val="32"/>
          <w:szCs w:val="32"/>
          <w:highlight w:val="none"/>
          <w:lang w:val="zh-TW" w:eastAsia="zh-CN"/>
        </w:rPr>
        <w:t>比重</w:t>
      </w:r>
      <w:r>
        <w:rPr>
          <w:rFonts w:hint="eastAsia" w:ascii="仿宋_GB2312" w:hAnsi="仿宋_GB2312" w:eastAsia="仿宋_GB2312" w:cs="仿宋_GB2312"/>
          <w:color w:val="auto"/>
          <w:sz w:val="32"/>
          <w:szCs w:val="32"/>
          <w:highlight w:val="none"/>
          <w:lang w:val="zh-TW"/>
        </w:rPr>
        <w:t>从2023年8.1%跃升至19.3%，成为北京市实际利用外资重要增长极。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仿宋_GB2312"/>
          <w:color w:val="auto"/>
          <w:sz w:val="32"/>
          <w:szCs w:val="32"/>
          <w:highlight w:val="none"/>
          <w:lang w:val="zh-TW"/>
        </w:rPr>
      </w:pPr>
      <w:r>
        <w:rPr>
          <w:rFonts w:hint="eastAsia" w:ascii="黑体" w:hAnsi="黑体" w:eastAsia="黑体" w:cs="仿宋_GB2312"/>
          <w:color w:val="auto"/>
          <w:sz w:val="32"/>
          <w:szCs w:val="32"/>
          <w:highlight w:val="none"/>
          <w:lang w:val="zh-TW"/>
        </w:rPr>
        <w:t>二、主要行业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工业：</w:t>
      </w:r>
      <w:r>
        <w:rPr>
          <w:rFonts w:hint="eastAsia" w:ascii="仿宋_GB2312" w:hAnsi="仿宋_GB2312" w:eastAsia="仿宋_GB2312" w:cs="仿宋_GB2312"/>
          <w:b w:val="0"/>
          <w:bCs/>
          <w:color w:val="auto"/>
          <w:sz w:val="32"/>
          <w:szCs w:val="32"/>
          <w:highlight w:val="none"/>
          <w:lang w:val="zh-TW"/>
        </w:rPr>
        <w:t>亦庄新城全年实现规模以上工业总产值</w:t>
      </w:r>
      <w:r>
        <w:rPr>
          <w:rFonts w:hint="default" w:ascii="仿宋_GB2312" w:hAnsi="仿宋_GB2312" w:eastAsia="仿宋_GB2312" w:cs="仿宋_GB2312"/>
          <w:b w:val="0"/>
          <w:bCs/>
          <w:color w:val="auto"/>
          <w:sz w:val="32"/>
          <w:szCs w:val="32"/>
          <w:highlight w:val="none"/>
          <w:lang w:val="en-US"/>
        </w:rPr>
        <w:t>6079.7</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val="zh-TW"/>
        </w:rPr>
        <w:t>4.</w:t>
      </w:r>
      <w:r>
        <w:rPr>
          <w:rFonts w:hint="eastAsia" w:ascii="仿宋_GB2312" w:hAnsi="仿宋_GB2312" w:eastAsia="仿宋_GB2312" w:cs="仿宋_GB2312"/>
          <w:b w:val="0"/>
          <w:bCs/>
          <w:color w:val="auto"/>
          <w:sz w:val="32"/>
          <w:szCs w:val="32"/>
          <w:highlight w:val="none"/>
          <w:lang w:val="en-US" w:eastAsia="zh-CN"/>
        </w:rPr>
        <w:t>8</w:t>
      </w:r>
      <w:r>
        <w:rPr>
          <w:rFonts w:hint="eastAsia" w:ascii="仿宋_GB2312" w:hAnsi="仿宋_GB2312" w:eastAsia="仿宋_GB2312" w:cs="仿宋_GB2312"/>
          <w:b w:val="0"/>
          <w:bCs/>
          <w:color w:val="auto"/>
          <w:sz w:val="32"/>
          <w:szCs w:val="32"/>
          <w:highlight w:val="none"/>
          <w:lang w:val="zh-TW"/>
        </w:rPr>
        <w:t>%。其中，现代制造业和高技术制造业产值分别比上年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17.3</w:t>
      </w:r>
      <w:r>
        <w:rPr>
          <w:rFonts w:hint="eastAsia" w:ascii="仿宋_GB2312" w:hAnsi="仿宋_GB2312" w:eastAsia="仿宋_GB2312" w:cs="仿宋_GB2312"/>
          <w:b w:val="0"/>
          <w:bCs/>
          <w:color w:val="auto"/>
          <w:sz w:val="32"/>
          <w:szCs w:val="32"/>
          <w:highlight w:val="none"/>
          <w:lang w:val="zh-TW"/>
        </w:rPr>
        <w:t>%和</w:t>
      </w:r>
      <w:r>
        <w:rPr>
          <w:rFonts w:hint="eastAsia" w:ascii="仿宋_GB2312" w:hAnsi="仿宋_GB2312" w:eastAsia="仿宋_GB2312" w:cs="仿宋_GB2312"/>
          <w:b w:val="0"/>
          <w:bCs/>
          <w:color w:val="auto"/>
          <w:sz w:val="32"/>
          <w:szCs w:val="32"/>
          <w:highlight w:val="none"/>
          <w:lang w:val="en-US" w:eastAsia="zh-CN"/>
        </w:rPr>
        <w:t>16.7</w:t>
      </w:r>
      <w:r>
        <w:rPr>
          <w:rFonts w:hint="eastAsia" w:ascii="仿宋_GB2312" w:hAnsi="仿宋_GB2312" w:eastAsia="仿宋_GB2312" w:cs="仿宋_GB2312"/>
          <w:b w:val="0"/>
          <w:bCs/>
          <w:color w:val="auto"/>
          <w:sz w:val="32"/>
          <w:szCs w:val="32"/>
          <w:highlight w:val="none"/>
          <w:lang w:val="zh-TW"/>
        </w:rPr>
        <w:t>%。内资企业产值</w:t>
      </w:r>
      <w:r>
        <w:rPr>
          <w:rFonts w:hint="eastAsia" w:ascii="仿宋_GB2312" w:hAnsi="仿宋_GB2312" w:eastAsia="仿宋_GB2312" w:cs="仿宋_GB2312"/>
          <w:b w:val="0"/>
          <w:bCs/>
          <w:color w:val="auto"/>
          <w:sz w:val="32"/>
          <w:szCs w:val="32"/>
          <w:highlight w:val="none"/>
          <w:lang w:val="zh-TW" w:eastAsia="zh-CN"/>
        </w:rPr>
        <w:t>比上年增长</w:t>
      </w:r>
      <w:r>
        <w:rPr>
          <w:rFonts w:hint="eastAsia" w:ascii="仿宋_GB2312" w:hAnsi="仿宋_GB2312" w:eastAsia="仿宋_GB2312" w:cs="仿宋_GB2312"/>
          <w:b w:val="0"/>
          <w:bCs/>
          <w:color w:val="auto"/>
          <w:sz w:val="32"/>
          <w:szCs w:val="32"/>
          <w:highlight w:val="none"/>
          <w:lang w:val="en-US" w:eastAsia="zh-CN"/>
        </w:rPr>
        <w:t>32.2</w:t>
      </w:r>
      <w:r>
        <w:rPr>
          <w:rFonts w:hint="eastAsia" w:ascii="仿宋_GB2312" w:hAnsi="仿宋_GB2312" w:eastAsia="仿宋_GB2312" w:cs="仿宋_GB2312"/>
          <w:b w:val="0"/>
          <w:bCs/>
          <w:color w:val="auto"/>
          <w:sz w:val="32"/>
          <w:szCs w:val="32"/>
          <w:highlight w:val="none"/>
          <w:lang w:val="zh-TW"/>
        </w:rPr>
        <w:t>%，外商及港澳台商企业产值</w:t>
      </w:r>
      <w:r>
        <w:rPr>
          <w:rFonts w:hint="eastAsia" w:ascii="仿宋_GB2312" w:hAnsi="仿宋_GB2312" w:eastAsia="仿宋_GB2312" w:cs="仿宋_GB2312"/>
          <w:b w:val="0"/>
          <w:bCs/>
          <w:color w:val="auto"/>
          <w:sz w:val="32"/>
          <w:szCs w:val="32"/>
          <w:highlight w:val="none"/>
          <w:lang w:val="zh-TW" w:eastAsia="zh-CN"/>
        </w:rPr>
        <w:t>比上年增长</w:t>
      </w:r>
      <w:r>
        <w:rPr>
          <w:rFonts w:hint="eastAsia" w:ascii="仿宋_GB2312" w:hAnsi="仿宋_GB2312" w:eastAsia="仿宋_GB2312" w:cs="仿宋_GB2312"/>
          <w:b w:val="0"/>
          <w:bCs/>
          <w:color w:val="auto"/>
          <w:sz w:val="32"/>
          <w:szCs w:val="32"/>
          <w:highlight w:val="none"/>
          <w:lang w:val="en-US" w:eastAsia="zh-CN"/>
        </w:rPr>
        <w:t>5.4</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val="0"/>
          <w:bCs/>
          <w:color w:val="auto"/>
          <w:sz w:val="32"/>
          <w:szCs w:val="32"/>
          <w:highlight w:val="none"/>
          <w:lang w:val="zh-TW"/>
        </w:rPr>
        <w:t>全年规模以上工业企业实现销售产值</w:t>
      </w:r>
      <w:r>
        <w:rPr>
          <w:rFonts w:hint="default" w:ascii="仿宋_GB2312" w:hAnsi="仿宋_GB2312" w:eastAsia="仿宋_GB2312" w:cs="仿宋_GB2312"/>
          <w:b w:val="0"/>
          <w:bCs/>
          <w:color w:val="auto"/>
          <w:sz w:val="32"/>
          <w:szCs w:val="32"/>
          <w:highlight w:val="none"/>
          <w:lang w:val="en-US" w:eastAsia="zh-CN"/>
        </w:rPr>
        <w:t>5938.0</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16.0</w:t>
      </w:r>
      <w:r>
        <w:rPr>
          <w:rFonts w:hint="eastAsia" w:ascii="仿宋_GB2312" w:hAnsi="仿宋_GB2312" w:eastAsia="仿宋_GB2312" w:cs="仿宋_GB2312"/>
          <w:b w:val="0"/>
          <w:bCs/>
          <w:color w:val="auto"/>
          <w:sz w:val="32"/>
          <w:szCs w:val="32"/>
          <w:highlight w:val="none"/>
          <w:lang w:val="zh-TW"/>
        </w:rPr>
        <w:t>%。其中，内销产值</w:t>
      </w:r>
      <w:r>
        <w:rPr>
          <w:rFonts w:hint="default" w:ascii="仿宋_GB2312" w:hAnsi="仿宋_GB2312" w:eastAsia="仿宋_GB2312" w:cs="仿宋_GB2312"/>
          <w:b w:val="0"/>
          <w:bCs/>
          <w:color w:val="auto"/>
          <w:sz w:val="32"/>
          <w:szCs w:val="32"/>
          <w:highlight w:val="none"/>
          <w:lang w:val="en-US" w:eastAsia="zh-CN"/>
        </w:rPr>
        <w:t>5154.1</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15.2</w:t>
      </w:r>
      <w:r>
        <w:rPr>
          <w:rFonts w:hint="eastAsia" w:ascii="仿宋_GB2312" w:hAnsi="仿宋_GB2312" w:eastAsia="仿宋_GB2312" w:cs="仿宋_GB2312"/>
          <w:b w:val="0"/>
          <w:bCs/>
          <w:color w:val="auto"/>
          <w:sz w:val="32"/>
          <w:szCs w:val="32"/>
          <w:highlight w:val="none"/>
          <w:lang w:val="zh-TW"/>
        </w:rPr>
        <w:t>%；出口交货值</w:t>
      </w:r>
      <w:r>
        <w:rPr>
          <w:rFonts w:hint="eastAsia" w:ascii="仿宋_GB2312" w:hAnsi="仿宋_GB2312" w:eastAsia="仿宋_GB2312" w:cs="仿宋_GB2312"/>
          <w:b w:val="0"/>
          <w:bCs/>
          <w:color w:val="auto"/>
          <w:sz w:val="32"/>
          <w:szCs w:val="32"/>
          <w:highlight w:val="none"/>
          <w:lang w:val="en-US" w:eastAsia="zh-CN"/>
        </w:rPr>
        <w:t>783.9</w:t>
      </w:r>
      <w:r>
        <w:rPr>
          <w:rFonts w:hint="eastAsia" w:ascii="仿宋_GB2312" w:hAnsi="仿宋_GB2312" w:eastAsia="仿宋_GB2312" w:cs="仿宋_GB2312"/>
          <w:b w:val="0"/>
          <w:bCs/>
          <w:color w:val="auto"/>
          <w:sz w:val="32"/>
          <w:szCs w:val="32"/>
          <w:highlight w:val="none"/>
          <w:lang w:val="zh-TW"/>
        </w:rPr>
        <w:t>亿元，比上年增长</w:t>
      </w:r>
      <w:r>
        <w:rPr>
          <w:rFonts w:hint="eastAsia" w:ascii="仿宋_GB2312" w:hAnsi="仿宋_GB2312" w:eastAsia="仿宋_GB2312" w:cs="仿宋_GB2312"/>
          <w:b w:val="0"/>
          <w:bCs/>
          <w:color w:val="auto"/>
          <w:sz w:val="32"/>
          <w:szCs w:val="32"/>
          <w:highlight w:val="none"/>
          <w:lang w:val="en-US" w:eastAsia="zh-CN"/>
        </w:rPr>
        <w:t>21.7</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lang w:val="zh-TW" w:eastAsia="zh-CN"/>
        </w:rPr>
      </w:pPr>
      <w:r>
        <w:rPr>
          <w:rFonts w:hint="eastAsia" w:ascii="仿宋_GB2312" w:hAnsi="仿宋_GB2312" w:eastAsia="仿宋_GB2312" w:cs="仿宋_GB2312"/>
          <w:b w:val="0"/>
          <w:bCs/>
          <w:color w:val="auto"/>
          <w:sz w:val="32"/>
          <w:szCs w:val="32"/>
          <w:highlight w:val="none"/>
          <w:lang w:val="zh-TW"/>
        </w:rPr>
        <w:t>全年规模以上工业企业利润总额</w:t>
      </w:r>
      <w:r>
        <w:rPr>
          <w:rFonts w:hint="default" w:ascii="仿宋_GB2312" w:hAnsi="仿宋_GB2312" w:eastAsia="仿宋_GB2312" w:cs="仿宋_GB2312"/>
          <w:b w:val="0"/>
          <w:bCs/>
          <w:color w:val="auto"/>
          <w:sz w:val="32"/>
          <w:szCs w:val="32"/>
          <w:highlight w:val="none"/>
          <w:lang w:val="en-US" w:eastAsia="zh-CN"/>
        </w:rPr>
        <w:t>540.6</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8.0</w:t>
      </w:r>
      <w:r>
        <w:rPr>
          <w:rFonts w:hint="eastAsia" w:ascii="仿宋_GB2312" w:hAnsi="仿宋_GB2312" w:eastAsia="仿宋_GB2312" w:cs="仿宋_GB2312"/>
          <w:b w:val="0"/>
          <w:bCs/>
          <w:color w:val="auto"/>
          <w:sz w:val="32"/>
          <w:szCs w:val="32"/>
          <w:highlight w:val="none"/>
          <w:lang w:val="zh-TW"/>
        </w:rPr>
        <w:t>%。全年规模以上工业企业每百元营业收入中的成本</w:t>
      </w:r>
      <w:r>
        <w:rPr>
          <w:rFonts w:hint="default" w:ascii="仿宋_GB2312" w:hAnsi="仿宋_GB2312" w:eastAsia="仿宋_GB2312" w:cs="仿宋_GB2312"/>
          <w:b w:val="0"/>
          <w:bCs/>
          <w:color w:val="auto"/>
          <w:sz w:val="32"/>
          <w:szCs w:val="32"/>
          <w:highlight w:val="none"/>
          <w:lang w:val="en-US" w:eastAsia="zh-CN"/>
        </w:rPr>
        <w:t>76.8</w:t>
      </w:r>
      <w:r>
        <w:rPr>
          <w:rFonts w:hint="eastAsia" w:ascii="仿宋_GB2312" w:hAnsi="仿宋_GB2312" w:eastAsia="仿宋_GB2312" w:cs="仿宋_GB2312"/>
          <w:b w:val="0"/>
          <w:bCs/>
          <w:color w:val="auto"/>
          <w:sz w:val="32"/>
          <w:szCs w:val="32"/>
          <w:highlight w:val="none"/>
          <w:lang w:val="zh-TW"/>
        </w:rPr>
        <w:t>元，比上年增加</w:t>
      </w:r>
      <w:r>
        <w:rPr>
          <w:rFonts w:hint="default" w:ascii="仿宋_GB2312" w:hAnsi="仿宋_GB2312" w:eastAsia="仿宋_GB2312" w:cs="仿宋_GB2312"/>
          <w:b w:val="0"/>
          <w:bCs/>
          <w:color w:val="auto"/>
          <w:sz w:val="32"/>
          <w:szCs w:val="32"/>
          <w:highlight w:val="none"/>
          <w:lang w:val="en-US" w:eastAsia="zh-CN"/>
        </w:rPr>
        <w:t>0.3</w:t>
      </w:r>
      <w:r>
        <w:rPr>
          <w:rFonts w:hint="eastAsia" w:ascii="仿宋_GB2312" w:hAnsi="仿宋_GB2312" w:eastAsia="仿宋_GB2312" w:cs="仿宋_GB2312"/>
          <w:b w:val="0"/>
          <w:bCs/>
          <w:color w:val="auto"/>
          <w:sz w:val="32"/>
          <w:szCs w:val="32"/>
          <w:highlight w:val="none"/>
          <w:lang w:val="zh-TW"/>
        </w:rPr>
        <w:t>元。营业收入利润率</w:t>
      </w:r>
      <w:r>
        <w:rPr>
          <w:rFonts w:hint="default" w:ascii="仿宋_GB2312" w:hAnsi="仿宋_GB2312" w:eastAsia="仿宋_GB2312" w:cs="仿宋_GB2312"/>
          <w:b w:val="0"/>
          <w:bCs/>
          <w:color w:val="auto"/>
          <w:sz w:val="32"/>
          <w:szCs w:val="32"/>
          <w:highlight w:val="none"/>
          <w:lang w:val="en-US"/>
        </w:rPr>
        <w:t>8.1</w:t>
      </w:r>
      <w:r>
        <w:rPr>
          <w:rFonts w:hint="eastAsia" w:ascii="仿宋_GB2312" w:hAnsi="仿宋_GB2312" w:eastAsia="仿宋_GB2312" w:cs="仿宋_GB2312"/>
          <w:b w:val="0"/>
          <w:bCs/>
          <w:color w:val="auto"/>
          <w:sz w:val="32"/>
          <w:szCs w:val="32"/>
          <w:highlight w:val="none"/>
          <w:lang w:val="zh-TW"/>
        </w:rPr>
        <w:t>%，</w:t>
      </w:r>
      <w:r>
        <w:rPr>
          <w:rFonts w:hint="eastAsia" w:ascii="仿宋_GB2312" w:hAnsi="仿宋_GB2312" w:eastAsia="仿宋_GB2312" w:cs="仿宋_GB2312"/>
          <w:b w:val="0"/>
          <w:bCs/>
          <w:color w:val="auto"/>
          <w:sz w:val="32"/>
          <w:szCs w:val="32"/>
          <w:highlight w:val="none"/>
          <w:lang w:val="zh-TW" w:eastAsia="zh-CN"/>
        </w:rPr>
        <w:t>与</w:t>
      </w:r>
      <w:r>
        <w:rPr>
          <w:rFonts w:hint="eastAsia" w:ascii="仿宋_GB2312" w:hAnsi="仿宋_GB2312" w:eastAsia="仿宋_GB2312" w:cs="仿宋_GB2312"/>
          <w:b w:val="0"/>
          <w:bCs/>
          <w:color w:val="auto"/>
          <w:sz w:val="32"/>
          <w:szCs w:val="32"/>
          <w:highlight w:val="none"/>
          <w:lang w:val="zh-TW"/>
        </w:rPr>
        <w:t>上年</w:t>
      </w:r>
      <w:r>
        <w:rPr>
          <w:rFonts w:hint="eastAsia" w:ascii="仿宋_GB2312" w:hAnsi="仿宋_GB2312" w:eastAsia="仿宋_GB2312" w:cs="仿宋_GB2312"/>
          <w:b w:val="0"/>
          <w:bCs/>
          <w:color w:val="auto"/>
          <w:sz w:val="32"/>
          <w:szCs w:val="32"/>
          <w:highlight w:val="none"/>
          <w:lang w:val="zh-TW" w:eastAsia="zh-CN"/>
        </w:rPr>
        <w:t>持平</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宋体" w:hAnsi="宋体" w:eastAsia="宋体" w:cs="仿宋_GB2312"/>
          <w:b/>
          <w:bCs/>
          <w:color w:val="auto"/>
          <w:sz w:val="24"/>
          <w:szCs w:val="32"/>
          <w:highlight w:val="none"/>
          <w:lang w:val="zh-TW"/>
        </w:rPr>
      </w:pPr>
      <w:r>
        <w:rPr>
          <w:rFonts w:hint="eastAsia" w:ascii="宋体" w:hAnsi="宋体" w:eastAsia="宋体" w:cs="仿宋_GB2312"/>
          <w:b/>
          <w:bCs/>
          <w:color w:val="auto"/>
          <w:sz w:val="24"/>
          <w:szCs w:val="32"/>
          <w:highlight w:val="none"/>
          <w:lang w:val="zh-TW"/>
        </w:rPr>
        <w:t>表</w:t>
      </w:r>
      <w:r>
        <w:rPr>
          <w:rFonts w:hint="eastAsia" w:ascii="宋体" w:hAnsi="宋体" w:cs="仿宋_GB2312"/>
          <w:b/>
          <w:bCs/>
          <w:color w:val="auto"/>
          <w:sz w:val="24"/>
          <w:szCs w:val="32"/>
          <w:highlight w:val="none"/>
          <w:lang w:val="en-US" w:eastAsia="zh-CN"/>
        </w:rPr>
        <w:t>2 2024</w:t>
      </w:r>
      <w:r>
        <w:rPr>
          <w:rFonts w:hint="eastAsia" w:ascii="宋体" w:hAnsi="宋体" w:eastAsia="宋体" w:cs="仿宋_GB2312"/>
          <w:b/>
          <w:bCs/>
          <w:color w:val="auto"/>
          <w:sz w:val="24"/>
          <w:szCs w:val="32"/>
          <w:highlight w:val="none"/>
          <w:lang w:val="zh-TW"/>
        </w:rPr>
        <w:t>年亦庄新城四大主导产业工业总产值及利润总额</w:t>
      </w:r>
    </w:p>
    <w:tbl>
      <w:tblPr>
        <w:tblStyle w:val="6"/>
        <w:tblW w:w="8414" w:type="dxa"/>
        <w:tblInd w:w="-6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12"/>
        <w:gridCol w:w="1247"/>
        <w:gridCol w:w="1304"/>
        <w:gridCol w:w="1247"/>
        <w:gridCol w:w="130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7" w:hRule="atLeast"/>
        </w:trPr>
        <w:tc>
          <w:tcPr>
            <w:tcW w:w="3312" w:type="dxa"/>
            <w:vMerge w:val="restart"/>
            <w:tcBorders>
              <w:tl2br w:val="nil"/>
              <w:tr2bl w:val="nil"/>
            </w:tcBorders>
            <w:shd w:val="clear" w:color="auto" w:fill="auto"/>
            <w:noWrap/>
            <w:vAlign w:val="center"/>
          </w:tcPr>
          <w:p>
            <w:pPr>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指标</w:t>
            </w:r>
          </w:p>
        </w:tc>
        <w:tc>
          <w:tcPr>
            <w:tcW w:w="2551" w:type="dxa"/>
            <w:gridSpan w:val="2"/>
            <w:tcBorders>
              <w:tl2br w:val="nil"/>
              <w:tr2bl w:val="nil"/>
            </w:tcBorders>
            <w:shd w:val="clear" w:color="000000"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工业总产值</w:t>
            </w:r>
          </w:p>
        </w:tc>
        <w:tc>
          <w:tcPr>
            <w:tcW w:w="2551" w:type="dxa"/>
            <w:gridSpan w:val="2"/>
            <w:tcBorders>
              <w:tl2br w:val="nil"/>
              <w:tr2bl w:val="nil"/>
            </w:tcBorders>
            <w:shd w:val="clear" w:color="auto"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利润总额</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7" w:hRule="atLeast"/>
        </w:trPr>
        <w:tc>
          <w:tcPr>
            <w:tcW w:w="3312" w:type="dxa"/>
            <w:vMerge w:val="continue"/>
            <w:tcBorders>
              <w:tl2br w:val="nil"/>
              <w:tr2bl w:val="nil"/>
            </w:tcBorders>
            <w:shd w:val="clear" w:color="auto" w:fill="auto"/>
            <w:noWrap/>
            <w:vAlign w:val="center"/>
          </w:tcPr>
          <w:p>
            <w:pPr>
              <w:widowControl/>
              <w:jc w:val="center"/>
              <w:rPr>
                <w:rFonts w:hint="eastAsia" w:ascii="宋体" w:hAnsi="宋体" w:eastAsia="宋体" w:cs="宋体"/>
                <w:bCs/>
                <w:color w:val="auto"/>
                <w:kern w:val="0"/>
                <w:sz w:val="21"/>
                <w:szCs w:val="21"/>
                <w:highlight w:val="none"/>
              </w:rPr>
            </w:pPr>
          </w:p>
        </w:tc>
        <w:tc>
          <w:tcPr>
            <w:tcW w:w="1247" w:type="dxa"/>
            <w:tcBorders>
              <w:tl2br w:val="nil"/>
              <w:tr2bl w:val="nil"/>
            </w:tcBorders>
            <w:shd w:val="clear" w:color="000000"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绝对数</w:t>
            </w:r>
          </w:p>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（亿元）</w:t>
            </w:r>
          </w:p>
        </w:tc>
        <w:tc>
          <w:tcPr>
            <w:tcW w:w="1304" w:type="dxa"/>
            <w:tcBorders>
              <w:tl2br w:val="nil"/>
              <w:tr2bl w:val="nil"/>
            </w:tcBorders>
            <w:shd w:val="clear" w:color="000000"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比上年增长</w:t>
            </w:r>
          </w:p>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p>
        </w:tc>
        <w:tc>
          <w:tcPr>
            <w:tcW w:w="1247" w:type="dxa"/>
            <w:tcBorders>
              <w:tl2br w:val="nil"/>
              <w:tr2bl w:val="nil"/>
            </w:tcBorders>
            <w:shd w:val="clear" w:color="auto" w:fill="auto"/>
            <w:noWrap/>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绝对数</w:t>
            </w:r>
          </w:p>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（亿元）</w:t>
            </w:r>
          </w:p>
        </w:tc>
        <w:tc>
          <w:tcPr>
            <w:tcW w:w="1304" w:type="dxa"/>
            <w:tcBorders>
              <w:tl2br w:val="nil"/>
              <w:tr2bl w:val="nil"/>
            </w:tcBorders>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比上年增长</w:t>
            </w:r>
          </w:p>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3" w:hRule="atLeast"/>
        </w:trPr>
        <w:tc>
          <w:tcPr>
            <w:tcW w:w="3312" w:type="dxa"/>
            <w:tcBorders>
              <w:tl2br w:val="nil"/>
              <w:tr2bl w:val="nil"/>
            </w:tcBorders>
            <w:shd w:val="clear" w:color="auto" w:fill="auto"/>
            <w:noWrap/>
            <w:vAlign w:val="center"/>
          </w:tcPr>
          <w:p>
            <w:pPr>
              <w:widowControl/>
              <w:jc w:val="left"/>
              <w:rPr>
                <w:rFonts w:hint="eastAsia" w:ascii="宋体" w:hAnsi="宋体" w:eastAsia="宋体" w:cs="宋体"/>
                <w:bCs/>
                <w:color w:val="auto"/>
                <w:kern w:val="0"/>
                <w:sz w:val="21"/>
                <w:szCs w:val="21"/>
                <w:highlight w:val="none"/>
              </w:rPr>
            </w:pPr>
            <w:r>
              <w:rPr>
                <w:rFonts w:hint="eastAsia"/>
                <w:color w:val="auto"/>
              </w:rPr>
              <w:t>四大主导产业</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5656.1</w:t>
            </w:r>
          </w:p>
        </w:tc>
        <w:tc>
          <w:tcPr>
            <w:tcW w:w="1304"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16.4</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494.7</w:t>
            </w:r>
          </w:p>
        </w:tc>
        <w:tc>
          <w:tcPr>
            <w:tcW w:w="1304" w:type="dxa"/>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8.5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3" w:hRule="atLeast"/>
        </w:trPr>
        <w:tc>
          <w:tcPr>
            <w:tcW w:w="331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新能源和智能网联汽车产业</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2649.6</w:t>
            </w:r>
          </w:p>
        </w:tc>
        <w:tc>
          <w:tcPr>
            <w:tcW w:w="1304"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21.8</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268.0</w:t>
            </w:r>
          </w:p>
        </w:tc>
        <w:tc>
          <w:tcPr>
            <w:tcW w:w="1304" w:type="dxa"/>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7" w:hRule="atLeast"/>
        </w:trPr>
        <w:tc>
          <w:tcPr>
            <w:tcW w:w="331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新一代信息技术产业</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1565.0</w:t>
            </w:r>
          </w:p>
        </w:tc>
        <w:tc>
          <w:tcPr>
            <w:tcW w:w="1304"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26.7</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108.4</w:t>
            </w:r>
          </w:p>
        </w:tc>
        <w:tc>
          <w:tcPr>
            <w:tcW w:w="1304" w:type="dxa"/>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518.4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1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机器人和智能制造产业</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765.9</w:t>
            </w:r>
          </w:p>
        </w:tc>
        <w:tc>
          <w:tcPr>
            <w:tcW w:w="1304"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53.5</w:t>
            </w:r>
          </w:p>
        </w:tc>
        <w:tc>
          <w:tcPr>
            <w:tcW w:w="1304" w:type="dxa"/>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-41.6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9" w:hRule="atLeast"/>
        </w:trPr>
        <w:tc>
          <w:tcPr>
            <w:tcW w:w="331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生物医药与大健康产业</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675.5</w:t>
            </w:r>
          </w:p>
        </w:tc>
        <w:tc>
          <w:tcPr>
            <w:tcW w:w="1304"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w:t>
            </w:r>
          </w:p>
        </w:tc>
        <w:tc>
          <w:tcPr>
            <w:tcW w:w="1247" w:type="dxa"/>
            <w:tcBorders>
              <w:tl2br w:val="nil"/>
              <w:tr2bl w:val="nil"/>
            </w:tcBorders>
            <w:shd w:val="clear" w:color="auto" w:fill="auto"/>
            <w:noWrap/>
            <w:vAlign w:val="center"/>
          </w:tcPr>
          <w:p>
            <w:pPr>
              <w:jc w:val="righ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64.8</w:t>
            </w:r>
          </w:p>
        </w:tc>
        <w:tc>
          <w:tcPr>
            <w:tcW w:w="1304" w:type="dxa"/>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-11.0</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cs="仿宋_GB2312"/>
          <w:b/>
          <w:bCs/>
          <w:color w:val="auto"/>
          <w:kern w:val="2"/>
          <w:szCs w:val="32"/>
          <w:highlight w:val="none"/>
          <w:lang w:val="zh-TW"/>
        </w:rPr>
      </w:pPr>
      <w:r>
        <w:rPr>
          <w:sz w:val="32"/>
        </w:rPr>
        <mc:AlternateContent>
          <mc:Choice Requires="wps">
            <w:drawing>
              <wp:anchor distT="0" distB="0" distL="114300" distR="114300" simplePos="0" relativeHeight="251660288" behindDoc="0" locked="0" layoutInCell="1" allowOverlap="1">
                <wp:simplePos x="0" y="0"/>
                <wp:positionH relativeFrom="column">
                  <wp:posOffset>4744085</wp:posOffset>
                </wp:positionH>
                <wp:positionV relativeFrom="paragraph">
                  <wp:posOffset>336550</wp:posOffset>
                </wp:positionV>
                <wp:extent cx="662305" cy="2381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6230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sz w:val="16"/>
                                <w:szCs w:val="15"/>
                                <w:lang w:val="en-US" w:eastAsia="zh-CN"/>
                              </w:rPr>
                            </w:pPr>
                            <w:r>
                              <w:rPr>
                                <w:rFonts w:hint="eastAsia"/>
                                <w:sz w:val="16"/>
                                <w:szCs w:val="15"/>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55pt;margin-top:26.5pt;height:18.75pt;width:52.15pt;z-index:251660288;mso-width-relative:page;mso-height-relative:page;" filled="f" stroked="f" coordsize="21600,21600" o:gfxdata="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vofi9sAAAAJAQAADwAAAAAAAAABACAAAAAiAAAAZHJz&#10;L2Rvd25yZXYueG1sUEsBAhQAFAAAAAgAh07iQNVazjk6AgAAZQQAAA4AAAAAAAAAAQAgAAAAKgEA&#10;AGRycy9lMm9Eb2MueG1sUEsFBgAAAAAGAAYAWQEAANYFAAAAAA==&#10;">
                <v:fill on="f" focussize="0,0"/>
                <v:stroke on="f" weight="0.5pt"/>
                <v:imagedata o:title=""/>
                <o:lock v:ext="edit" aspectratio="f"/>
                <v:textbox>
                  <w:txbxContent>
                    <w:p>
                      <w:pPr>
                        <w:jc w:val="both"/>
                        <w:rPr>
                          <w:rFonts w:hint="default" w:eastAsia="宋体"/>
                          <w:sz w:val="16"/>
                          <w:szCs w:val="15"/>
                          <w:lang w:val="en-US" w:eastAsia="zh-CN"/>
                        </w:rPr>
                      </w:pPr>
                      <w:r>
                        <w:rPr>
                          <w:rFonts w:hint="eastAsia"/>
                          <w:sz w:val="16"/>
                          <w:szCs w:val="15"/>
                          <w:lang w:val="en-US" w:eastAsia="zh-CN"/>
                        </w:rPr>
                        <w:t>（%）</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328295</wp:posOffset>
                </wp:positionV>
                <wp:extent cx="662305" cy="238125"/>
                <wp:effectExtent l="0" t="0" r="0" b="0"/>
                <wp:wrapNone/>
                <wp:docPr id="5" name="文本框 5"/>
                <wp:cNvGraphicFramePr/>
                <a:graphic xmlns:a="http://schemas.openxmlformats.org/drawingml/2006/main">
                  <a:graphicData uri="http://schemas.microsoft.com/office/word/2010/wordprocessingShape">
                    <wps:wsp>
                      <wps:cNvSpPr txBox="1"/>
                      <wps:spPr>
                        <a:xfrm>
                          <a:off x="1298575" y="1310005"/>
                          <a:ext cx="66230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宋体"/>
                                <w:sz w:val="16"/>
                                <w:szCs w:val="15"/>
                                <w:lang w:eastAsia="zh-CN"/>
                              </w:rPr>
                            </w:pPr>
                            <w:r>
                              <w:rPr>
                                <w:rFonts w:hint="eastAsia"/>
                                <w:sz w:val="16"/>
                                <w:szCs w:val="15"/>
                                <w:lang w:eastAsia="zh-CN"/>
                              </w:rPr>
                              <w:t>（亿元）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25.85pt;height:18.75pt;width:52.15pt;z-index:251659264;mso-width-relative:page;mso-height-relative:page;" filled="f" stroked="f" coordsize="21600,21600" o:gfxdata="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AM3DbYAAAABwEAAA8AAAAAAAAAAQAg&#10;AAAAIgAAAGRycy9kb3ducmV2LnhtbFBLAQIUABQAAAAIAIdO4kDk+HpZRwIAAHEEAAAOAAAAAAAA&#10;AAEAIAAAACcBAABkcnMvZTJvRG9jLnhtbFBLBQYAAAAABgAGAFkBAADgBQAAAAA=&#10;">
                <v:fill on="f" focussize="0,0"/>
                <v:stroke on="f" weight="0.5pt"/>
                <v:imagedata o:title=""/>
                <o:lock v:ext="edit" aspectratio="f"/>
                <v:textbox>
                  <w:txbxContent>
                    <w:p>
                      <w:pPr>
                        <w:jc w:val="both"/>
                        <w:rPr>
                          <w:rFonts w:hint="eastAsia" w:eastAsia="宋体"/>
                          <w:sz w:val="16"/>
                          <w:szCs w:val="15"/>
                          <w:lang w:eastAsia="zh-CN"/>
                        </w:rPr>
                      </w:pPr>
                      <w:r>
                        <w:rPr>
                          <w:rFonts w:hint="eastAsia"/>
                          <w:sz w:val="16"/>
                          <w:szCs w:val="15"/>
                          <w:lang w:eastAsia="zh-CN"/>
                        </w:rPr>
                        <w:t>（亿元）</w:t>
                      </w:r>
                    </w:p>
                  </w:txbxContent>
                </v:textbox>
              </v:shape>
            </w:pict>
          </mc:Fallback>
        </mc:AlternateContent>
      </w:r>
      <w:r>
        <w:rPr>
          <w:rFonts w:hint="eastAsia" w:cs="仿宋_GB2312"/>
          <w:b/>
          <w:bCs/>
          <w:color w:val="auto"/>
          <w:kern w:val="2"/>
          <w:szCs w:val="32"/>
          <w:highlight w:val="none"/>
          <w:lang w:val="zh-TW"/>
        </w:rPr>
        <w:t>图</w:t>
      </w:r>
      <w:r>
        <w:rPr>
          <w:rFonts w:hint="eastAsia" w:cs="仿宋_GB2312"/>
          <w:b/>
          <w:bCs/>
          <w:color w:val="auto"/>
          <w:kern w:val="2"/>
          <w:szCs w:val="32"/>
          <w:highlight w:val="none"/>
          <w:lang w:val="en-US" w:eastAsia="zh-CN"/>
        </w:rPr>
        <w:t xml:space="preserve">2 </w:t>
      </w:r>
      <w:r>
        <w:rPr>
          <w:rFonts w:hint="eastAsia" w:cs="仿宋_GB2312"/>
          <w:b/>
          <w:bCs/>
          <w:color w:val="auto"/>
          <w:kern w:val="2"/>
          <w:szCs w:val="32"/>
          <w:highlight w:val="none"/>
          <w:lang w:val="zh-TW"/>
        </w:rPr>
        <w:t>2021—202</w:t>
      </w:r>
      <w:r>
        <w:rPr>
          <w:rFonts w:hint="eastAsia" w:cs="仿宋_GB2312"/>
          <w:b/>
          <w:bCs/>
          <w:color w:val="auto"/>
          <w:kern w:val="2"/>
          <w:szCs w:val="32"/>
          <w:highlight w:val="none"/>
          <w:lang w:val="en-US" w:eastAsia="zh-CN"/>
        </w:rPr>
        <w:t>4</w:t>
      </w:r>
      <w:r>
        <w:rPr>
          <w:rFonts w:hint="eastAsia" w:cs="仿宋_GB2312"/>
          <w:b/>
          <w:bCs/>
          <w:color w:val="auto"/>
          <w:kern w:val="2"/>
          <w:szCs w:val="32"/>
          <w:highlight w:val="none"/>
          <w:lang w:val="zh-TW"/>
        </w:rPr>
        <w:t>年亦庄新城规模以上工业总产值及增速</w:t>
      </w:r>
    </w:p>
    <w:p>
      <w:pPr>
        <w:ind w:left="0" w:leftChars="0" w:firstLine="0" w:firstLineChars="0"/>
        <w:jc w:val="center"/>
        <w:rPr>
          <w:rFonts w:ascii="仿宋_GB2312" w:hAnsi="仿宋_GB2312" w:eastAsia="仿宋_GB2312" w:cs="仿宋_GB2312"/>
          <w:color w:val="FF0000"/>
          <w:sz w:val="32"/>
          <w:szCs w:val="32"/>
          <w:highlight w:val="none"/>
          <w:lang w:val="zh-TW"/>
        </w:rPr>
      </w:pPr>
      <w:r>
        <w:rPr>
          <w:rFonts w:hint="eastAsia" w:ascii="仿宋_GB2312" w:hAnsi="仿宋_GB2312" w:eastAsia="仿宋_GB2312" w:cs="仿宋_GB2312"/>
          <w:color w:val="FF0000"/>
          <w:sz w:val="32"/>
          <w:szCs w:val="32"/>
          <w:highlight w:val="none"/>
          <w:lang w:val="zh-TW" w:eastAsia="zh-CN"/>
        </w:rPr>
        <w:drawing>
          <wp:inline distT="0" distB="0" distL="114300" distR="114300">
            <wp:extent cx="5088890" cy="2520315"/>
            <wp:effectExtent l="4445" t="4445" r="12065" b="88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建筑业：</w:t>
      </w:r>
      <w:r>
        <w:rPr>
          <w:rFonts w:hint="eastAsia" w:ascii="仿宋_GB2312" w:hAnsi="仿宋_GB2312" w:eastAsia="仿宋_GB2312" w:cs="仿宋_GB2312"/>
          <w:b w:val="0"/>
          <w:bCs/>
          <w:color w:val="auto"/>
          <w:sz w:val="32"/>
          <w:szCs w:val="32"/>
          <w:highlight w:val="none"/>
          <w:lang w:val="zh-TW"/>
        </w:rPr>
        <w:t>亦庄新城全年具有资质等级的总承包和专业承包建筑业企业完成建筑业总产值9</w:t>
      </w:r>
      <w:r>
        <w:rPr>
          <w:rFonts w:hint="eastAsia" w:ascii="仿宋_GB2312" w:hAnsi="仿宋_GB2312" w:eastAsia="仿宋_GB2312" w:cs="仿宋_GB2312"/>
          <w:b w:val="0"/>
          <w:bCs/>
          <w:color w:val="auto"/>
          <w:sz w:val="32"/>
          <w:szCs w:val="32"/>
          <w:highlight w:val="none"/>
          <w:lang w:val="en-US" w:eastAsia="zh-CN"/>
        </w:rPr>
        <w:t>30.3</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下降</w:t>
      </w:r>
      <w:r>
        <w:rPr>
          <w:rFonts w:hint="eastAsia" w:ascii="仿宋_GB2312" w:hAnsi="仿宋_GB2312" w:eastAsia="仿宋_GB2312" w:cs="仿宋_GB2312"/>
          <w:b w:val="0"/>
          <w:bCs/>
          <w:color w:val="auto"/>
          <w:sz w:val="32"/>
          <w:szCs w:val="32"/>
          <w:highlight w:val="none"/>
          <w:lang w:val="en-US" w:eastAsia="zh-CN"/>
        </w:rPr>
        <w:t>1.1</w:t>
      </w:r>
      <w:r>
        <w:rPr>
          <w:rFonts w:hint="eastAsia" w:ascii="仿宋_GB2312" w:hAnsi="仿宋_GB2312" w:eastAsia="仿宋_GB2312" w:cs="仿宋_GB2312"/>
          <w:b w:val="0"/>
          <w:bCs/>
          <w:color w:val="auto"/>
          <w:sz w:val="32"/>
          <w:szCs w:val="32"/>
          <w:highlight w:val="none"/>
          <w:lang w:val="zh-TW"/>
        </w:rPr>
        <w:t>%。其中，在本市完成16</w:t>
      </w:r>
      <w:r>
        <w:rPr>
          <w:rFonts w:hint="eastAsia" w:ascii="仿宋_GB2312" w:hAnsi="仿宋_GB2312" w:eastAsia="仿宋_GB2312" w:cs="仿宋_GB2312"/>
          <w:b w:val="0"/>
          <w:bCs/>
          <w:color w:val="auto"/>
          <w:sz w:val="32"/>
          <w:szCs w:val="32"/>
          <w:highlight w:val="none"/>
          <w:lang w:val="en-US" w:eastAsia="zh-CN"/>
        </w:rPr>
        <w:t>3.0</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1.0</w:t>
      </w:r>
      <w:r>
        <w:rPr>
          <w:rFonts w:hint="eastAsia" w:ascii="仿宋_GB2312" w:hAnsi="仿宋_GB2312" w:eastAsia="仿宋_GB2312" w:cs="仿宋_GB2312"/>
          <w:b w:val="0"/>
          <w:bCs/>
          <w:color w:val="auto"/>
          <w:sz w:val="32"/>
          <w:szCs w:val="32"/>
          <w:highlight w:val="none"/>
          <w:lang w:val="zh-TW"/>
        </w:rPr>
        <w:t>%；在外省完成7</w:t>
      </w:r>
      <w:r>
        <w:rPr>
          <w:rFonts w:hint="eastAsia" w:ascii="仿宋_GB2312" w:hAnsi="仿宋_GB2312" w:eastAsia="仿宋_GB2312" w:cs="仿宋_GB2312"/>
          <w:b w:val="0"/>
          <w:bCs/>
          <w:color w:val="auto"/>
          <w:sz w:val="32"/>
          <w:szCs w:val="32"/>
          <w:highlight w:val="none"/>
          <w:lang w:val="en-US" w:eastAsia="zh-CN"/>
        </w:rPr>
        <w:t>67.3</w:t>
      </w:r>
      <w:r>
        <w:rPr>
          <w:rFonts w:hint="eastAsia" w:ascii="仿宋_GB2312" w:hAnsi="仿宋_GB2312" w:eastAsia="仿宋_GB2312" w:cs="仿宋_GB2312"/>
          <w:b w:val="0"/>
          <w:bCs/>
          <w:color w:val="auto"/>
          <w:sz w:val="32"/>
          <w:szCs w:val="32"/>
          <w:highlight w:val="none"/>
          <w:lang w:val="zh-TW"/>
        </w:rPr>
        <w:t>亿元，比上年</w:t>
      </w:r>
      <w:r>
        <w:rPr>
          <w:rFonts w:hint="eastAsia" w:ascii="仿宋_GB2312" w:hAnsi="仿宋_GB2312" w:eastAsia="仿宋_GB2312" w:cs="仿宋_GB2312"/>
          <w:b w:val="0"/>
          <w:bCs/>
          <w:color w:val="auto"/>
          <w:sz w:val="32"/>
          <w:szCs w:val="32"/>
          <w:highlight w:val="none"/>
          <w:lang w:val="zh-TW" w:eastAsia="zh-CN"/>
        </w:rPr>
        <w:t>下降</w:t>
      </w:r>
      <w:r>
        <w:rPr>
          <w:rFonts w:hint="eastAsia" w:ascii="仿宋_GB2312" w:hAnsi="仿宋_GB2312" w:eastAsia="仿宋_GB2312" w:cs="仿宋_GB2312"/>
          <w:b w:val="0"/>
          <w:bCs/>
          <w:color w:val="auto"/>
          <w:sz w:val="32"/>
          <w:szCs w:val="32"/>
          <w:highlight w:val="none"/>
          <w:lang w:val="en-US" w:eastAsia="zh-CN"/>
        </w:rPr>
        <w:t>1.6</w:t>
      </w:r>
      <w:r>
        <w:rPr>
          <w:rFonts w:hint="eastAsia" w:ascii="仿宋_GB2312" w:hAnsi="仿宋_GB2312" w:eastAsia="仿宋_GB2312" w:cs="仿宋_GB2312"/>
          <w:b w:val="0"/>
          <w:bCs/>
          <w:color w:val="auto"/>
          <w:sz w:val="32"/>
          <w:szCs w:val="32"/>
          <w:highlight w:val="none"/>
          <w:lang w:val="zh-TW"/>
        </w:rPr>
        <w:t>%。本年新签合同额</w:t>
      </w:r>
      <w:r>
        <w:rPr>
          <w:rFonts w:hint="eastAsia" w:ascii="仿宋_GB2312" w:hAnsi="仿宋_GB2312" w:eastAsia="仿宋_GB2312" w:cs="仿宋_GB2312"/>
          <w:b w:val="0"/>
          <w:bCs/>
          <w:color w:val="auto"/>
          <w:sz w:val="32"/>
          <w:szCs w:val="32"/>
          <w:highlight w:val="none"/>
          <w:lang w:val="en-US" w:eastAsia="zh-CN"/>
        </w:rPr>
        <w:t>933.7</w:t>
      </w:r>
      <w:r>
        <w:rPr>
          <w:rFonts w:hint="eastAsia" w:ascii="仿宋_GB2312" w:hAnsi="仿宋_GB2312" w:eastAsia="仿宋_GB2312" w:cs="仿宋_GB2312"/>
          <w:b w:val="0"/>
          <w:bCs/>
          <w:color w:val="auto"/>
          <w:sz w:val="32"/>
          <w:szCs w:val="32"/>
          <w:highlight w:val="none"/>
          <w:lang w:val="zh-TW"/>
        </w:rPr>
        <w:t>亿元，比上年下降</w:t>
      </w:r>
      <w:r>
        <w:rPr>
          <w:rFonts w:hint="eastAsia" w:ascii="仿宋_GB2312" w:hAnsi="仿宋_GB2312" w:eastAsia="仿宋_GB2312" w:cs="仿宋_GB2312"/>
          <w:b w:val="0"/>
          <w:bCs/>
          <w:color w:val="auto"/>
          <w:sz w:val="32"/>
          <w:szCs w:val="32"/>
          <w:highlight w:val="none"/>
          <w:lang w:val="en-US" w:eastAsia="zh-CN"/>
        </w:rPr>
        <w:t>44.5</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批发和零售业：</w:t>
      </w:r>
      <w:r>
        <w:rPr>
          <w:rFonts w:hint="eastAsia" w:ascii="仿宋_GB2312" w:hAnsi="仿宋_GB2312" w:eastAsia="仿宋_GB2312" w:cs="仿宋_GB2312"/>
          <w:b w:val="0"/>
          <w:bCs/>
          <w:color w:val="auto"/>
          <w:sz w:val="32"/>
          <w:szCs w:val="32"/>
          <w:highlight w:val="none"/>
          <w:lang w:val="zh-TW"/>
        </w:rPr>
        <w:t>亦庄新城全年批发和零售业实现销售额</w:t>
      </w:r>
      <w:r>
        <w:rPr>
          <w:rFonts w:hint="eastAsia" w:ascii="仿宋_GB2312" w:hAnsi="仿宋_GB2312" w:eastAsia="仿宋_GB2312" w:cs="仿宋_GB2312"/>
          <w:b w:val="0"/>
          <w:bCs/>
          <w:color w:val="auto"/>
          <w:sz w:val="32"/>
          <w:szCs w:val="32"/>
          <w:highlight w:val="none"/>
          <w:lang w:val="en-US" w:eastAsia="zh-CN"/>
        </w:rPr>
        <w:t>15248.9</w:t>
      </w:r>
      <w:r>
        <w:rPr>
          <w:rFonts w:hint="eastAsia" w:ascii="仿宋_GB2312" w:hAnsi="仿宋_GB2312" w:eastAsia="仿宋_GB2312" w:cs="仿宋_GB2312"/>
          <w:b w:val="0"/>
          <w:bCs/>
          <w:color w:val="auto"/>
          <w:sz w:val="32"/>
          <w:szCs w:val="32"/>
          <w:highlight w:val="none"/>
          <w:lang w:val="zh-TW" w:eastAsia="zh-CN"/>
        </w:rPr>
        <w:t>亿元</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zh-TW" w:eastAsia="zh-CN"/>
        </w:rPr>
        <w:t>比上年</w:t>
      </w:r>
      <w:r>
        <w:rPr>
          <w:rFonts w:hint="eastAsia" w:ascii="仿宋_GB2312" w:hAnsi="仿宋_GB2312" w:eastAsia="仿宋_GB2312" w:cs="仿宋_GB2312"/>
          <w:b w:val="0"/>
          <w:bCs/>
          <w:color w:val="auto"/>
          <w:sz w:val="32"/>
          <w:szCs w:val="32"/>
          <w:highlight w:val="none"/>
          <w:lang w:val="en-US" w:eastAsia="zh-CN"/>
        </w:rPr>
        <w:t>增长9.2%</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信息传输、软件和信息技术服务业：</w:t>
      </w:r>
      <w:r>
        <w:rPr>
          <w:rFonts w:hint="eastAsia" w:ascii="仿宋_GB2312" w:hAnsi="仿宋_GB2312" w:eastAsia="仿宋_GB2312" w:cs="仿宋_GB2312"/>
          <w:b w:val="0"/>
          <w:bCs/>
          <w:color w:val="auto"/>
          <w:sz w:val="32"/>
          <w:szCs w:val="32"/>
          <w:highlight w:val="none"/>
          <w:lang w:val="zh-TW"/>
        </w:rPr>
        <w:t>亦庄新城全年规模以上信息传输、软件和信息技术服务业单位实现收入1</w:t>
      </w:r>
      <w:r>
        <w:rPr>
          <w:rFonts w:hint="eastAsia" w:ascii="仿宋_GB2312" w:hAnsi="仿宋_GB2312" w:eastAsia="仿宋_GB2312" w:cs="仿宋_GB2312"/>
          <w:b w:val="0"/>
          <w:bCs/>
          <w:color w:val="auto"/>
          <w:sz w:val="32"/>
          <w:szCs w:val="32"/>
          <w:highlight w:val="none"/>
          <w:lang w:val="en-US" w:eastAsia="zh-CN"/>
        </w:rPr>
        <w:t>324.2</w:t>
      </w:r>
      <w:r>
        <w:rPr>
          <w:rFonts w:hint="eastAsia" w:ascii="仿宋_GB2312" w:hAnsi="仿宋_GB2312" w:eastAsia="仿宋_GB2312" w:cs="仿宋_GB2312"/>
          <w:b w:val="0"/>
          <w:bCs/>
          <w:color w:val="auto"/>
          <w:sz w:val="32"/>
          <w:szCs w:val="32"/>
          <w:highlight w:val="none"/>
          <w:lang w:val="zh-TW"/>
        </w:rPr>
        <w:t>亿元，比上年增长1</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lang w:val="zh-TW"/>
        </w:rPr>
        <w:t>.7%。实现利润总额</w:t>
      </w:r>
      <w:r>
        <w:rPr>
          <w:rFonts w:hint="eastAsia" w:ascii="仿宋_GB2312" w:hAnsi="仿宋_GB2312" w:eastAsia="仿宋_GB2312" w:cs="仿宋_GB2312"/>
          <w:b w:val="0"/>
          <w:bCs/>
          <w:color w:val="auto"/>
          <w:sz w:val="32"/>
          <w:szCs w:val="32"/>
          <w:highlight w:val="none"/>
          <w:lang w:val="en-US" w:eastAsia="zh-CN"/>
        </w:rPr>
        <w:t>237.3</w:t>
      </w:r>
      <w:r>
        <w:rPr>
          <w:rFonts w:hint="eastAsia" w:ascii="仿宋_GB2312" w:hAnsi="仿宋_GB2312" w:eastAsia="仿宋_GB2312" w:cs="仿宋_GB2312"/>
          <w:b w:val="0"/>
          <w:bCs/>
          <w:color w:val="auto"/>
          <w:sz w:val="32"/>
          <w:szCs w:val="32"/>
          <w:highlight w:val="none"/>
          <w:lang w:val="zh-TW"/>
        </w:rPr>
        <w:t>亿元，比上年增长</w:t>
      </w:r>
      <w:r>
        <w:rPr>
          <w:rFonts w:hint="eastAsia" w:ascii="仿宋_GB2312" w:hAnsi="仿宋_GB2312" w:eastAsia="仿宋_GB2312" w:cs="仿宋_GB2312"/>
          <w:b w:val="0"/>
          <w:bCs/>
          <w:color w:val="auto"/>
          <w:sz w:val="32"/>
          <w:szCs w:val="32"/>
          <w:highlight w:val="none"/>
          <w:lang w:val="en-US" w:eastAsia="zh-CN"/>
        </w:rPr>
        <w:t>37.8</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FF0000"/>
          <w:sz w:val="32"/>
          <w:szCs w:val="32"/>
          <w:highlight w:val="none"/>
          <w:lang w:val="zh-TW"/>
        </w:rPr>
      </w:pPr>
      <w:r>
        <w:rPr>
          <w:rFonts w:hint="eastAsia" w:ascii="仿宋_GB2312" w:hAnsi="仿宋_GB2312" w:eastAsia="仿宋_GB2312" w:cs="仿宋_GB2312"/>
          <w:b/>
          <w:color w:val="auto"/>
          <w:sz w:val="32"/>
          <w:szCs w:val="32"/>
          <w:highlight w:val="none"/>
          <w:lang w:val="zh-TW"/>
        </w:rPr>
        <w:t>房地产开发：</w:t>
      </w:r>
      <w:r>
        <w:rPr>
          <w:rFonts w:hint="eastAsia" w:ascii="仿宋_GB2312" w:hAnsi="仿宋_GB2312" w:eastAsia="仿宋_GB2312" w:cs="仿宋_GB2312"/>
          <w:b w:val="0"/>
          <w:bCs/>
          <w:color w:val="auto"/>
          <w:sz w:val="32"/>
          <w:szCs w:val="32"/>
          <w:highlight w:val="none"/>
          <w:lang w:val="zh-TW"/>
        </w:rPr>
        <w:t>亦庄新城全年房地产开发投资比上年下降</w:t>
      </w:r>
      <w:r>
        <w:rPr>
          <w:rFonts w:hint="eastAsia" w:ascii="仿宋_GB2312" w:hAnsi="仿宋_GB2312" w:eastAsia="仿宋_GB2312" w:cs="仿宋_GB2312"/>
          <w:b w:val="0"/>
          <w:bCs/>
          <w:color w:val="auto"/>
          <w:sz w:val="32"/>
          <w:szCs w:val="32"/>
          <w:highlight w:val="none"/>
          <w:lang w:val="en-US" w:eastAsia="zh-CN"/>
        </w:rPr>
        <w:t>47.7</w:t>
      </w:r>
      <w:r>
        <w:rPr>
          <w:rFonts w:hint="eastAsia" w:ascii="仿宋_GB2312" w:hAnsi="仿宋_GB2312" w:eastAsia="仿宋_GB2312" w:cs="仿宋_GB2312"/>
          <w:b w:val="0"/>
          <w:bCs/>
          <w:color w:val="auto"/>
          <w:sz w:val="32"/>
          <w:szCs w:val="32"/>
          <w:highlight w:val="none"/>
          <w:lang w:val="zh-TW"/>
        </w:rPr>
        <w:t>%。其中，住宅投资比上年下降</w:t>
      </w:r>
      <w:r>
        <w:rPr>
          <w:rFonts w:hint="eastAsia" w:ascii="仿宋_GB2312" w:hAnsi="仿宋_GB2312" w:eastAsia="仿宋_GB2312" w:cs="仿宋_GB2312"/>
          <w:b w:val="0"/>
          <w:bCs/>
          <w:color w:val="auto"/>
          <w:sz w:val="32"/>
          <w:szCs w:val="32"/>
          <w:highlight w:val="none"/>
          <w:lang w:val="en-US" w:eastAsia="zh-CN"/>
        </w:rPr>
        <w:t>51.7</w:t>
      </w:r>
      <w:r>
        <w:rPr>
          <w:rFonts w:hint="eastAsia" w:ascii="仿宋_GB2312" w:hAnsi="仿宋_GB2312" w:eastAsia="仿宋_GB2312" w:cs="仿宋_GB2312"/>
          <w:b w:val="0"/>
          <w:bCs/>
          <w:color w:val="auto"/>
          <w:sz w:val="32"/>
          <w:szCs w:val="32"/>
          <w:highlight w:val="none"/>
          <w:lang w:val="zh-TW"/>
        </w:rPr>
        <w:t>%，办公楼投资比上年下降</w:t>
      </w:r>
      <w:r>
        <w:rPr>
          <w:rFonts w:hint="eastAsia" w:ascii="仿宋_GB2312" w:hAnsi="仿宋_GB2312" w:eastAsia="仿宋_GB2312" w:cs="仿宋_GB2312"/>
          <w:b w:val="0"/>
          <w:bCs/>
          <w:color w:val="auto"/>
          <w:sz w:val="32"/>
          <w:szCs w:val="32"/>
          <w:highlight w:val="none"/>
          <w:lang w:val="en-US" w:eastAsia="zh-CN"/>
        </w:rPr>
        <w:t>65.3</w:t>
      </w:r>
      <w:r>
        <w:rPr>
          <w:rFonts w:hint="eastAsia" w:ascii="仿宋_GB2312" w:hAnsi="仿宋_GB2312" w:eastAsia="仿宋_GB2312" w:cs="仿宋_GB2312"/>
          <w:b w:val="0"/>
          <w:bCs/>
          <w:color w:val="auto"/>
          <w:sz w:val="32"/>
          <w:szCs w:val="32"/>
          <w:highlight w:val="none"/>
          <w:lang w:val="zh-TW"/>
        </w:rPr>
        <w:t>%，商业营业用房投资比上年</w:t>
      </w:r>
      <w:r>
        <w:rPr>
          <w:rFonts w:hint="eastAsia" w:ascii="仿宋_GB2312" w:hAnsi="仿宋_GB2312" w:eastAsia="仿宋_GB2312" w:cs="仿宋_GB2312"/>
          <w:b w:val="0"/>
          <w:bCs/>
          <w:color w:val="auto"/>
          <w:sz w:val="32"/>
          <w:szCs w:val="32"/>
          <w:highlight w:val="none"/>
          <w:lang w:val="zh-TW" w:eastAsia="zh-CN"/>
        </w:rPr>
        <w:t>增长</w:t>
      </w:r>
      <w:r>
        <w:rPr>
          <w:rFonts w:hint="eastAsia" w:ascii="仿宋_GB2312" w:hAnsi="仿宋_GB2312" w:eastAsia="仿宋_GB2312" w:cs="仿宋_GB2312"/>
          <w:b w:val="0"/>
          <w:bCs/>
          <w:color w:val="auto"/>
          <w:sz w:val="32"/>
          <w:szCs w:val="32"/>
          <w:highlight w:val="none"/>
          <w:lang w:val="en-US" w:eastAsia="zh-CN"/>
        </w:rPr>
        <w:t>118.5</w:t>
      </w:r>
      <w:r>
        <w:rPr>
          <w:rFonts w:hint="eastAsia" w:ascii="仿宋_GB2312" w:hAnsi="仿宋_GB2312" w:eastAsia="仿宋_GB2312" w:cs="仿宋_GB2312"/>
          <w:b w:val="0"/>
          <w:bCs/>
          <w:color w:val="auto"/>
          <w:sz w:val="32"/>
          <w:szCs w:val="32"/>
          <w:highlight w:val="none"/>
          <w:lang w:val="zh-TW"/>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cs="仿宋_GB2312"/>
          <w:b/>
          <w:bCs/>
          <w:color w:val="auto"/>
          <w:kern w:val="2"/>
          <w:szCs w:val="32"/>
          <w:highlight w:val="none"/>
          <w:lang w:val="zh-TW"/>
        </w:rPr>
      </w:pPr>
      <w:r>
        <w:rPr>
          <w:rFonts w:hint="eastAsia" w:cs="仿宋_GB2312"/>
          <w:b/>
          <w:bCs/>
          <w:color w:val="auto"/>
          <w:kern w:val="2"/>
          <w:szCs w:val="32"/>
          <w:highlight w:val="none"/>
          <w:lang w:val="zh-TW"/>
        </w:rPr>
        <w:t>表</w:t>
      </w:r>
      <w:r>
        <w:rPr>
          <w:rFonts w:hint="eastAsia" w:cs="仿宋_GB2312"/>
          <w:b/>
          <w:bCs/>
          <w:color w:val="auto"/>
          <w:kern w:val="2"/>
          <w:szCs w:val="32"/>
          <w:highlight w:val="none"/>
          <w:lang w:val="en-US" w:eastAsia="zh-CN"/>
        </w:rPr>
        <w:t xml:space="preserve">3 </w:t>
      </w:r>
      <w:r>
        <w:rPr>
          <w:rFonts w:hint="eastAsia" w:cs="仿宋_GB2312"/>
          <w:b/>
          <w:bCs/>
          <w:color w:val="auto"/>
          <w:kern w:val="2"/>
          <w:szCs w:val="32"/>
          <w:highlight w:val="none"/>
          <w:lang w:val="zh-TW"/>
        </w:rPr>
        <w:t>202</w:t>
      </w:r>
      <w:r>
        <w:rPr>
          <w:rFonts w:hint="eastAsia" w:cs="仿宋_GB2312"/>
          <w:b/>
          <w:bCs/>
          <w:color w:val="auto"/>
          <w:kern w:val="2"/>
          <w:szCs w:val="32"/>
          <w:highlight w:val="none"/>
          <w:lang w:val="en-US" w:eastAsia="zh-CN"/>
        </w:rPr>
        <w:t>4</w:t>
      </w:r>
      <w:r>
        <w:rPr>
          <w:rFonts w:hint="eastAsia" w:cs="仿宋_GB2312"/>
          <w:b/>
          <w:bCs/>
          <w:color w:val="auto"/>
          <w:kern w:val="2"/>
          <w:szCs w:val="32"/>
          <w:highlight w:val="none"/>
          <w:lang w:val="zh-TW"/>
        </w:rPr>
        <w:t>年亦庄新城房地产开发和销售主要指标</w:t>
      </w:r>
    </w:p>
    <w:tbl>
      <w:tblPr>
        <w:tblStyle w:val="6"/>
        <w:tblW w:w="8364"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402"/>
        <w:gridCol w:w="2552"/>
        <w:gridCol w:w="241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指标</w:t>
            </w:r>
          </w:p>
        </w:tc>
        <w:tc>
          <w:tcPr>
            <w:tcW w:w="2552" w:type="dxa"/>
            <w:tcBorders>
              <w:tl2br w:val="nil"/>
              <w:tr2bl w:val="nil"/>
            </w:tcBorders>
            <w:shd w:val="clear" w:color="auto" w:fill="auto"/>
            <w:noWrap/>
            <w:vAlign w:val="center"/>
          </w:tcPr>
          <w:p>
            <w:pPr>
              <w:widowControl/>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绝对数（万平方米）</w:t>
            </w:r>
          </w:p>
        </w:tc>
        <w:tc>
          <w:tcPr>
            <w:tcW w:w="2410" w:type="dxa"/>
            <w:tcBorders>
              <w:tl2br w:val="nil"/>
              <w:tr2bl w:val="nil"/>
            </w:tcBorders>
            <w:shd w:val="clear" w:color="auto" w:fill="auto"/>
            <w:noWrap/>
            <w:vAlign w:val="center"/>
          </w:tcPr>
          <w:p>
            <w:pPr>
              <w:widowControl/>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比上年增长（</w:t>
            </w:r>
            <w:r>
              <w:rPr>
                <w:rFonts w:ascii="宋体" w:hAnsi="宋体" w:eastAsia="宋体" w:cs="宋体"/>
                <w:b w:val="0"/>
                <w:bCs w:val="0"/>
                <w:color w:val="auto"/>
                <w:kern w:val="0"/>
                <w:sz w:val="21"/>
                <w:szCs w:val="21"/>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本年房屋施工面积</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437.0</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-16.9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415" w:firstLineChars="198"/>
              <w:jc w:val="left"/>
              <w:rPr>
                <w:rFonts w:hint="eastAsia" w:ascii="宋体" w:hAnsi="宋体" w:eastAsia="宋体" w:cs="宋体"/>
                <w:bCs/>
                <w:color w:val="auto"/>
                <w:kern w:val="0"/>
                <w:sz w:val="21"/>
                <w:szCs w:val="21"/>
                <w:highlight w:val="none"/>
              </w:rPr>
            </w:pPr>
            <w:r>
              <w:rPr>
                <w:rFonts w:hint="eastAsia"/>
                <w:color w:val="auto"/>
              </w:rPr>
              <w:t>其中：新开工</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98.1</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15.3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415" w:firstLineChars="198"/>
              <w:jc w:val="left"/>
              <w:rPr>
                <w:rFonts w:hint="eastAsia" w:ascii="宋体" w:hAnsi="宋体" w:eastAsia="宋体" w:cs="宋体"/>
                <w:bCs/>
                <w:color w:val="auto"/>
                <w:kern w:val="0"/>
                <w:sz w:val="21"/>
                <w:szCs w:val="21"/>
                <w:highlight w:val="none"/>
              </w:rPr>
            </w:pPr>
            <w:r>
              <w:rPr>
                <w:rFonts w:hint="eastAsia"/>
                <w:color w:val="auto"/>
              </w:rPr>
              <w:t>其中：住宅</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267.6</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本年房屋竣工面积</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125.8</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66.6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415" w:firstLineChars="198"/>
              <w:jc w:val="left"/>
              <w:rPr>
                <w:rFonts w:hint="eastAsia" w:ascii="宋体" w:hAnsi="宋体" w:eastAsia="宋体" w:cs="宋体"/>
                <w:bCs/>
                <w:color w:val="auto"/>
                <w:kern w:val="0"/>
                <w:sz w:val="21"/>
                <w:szCs w:val="21"/>
                <w:highlight w:val="none"/>
              </w:rPr>
            </w:pPr>
            <w:r>
              <w:rPr>
                <w:rFonts w:hint="eastAsia"/>
                <w:color w:val="auto"/>
              </w:rPr>
              <w:t>其中：住宅</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77.3</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63.8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85" w:hRule="atLeast"/>
        </w:trPr>
        <w:tc>
          <w:tcPr>
            <w:tcW w:w="340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商品房屋销售面积</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77.9</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51.3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415" w:firstLineChars="198"/>
              <w:jc w:val="left"/>
              <w:rPr>
                <w:rFonts w:hint="eastAsia" w:ascii="宋体" w:hAnsi="宋体" w:eastAsia="宋体" w:cs="宋体"/>
                <w:bCs/>
                <w:color w:val="auto"/>
                <w:kern w:val="0"/>
                <w:sz w:val="21"/>
                <w:szCs w:val="21"/>
                <w:highlight w:val="none"/>
              </w:rPr>
            </w:pPr>
            <w:r>
              <w:rPr>
                <w:rFonts w:hint="eastAsia"/>
                <w:color w:val="auto"/>
              </w:rPr>
              <w:t>其中：住宅</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67.1</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149.1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85" w:hRule="atLeast"/>
        </w:trPr>
        <w:tc>
          <w:tcPr>
            <w:tcW w:w="3402" w:type="dxa"/>
            <w:tcBorders>
              <w:tl2br w:val="nil"/>
              <w:tr2bl w:val="nil"/>
            </w:tcBorders>
            <w:shd w:val="clear" w:color="auto" w:fill="auto"/>
            <w:noWrap/>
            <w:vAlign w:val="center"/>
          </w:tcPr>
          <w:p>
            <w:pPr>
              <w:widowControl/>
              <w:ind w:firstLine="205" w:firstLineChars="98"/>
              <w:jc w:val="left"/>
              <w:rPr>
                <w:rFonts w:hint="eastAsia" w:ascii="宋体" w:hAnsi="宋体" w:eastAsia="宋体" w:cs="宋体"/>
                <w:bCs/>
                <w:color w:val="auto"/>
                <w:kern w:val="0"/>
                <w:sz w:val="21"/>
                <w:szCs w:val="21"/>
                <w:highlight w:val="none"/>
              </w:rPr>
            </w:pPr>
            <w:r>
              <w:rPr>
                <w:rFonts w:hint="eastAsia"/>
                <w:color w:val="auto"/>
              </w:rPr>
              <w:t>商品房屋待售面积</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eastAsia="zh-CN"/>
              </w:rPr>
            </w:pPr>
            <w:r>
              <w:rPr>
                <w:rFonts w:hint="eastAsia" w:ascii="宋体" w:hAnsi="宋体" w:eastAsia="宋体" w:cs="宋体"/>
                <w:i w:val="0"/>
                <w:iCs w:val="0"/>
                <w:color w:val="auto"/>
                <w:kern w:val="0"/>
                <w:sz w:val="20"/>
                <w:szCs w:val="20"/>
                <w:u w:val="none"/>
                <w:lang w:val="en-US" w:eastAsia="zh-CN" w:bidi="ar"/>
              </w:rPr>
              <w:t>73.2</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-40.6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402" w:type="dxa"/>
            <w:tcBorders>
              <w:tl2br w:val="nil"/>
              <w:tr2bl w:val="nil"/>
            </w:tcBorders>
            <w:shd w:val="clear" w:color="auto" w:fill="auto"/>
            <w:noWrap/>
            <w:vAlign w:val="center"/>
          </w:tcPr>
          <w:p>
            <w:pPr>
              <w:widowControl/>
              <w:ind w:firstLine="415" w:firstLineChars="198"/>
              <w:jc w:val="left"/>
              <w:rPr>
                <w:rFonts w:hint="eastAsia" w:ascii="宋体" w:hAnsi="宋体" w:eastAsia="宋体" w:cs="宋体"/>
                <w:bCs/>
                <w:color w:val="auto"/>
                <w:kern w:val="0"/>
                <w:sz w:val="21"/>
                <w:szCs w:val="21"/>
                <w:highlight w:val="none"/>
              </w:rPr>
            </w:pPr>
            <w:r>
              <w:rPr>
                <w:rFonts w:hint="eastAsia"/>
                <w:color w:val="auto"/>
              </w:rPr>
              <w:t>其中：住宅</w:t>
            </w:r>
          </w:p>
        </w:tc>
        <w:tc>
          <w:tcPr>
            <w:tcW w:w="2552" w:type="dxa"/>
            <w:tcBorders>
              <w:tl2br w:val="nil"/>
              <w:tr2bl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Cs/>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13.0</w:t>
            </w:r>
          </w:p>
        </w:tc>
        <w:tc>
          <w:tcPr>
            <w:tcW w:w="2410"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0"/>
                <w:szCs w:val="20"/>
                <w:u w:val="none"/>
                <w:lang w:val="en-US" w:eastAsia="zh-CN" w:bidi="ar"/>
              </w:rPr>
              <w:t>-61.0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auto"/>
          <w:sz w:val="32"/>
          <w:szCs w:val="32"/>
          <w:highlight w:val="none"/>
          <w:lang w:val="zh-TW"/>
        </w:rPr>
      </w:pPr>
      <w:r>
        <w:rPr>
          <w:rFonts w:hint="eastAsia" w:ascii="黑体" w:hAnsi="黑体" w:eastAsia="黑体" w:cs="仿宋_GB2312"/>
          <w:color w:val="auto"/>
          <w:sz w:val="32"/>
          <w:szCs w:val="32"/>
          <w:highlight w:val="none"/>
          <w:lang w:val="zh-TW"/>
        </w:rPr>
        <w:t>三、科技和高新技术企业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科技：</w:t>
      </w:r>
      <w:r>
        <w:rPr>
          <w:rFonts w:hint="eastAsia" w:ascii="仿宋_GB2312" w:hAnsi="仿宋_GB2312" w:eastAsia="仿宋_GB2312" w:cs="仿宋_GB2312"/>
          <w:b w:val="0"/>
          <w:bCs/>
          <w:color w:val="auto"/>
          <w:sz w:val="32"/>
          <w:szCs w:val="32"/>
          <w:highlight w:val="none"/>
          <w:lang w:val="zh-TW"/>
        </w:rPr>
        <w:t>2024年，</w:t>
      </w:r>
      <w:r>
        <w:rPr>
          <w:rFonts w:hint="eastAsia" w:ascii="仿宋_GB2312" w:hAnsi="仿宋_GB2312" w:eastAsia="仿宋_GB2312" w:cs="仿宋_GB2312"/>
          <w:b w:val="0"/>
          <w:bCs/>
          <w:color w:val="auto"/>
          <w:sz w:val="32"/>
          <w:szCs w:val="32"/>
          <w:highlight w:val="none"/>
          <w:lang w:val="zh-TW" w:eastAsia="zh-CN"/>
        </w:rPr>
        <w:t>亦庄新城</w:t>
      </w:r>
      <w:r>
        <w:rPr>
          <w:rFonts w:hint="eastAsia" w:ascii="仿宋_GB2312" w:hAnsi="仿宋_GB2312" w:eastAsia="仿宋_GB2312" w:cs="仿宋_GB2312"/>
          <w:b w:val="0"/>
          <w:bCs/>
          <w:color w:val="auto"/>
          <w:sz w:val="32"/>
          <w:szCs w:val="32"/>
          <w:highlight w:val="none"/>
          <w:lang w:val="zh-TW"/>
        </w:rPr>
        <w:t>全年获得专利授权12707件，比上年增长7.7%。其中发明专利7779件，比上年增长44%。截至2024年末，企业拥有有效发明专利达27142件。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高新技术企业：</w:t>
      </w:r>
      <w:r>
        <w:rPr>
          <w:rFonts w:hint="eastAsia" w:ascii="仿宋_GB2312" w:hAnsi="仿宋_GB2312" w:eastAsia="仿宋_GB2312" w:cs="仿宋_GB2312"/>
          <w:b w:val="0"/>
          <w:bCs/>
          <w:color w:val="auto"/>
          <w:sz w:val="32"/>
          <w:szCs w:val="32"/>
          <w:highlight w:val="none"/>
          <w:lang w:val="zh-TW"/>
        </w:rPr>
        <w:t>亦庄新城全年中关村国家自主创新示范区亦庄园规模以上国家级高新技术企业实现总收入</w:t>
      </w:r>
      <w:r>
        <w:rPr>
          <w:rFonts w:hint="eastAsia" w:ascii="仿宋_GB2312" w:hAnsi="仿宋_GB2312" w:eastAsia="仿宋_GB2312" w:cs="仿宋_GB2312"/>
          <w:b w:val="0"/>
          <w:bCs/>
          <w:color w:val="auto"/>
          <w:sz w:val="32"/>
          <w:szCs w:val="32"/>
          <w:highlight w:val="none"/>
          <w:lang w:val="en-US" w:eastAsia="zh-CN"/>
        </w:rPr>
        <w:t>5550.9</w:t>
      </w:r>
      <w:r>
        <w:rPr>
          <w:rFonts w:hint="eastAsia" w:ascii="仿宋_GB2312" w:hAnsi="仿宋_GB2312" w:eastAsia="仿宋_GB2312" w:cs="仿宋_GB2312"/>
          <w:b w:val="0"/>
          <w:bCs/>
          <w:color w:val="auto"/>
          <w:sz w:val="32"/>
          <w:szCs w:val="32"/>
          <w:highlight w:val="none"/>
          <w:lang w:val="zh-TW"/>
        </w:rPr>
        <w:t>亿元，比上年增</w:t>
      </w:r>
      <w:r>
        <w:rPr>
          <w:rFonts w:hint="eastAsia" w:ascii="仿宋_GB2312" w:hAnsi="仿宋_GB2312" w:eastAsia="仿宋_GB2312" w:cs="仿宋_GB2312"/>
          <w:b w:val="0"/>
          <w:bCs/>
          <w:color w:val="auto"/>
          <w:sz w:val="32"/>
          <w:szCs w:val="32"/>
          <w:highlight w:val="none"/>
          <w:lang w:val="zh-TW" w:eastAsia="zh-CN"/>
        </w:rPr>
        <w:t>长</w:t>
      </w:r>
      <w:r>
        <w:rPr>
          <w:rFonts w:hint="eastAsia" w:ascii="仿宋_GB2312" w:hAnsi="仿宋_GB2312" w:eastAsia="仿宋_GB2312" w:cs="仿宋_GB2312"/>
          <w:b w:val="0"/>
          <w:bCs/>
          <w:color w:val="auto"/>
          <w:sz w:val="32"/>
          <w:szCs w:val="32"/>
          <w:highlight w:val="none"/>
          <w:lang w:val="en-US" w:eastAsia="zh-CN"/>
        </w:rPr>
        <w:t>4.5</w:t>
      </w:r>
      <w:r>
        <w:rPr>
          <w:rFonts w:hint="eastAsia" w:ascii="仿宋_GB2312" w:hAnsi="仿宋_GB2312" w:eastAsia="仿宋_GB2312" w:cs="仿宋_GB2312"/>
          <w:b w:val="0"/>
          <w:bCs/>
          <w:color w:val="auto"/>
          <w:sz w:val="32"/>
          <w:szCs w:val="32"/>
          <w:highlight w:val="none"/>
          <w:lang w:val="zh-TW"/>
        </w:rPr>
        <w:t>%。其中</w:t>
      </w:r>
      <w:r>
        <w:rPr>
          <w:rFonts w:hint="eastAsia" w:ascii="仿宋_GB2312" w:hAnsi="仿宋_GB2312" w:eastAsia="仿宋_GB2312" w:cs="仿宋_GB2312"/>
          <w:b w:val="0"/>
          <w:bCs/>
          <w:color w:val="auto"/>
          <w:sz w:val="32"/>
          <w:szCs w:val="32"/>
          <w:highlight w:val="none"/>
          <w:lang w:val="zh-TW" w:eastAsia="zh-CN"/>
        </w:rPr>
        <w:t>，</w:t>
      </w:r>
      <w:r>
        <w:rPr>
          <w:rFonts w:hint="eastAsia" w:ascii="仿宋_GB2312" w:hAnsi="仿宋_GB2312" w:eastAsia="仿宋_GB2312" w:cs="仿宋_GB2312"/>
          <w:b w:val="0"/>
          <w:bCs/>
          <w:color w:val="auto"/>
          <w:sz w:val="32"/>
          <w:szCs w:val="32"/>
          <w:highlight w:val="none"/>
          <w:lang w:val="zh-TW"/>
        </w:rPr>
        <w:t>技术收入</w:t>
      </w:r>
      <w:r>
        <w:rPr>
          <w:rFonts w:hint="eastAsia" w:ascii="仿宋_GB2312" w:hAnsi="仿宋_GB2312" w:eastAsia="仿宋_GB2312" w:cs="仿宋_GB2312"/>
          <w:b w:val="0"/>
          <w:bCs/>
          <w:color w:val="auto"/>
          <w:sz w:val="32"/>
          <w:szCs w:val="32"/>
          <w:highlight w:val="none"/>
          <w:lang w:val="en-US" w:eastAsia="zh-CN"/>
        </w:rPr>
        <w:t>1176.1</w:t>
      </w:r>
      <w:r>
        <w:rPr>
          <w:rFonts w:hint="eastAsia" w:ascii="仿宋_GB2312" w:hAnsi="仿宋_GB2312" w:eastAsia="仿宋_GB2312" w:cs="仿宋_GB2312"/>
          <w:b w:val="0"/>
          <w:bCs/>
          <w:color w:val="auto"/>
          <w:sz w:val="32"/>
          <w:szCs w:val="32"/>
          <w:highlight w:val="none"/>
          <w:lang w:val="zh-TW"/>
        </w:rPr>
        <w:t>亿元，比上年增</w:t>
      </w:r>
      <w:r>
        <w:rPr>
          <w:rFonts w:hint="eastAsia" w:ascii="仿宋_GB2312" w:hAnsi="仿宋_GB2312" w:eastAsia="仿宋_GB2312" w:cs="仿宋_GB2312"/>
          <w:b w:val="0"/>
          <w:bCs/>
          <w:color w:val="auto"/>
          <w:sz w:val="32"/>
          <w:szCs w:val="32"/>
          <w:highlight w:val="none"/>
          <w:lang w:val="zh-TW" w:eastAsia="zh-CN"/>
        </w:rPr>
        <w:t>长</w:t>
      </w:r>
      <w:r>
        <w:rPr>
          <w:rFonts w:hint="eastAsia" w:ascii="仿宋_GB2312" w:hAnsi="仿宋_GB2312" w:eastAsia="仿宋_GB2312" w:cs="仿宋_GB2312"/>
          <w:b w:val="0"/>
          <w:bCs/>
          <w:color w:val="auto"/>
          <w:sz w:val="32"/>
          <w:szCs w:val="32"/>
          <w:highlight w:val="none"/>
          <w:lang w:val="en-US" w:eastAsia="zh-CN"/>
        </w:rPr>
        <w:t>6.5</w:t>
      </w:r>
      <w:r>
        <w:rPr>
          <w:rFonts w:hint="eastAsia" w:ascii="仿宋_GB2312" w:hAnsi="仿宋_GB2312" w:eastAsia="仿宋_GB2312" w:cs="仿宋_GB2312"/>
          <w:b w:val="0"/>
          <w:bCs/>
          <w:color w:val="auto"/>
          <w:sz w:val="32"/>
          <w:szCs w:val="32"/>
          <w:highlight w:val="none"/>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auto"/>
          <w:sz w:val="32"/>
          <w:szCs w:val="32"/>
          <w:highlight w:val="none"/>
          <w:lang w:val="zh-TW"/>
        </w:rPr>
      </w:pPr>
      <w:r>
        <w:rPr>
          <w:rFonts w:hint="eastAsia" w:ascii="黑体" w:hAnsi="黑体" w:eastAsia="黑体" w:cs="仿宋_GB2312"/>
          <w:color w:val="auto"/>
          <w:sz w:val="32"/>
          <w:szCs w:val="32"/>
          <w:highlight w:val="none"/>
          <w:lang w:val="zh-TW"/>
        </w:rPr>
        <w:t>四、就业和社会保障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bCs w:val="0"/>
          <w:color w:val="auto"/>
          <w:sz w:val="32"/>
          <w:szCs w:val="32"/>
          <w:highlight w:val="none"/>
          <w:lang w:val="zh-TW"/>
        </w:rPr>
        <w:t>就业：</w:t>
      </w:r>
      <w:r>
        <w:rPr>
          <w:rFonts w:hint="eastAsia" w:ascii="仿宋_GB2312" w:hAnsi="仿宋_GB2312" w:eastAsia="仿宋_GB2312" w:cs="仿宋_GB2312"/>
          <w:b w:val="0"/>
          <w:bCs/>
          <w:color w:val="auto"/>
          <w:sz w:val="32"/>
          <w:szCs w:val="32"/>
          <w:highlight w:val="none"/>
          <w:lang w:val="zh-TW"/>
        </w:rPr>
        <w:t>2024年，组织市级专项招聘活动及联合周边八镇组织镇街招聘活动共计55场，开发就业岗位1.1万余个。开展秋季校园招聘活动22场，精心组织北方华创、京东方、尚亦城集团等300余家次区内主导产业的优质企业参与，有效挖掘毕业生岗位需求5000余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_GB2312"/>
          <w:color w:val="FF0000"/>
          <w:sz w:val="32"/>
          <w:szCs w:val="32"/>
          <w:highlight w:val="none"/>
          <w:lang w:val="zh-TW"/>
        </w:rPr>
      </w:pPr>
      <w:r>
        <w:rPr>
          <w:rFonts w:hint="eastAsia" w:ascii="仿宋_GB2312" w:hAnsi="仿宋_GB2312" w:eastAsia="仿宋_GB2312" w:cs="仿宋_GB2312"/>
          <w:b/>
          <w:bCs w:val="0"/>
          <w:color w:val="auto"/>
          <w:sz w:val="32"/>
          <w:szCs w:val="32"/>
          <w:highlight w:val="none"/>
          <w:lang w:val="zh-TW"/>
        </w:rPr>
        <w:t>社会保障：</w:t>
      </w:r>
      <w:r>
        <w:rPr>
          <w:rFonts w:hint="eastAsia" w:ascii="仿宋_GB2312" w:hAnsi="仿宋_GB2312" w:eastAsia="仿宋_GB2312" w:cs="仿宋_GB2312"/>
          <w:b w:val="0"/>
          <w:bCs/>
          <w:color w:val="auto"/>
          <w:sz w:val="32"/>
          <w:szCs w:val="32"/>
          <w:highlight w:val="none"/>
          <w:lang w:val="zh-TW" w:eastAsia="zh-CN"/>
        </w:rPr>
        <w:t>亦庄新城</w:t>
      </w:r>
      <w:r>
        <w:rPr>
          <w:rFonts w:hint="eastAsia" w:ascii="仿宋_GB2312" w:hAnsi="仿宋_GB2312" w:eastAsia="仿宋_GB2312" w:cs="仿宋_GB2312"/>
          <w:b w:val="0"/>
          <w:bCs/>
          <w:color w:val="auto"/>
          <w:sz w:val="32"/>
          <w:szCs w:val="32"/>
          <w:highlight w:val="none"/>
          <w:lang w:val="zh-TW"/>
        </w:rPr>
        <w:t>年末参加城镇职工基本养老、基本医疗（含生育保险）、失业和工伤保险人数分别为50.7万人、52.</w:t>
      </w:r>
      <w:r>
        <w:rPr>
          <w:rFonts w:hint="eastAsia" w:ascii="仿宋_GB2312" w:hAnsi="仿宋_GB2312" w:eastAsia="仿宋_GB2312" w:cs="仿宋_GB2312"/>
          <w:b w:val="0"/>
          <w:bCs/>
          <w:color w:val="auto"/>
          <w:sz w:val="32"/>
          <w:szCs w:val="32"/>
          <w:highlight w:val="none"/>
          <w:lang w:val="en-US" w:eastAsia="zh-CN"/>
        </w:rPr>
        <w:t>9</w:t>
      </w:r>
      <w:r>
        <w:rPr>
          <w:rFonts w:hint="eastAsia" w:ascii="仿宋_GB2312" w:hAnsi="仿宋_GB2312" w:eastAsia="仿宋_GB2312" w:cs="仿宋_GB2312"/>
          <w:b w:val="0"/>
          <w:bCs/>
          <w:color w:val="auto"/>
          <w:sz w:val="32"/>
          <w:szCs w:val="32"/>
          <w:highlight w:val="none"/>
          <w:lang w:val="zh-TW"/>
        </w:rPr>
        <w:t>万人、51.0万人、51.</w:t>
      </w:r>
      <w:r>
        <w:rPr>
          <w:rFonts w:hint="eastAsia" w:ascii="仿宋_GB2312" w:hAnsi="仿宋_GB2312" w:eastAsia="仿宋_GB2312" w:cs="仿宋_GB2312"/>
          <w:b w:val="0"/>
          <w:bCs/>
          <w:color w:val="auto"/>
          <w:sz w:val="32"/>
          <w:szCs w:val="32"/>
          <w:highlight w:val="none"/>
          <w:lang w:val="en-US" w:eastAsia="zh-CN"/>
        </w:rPr>
        <w:t>8</w:t>
      </w:r>
      <w:r>
        <w:rPr>
          <w:rFonts w:hint="eastAsia" w:ascii="仿宋_GB2312" w:hAnsi="仿宋_GB2312" w:eastAsia="仿宋_GB2312" w:cs="仿宋_GB2312"/>
          <w:b w:val="0"/>
          <w:bCs/>
          <w:color w:val="auto"/>
          <w:sz w:val="32"/>
          <w:szCs w:val="32"/>
          <w:highlight w:val="none"/>
          <w:lang w:val="zh-TW"/>
        </w:rPr>
        <w:t>万人，分别比上年末增加1.1万人、0.4万人、1.1万人、1.2万人。全年养老、医疗、失业、工伤、生育五项保险基金收缴305.2亿元，比上年增加17.</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lang w:val="zh-TW"/>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auto"/>
          <w:sz w:val="32"/>
          <w:szCs w:val="32"/>
          <w:highlight w:val="none"/>
          <w:lang w:val="zh-TW"/>
        </w:rPr>
      </w:pPr>
      <w:r>
        <w:rPr>
          <w:rFonts w:hint="eastAsia" w:ascii="黑体" w:hAnsi="黑体" w:eastAsia="黑体" w:cs="仿宋_GB2312"/>
          <w:color w:val="auto"/>
          <w:sz w:val="32"/>
          <w:szCs w:val="32"/>
          <w:highlight w:val="none"/>
          <w:lang w:val="zh-TW"/>
        </w:rPr>
        <w:t>五、城市建设和安全生产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道路交通：</w:t>
      </w:r>
      <w:r>
        <w:rPr>
          <w:rFonts w:hint="eastAsia" w:ascii="仿宋_GB2312" w:hAnsi="仿宋_GB2312" w:eastAsia="仿宋_GB2312" w:cs="仿宋_GB2312"/>
          <w:b w:val="0"/>
          <w:bCs/>
          <w:color w:val="auto"/>
          <w:sz w:val="32"/>
          <w:szCs w:val="32"/>
          <w:highlight w:val="none"/>
          <w:lang w:val="zh-TW"/>
        </w:rPr>
        <w:t>2024年全年优化完成公交线路七条，分别为846路、324路、兴38路、兴76路、兴78路及专232路；新开通T110路一条。累计完成宏达西路等沥青中修52项维修面积约14万平方米，兴业街等步道中修22项维修面积约4万平方米，完成复划各类实线、虚线、人行横道线等交通标识、标线约25万平方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lang w:val="zh-TW"/>
        </w:rPr>
      </w:pPr>
      <w:r>
        <w:rPr>
          <w:rFonts w:hint="eastAsia" w:ascii="仿宋_GB2312" w:hAnsi="仿宋_GB2312" w:eastAsia="仿宋_GB2312" w:cs="仿宋_GB2312"/>
          <w:b/>
          <w:color w:val="auto"/>
          <w:sz w:val="32"/>
          <w:szCs w:val="32"/>
          <w:highlight w:val="none"/>
          <w:lang w:val="zh-TW"/>
        </w:rPr>
        <w:t>公共事业：</w:t>
      </w:r>
      <w:r>
        <w:rPr>
          <w:rFonts w:hint="eastAsia" w:ascii="仿宋_GB2312" w:hAnsi="仿宋_GB2312" w:eastAsia="仿宋_GB2312" w:cs="仿宋_GB2312"/>
          <w:b w:val="0"/>
          <w:bCs/>
          <w:color w:val="auto"/>
          <w:sz w:val="32"/>
          <w:szCs w:val="32"/>
          <w:highlight w:val="none"/>
          <w:lang w:val="zh-TW"/>
        </w:rPr>
        <w:t>2024年</w:t>
      </w:r>
      <w:r>
        <w:rPr>
          <w:rFonts w:hint="eastAsia" w:ascii="仿宋_GB2312" w:hAnsi="仿宋_GB2312" w:eastAsia="仿宋_GB2312" w:cs="仿宋_GB2312"/>
          <w:b w:val="0"/>
          <w:bCs/>
          <w:color w:val="auto"/>
          <w:sz w:val="32"/>
          <w:szCs w:val="32"/>
          <w:highlight w:val="none"/>
          <w:lang w:val="zh-TW" w:eastAsia="zh-CN"/>
        </w:rPr>
        <w:t>核心区</w:t>
      </w:r>
      <w:r>
        <w:rPr>
          <w:rFonts w:hint="eastAsia" w:ascii="仿宋_GB2312" w:hAnsi="仿宋_GB2312" w:eastAsia="仿宋_GB2312" w:cs="仿宋_GB2312"/>
          <w:b w:val="0"/>
          <w:bCs/>
          <w:color w:val="auto"/>
          <w:sz w:val="32"/>
          <w:szCs w:val="32"/>
          <w:highlight w:val="none"/>
          <w:lang w:val="zh-TW"/>
        </w:rPr>
        <w:t>全年社会用电量95.</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val="zh-TW"/>
        </w:rPr>
        <w:t>亿千瓦时，比上年增长8.4%。</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_GB2312"/>
          <w:color w:val="FF0000"/>
          <w:sz w:val="32"/>
          <w:szCs w:val="32"/>
          <w:highlight w:val="none"/>
          <w:lang w:val="zh-TW"/>
        </w:rPr>
      </w:pPr>
      <w:r>
        <w:rPr>
          <w:rFonts w:hint="eastAsia" w:ascii="仿宋_GB2312" w:hAnsi="仿宋_GB2312" w:eastAsia="仿宋_GB2312" w:cs="仿宋_GB2312"/>
          <w:b/>
          <w:color w:val="auto"/>
          <w:sz w:val="32"/>
          <w:szCs w:val="32"/>
          <w:highlight w:val="none"/>
          <w:lang w:val="zh-TW"/>
        </w:rPr>
        <w:t>安全生产：</w:t>
      </w:r>
      <w:r>
        <w:rPr>
          <w:rFonts w:hint="eastAsia" w:ascii="仿宋_GB2312" w:hAnsi="仿宋_GB2312" w:eastAsia="仿宋_GB2312" w:cs="仿宋_GB2312"/>
          <w:b w:val="0"/>
          <w:bCs/>
          <w:color w:val="auto"/>
          <w:sz w:val="32"/>
          <w:szCs w:val="32"/>
          <w:highlight w:val="none"/>
          <w:lang w:val="zh-TW"/>
        </w:rPr>
        <w:t>2024年发生3起工矿商贸安全生产事故，死亡3人，发生1起建筑施工安全生产事故，死亡1人。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sz w:val="32"/>
          <w:szCs w:val="32"/>
          <w:highlight w:val="none"/>
          <w:lang w:val="zh-TW" w:eastAsia="zh-TW"/>
        </w:rPr>
      </w:pPr>
      <w:r>
        <w:rPr>
          <w:rFonts w:hint="eastAsia" w:ascii="黑体" w:hAnsi="黑体" w:eastAsia="黑体" w:cs="仿宋_GB2312"/>
          <w:color w:val="auto"/>
          <w:sz w:val="32"/>
          <w:szCs w:val="32"/>
          <w:highlight w:val="none"/>
          <w:lang w:val="zh-TW"/>
        </w:rPr>
        <w:t>六、</w:t>
      </w:r>
      <w:r>
        <w:rPr>
          <w:rFonts w:hint="eastAsia" w:ascii="黑体" w:hAnsi="黑体" w:eastAsia="黑体" w:cs="仿宋_GB2312"/>
          <w:color w:val="auto"/>
          <w:sz w:val="32"/>
          <w:szCs w:val="32"/>
          <w:highlight w:val="none"/>
          <w:lang w:val="zh-TW" w:eastAsia="zh-CN"/>
        </w:rPr>
        <w:t>生态</w:t>
      </w:r>
      <w:r>
        <w:rPr>
          <w:rFonts w:hint="eastAsia" w:ascii="黑体" w:hAnsi="黑体" w:eastAsia="黑体" w:cs="仿宋_GB2312"/>
          <w:color w:val="auto"/>
          <w:sz w:val="32"/>
          <w:szCs w:val="32"/>
          <w:highlight w:val="none"/>
          <w:lang w:val="zh-TW"/>
        </w:rPr>
        <w:t>环境和绿色生活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color w:val="FF0000"/>
          <w:sz w:val="32"/>
          <w:szCs w:val="32"/>
          <w:highlight w:val="none"/>
          <w:lang w:val="zh-TW" w:eastAsia="zh-CN"/>
        </w:rPr>
      </w:pPr>
      <w:r>
        <w:rPr>
          <w:rFonts w:hint="eastAsia" w:ascii="仿宋_GB2312" w:hAnsi="仿宋_GB2312" w:eastAsia="仿宋_GB2312" w:cs="仿宋_GB2312"/>
          <w:b/>
          <w:color w:val="auto"/>
          <w:sz w:val="32"/>
          <w:szCs w:val="32"/>
          <w:highlight w:val="none"/>
          <w:lang w:val="zh-TW" w:eastAsia="zh-CN"/>
        </w:rPr>
        <w:t>生态环境：</w:t>
      </w:r>
      <w:r>
        <w:rPr>
          <w:rFonts w:hint="eastAsia" w:ascii="仿宋_GB2312" w:hAnsi="仿宋_GB2312" w:eastAsia="仿宋_GB2312" w:cs="仿宋_GB2312"/>
          <w:b w:val="0"/>
          <w:bCs/>
          <w:color w:val="auto"/>
          <w:sz w:val="32"/>
          <w:szCs w:val="32"/>
          <w:highlight w:val="none"/>
          <w:lang w:val="zh-TW" w:eastAsia="zh-CN"/>
        </w:rPr>
        <w:t>2024年，核心区生态环境质量总体持续向好。大气环境质量，细颗粒物（PM</w:t>
      </w:r>
      <w:r>
        <w:rPr>
          <w:rFonts w:hint="eastAsia" w:ascii="仿宋_GB2312" w:hAnsi="仿宋_GB2312" w:eastAsia="仿宋_GB2312" w:cs="仿宋_GB2312"/>
          <w:b w:val="0"/>
          <w:bCs/>
          <w:color w:val="auto"/>
          <w:sz w:val="32"/>
          <w:szCs w:val="32"/>
          <w:highlight w:val="none"/>
          <w:vertAlign w:val="subscript"/>
          <w:lang w:val="zh-TW" w:eastAsia="zh-CN"/>
        </w:rPr>
        <w:t>2.5</w:t>
      </w:r>
      <w:r>
        <w:rPr>
          <w:rFonts w:hint="eastAsia" w:ascii="仿宋_GB2312" w:hAnsi="仿宋_GB2312" w:eastAsia="仿宋_GB2312" w:cs="仿宋_GB2312"/>
          <w:b w:val="0"/>
          <w:bCs/>
          <w:color w:val="auto"/>
          <w:sz w:val="32"/>
          <w:szCs w:val="32"/>
          <w:highlight w:val="none"/>
          <w:lang w:val="zh-TW" w:eastAsia="zh-CN"/>
        </w:rPr>
        <w:t>）累计浓度32.6微克/立方米，比上年下降13.8%，较2019年下降25%。其他三项主要污染物中，可吸入颗粒物（PM</w:t>
      </w:r>
      <w:r>
        <w:rPr>
          <w:rFonts w:hint="eastAsia" w:ascii="仿宋_GB2312" w:hAnsi="仿宋_GB2312" w:eastAsia="仿宋_GB2312" w:cs="仿宋_GB2312"/>
          <w:b w:val="0"/>
          <w:bCs/>
          <w:color w:val="auto"/>
          <w:sz w:val="32"/>
          <w:szCs w:val="32"/>
          <w:highlight w:val="none"/>
          <w:vertAlign w:val="subscript"/>
          <w:lang w:val="zh-TW" w:eastAsia="zh-CN"/>
        </w:rPr>
        <w:t>10</w:t>
      </w:r>
      <w:r>
        <w:rPr>
          <w:rFonts w:hint="eastAsia" w:ascii="仿宋_GB2312" w:hAnsi="仿宋_GB2312" w:eastAsia="仿宋_GB2312" w:cs="仿宋_GB2312"/>
          <w:b w:val="0"/>
          <w:bCs/>
          <w:color w:val="auto"/>
          <w:sz w:val="32"/>
          <w:szCs w:val="32"/>
          <w:highlight w:val="none"/>
          <w:lang w:val="zh-TW" w:eastAsia="zh-CN"/>
        </w:rPr>
        <w:t>）累计浓度56.7微克/立方米，二氧化氮（NO</w:t>
      </w:r>
      <w:r>
        <w:rPr>
          <w:rFonts w:hint="eastAsia" w:ascii="仿宋_GB2312" w:hAnsi="仿宋_GB2312" w:eastAsia="仿宋_GB2312" w:cs="仿宋_GB2312"/>
          <w:b w:val="0"/>
          <w:bCs/>
          <w:color w:val="auto"/>
          <w:sz w:val="32"/>
          <w:szCs w:val="32"/>
          <w:highlight w:val="none"/>
          <w:vertAlign w:val="subscript"/>
          <w:lang w:val="zh-TW" w:eastAsia="zh-CN"/>
        </w:rPr>
        <w:t>2</w:t>
      </w:r>
      <w:r>
        <w:rPr>
          <w:rFonts w:hint="eastAsia" w:ascii="仿宋_GB2312" w:hAnsi="仿宋_GB2312" w:eastAsia="仿宋_GB2312" w:cs="仿宋_GB2312"/>
          <w:b w:val="0"/>
          <w:bCs/>
          <w:color w:val="auto"/>
          <w:sz w:val="32"/>
          <w:szCs w:val="32"/>
          <w:highlight w:val="none"/>
          <w:lang w:val="zh-TW" w:eastAsia="zh-CN"/>
        </w:rPr>
        <w:t>）累计浓度31.1微克/立方米，二氧化硫（SO</w:t>
      </w:r>
      <w:r>
        <w:rPr>
          <w:rFonts w:hint="eastAsia" w:ascii="仿宋_GB2312" w:hAnsi="仿宋_GB2312" w:eastAsia="仿宋_GB2312" w:cs="仿宋_GB2312"/>
          <w:b w:val="0"/>
          <w:bCs/>
          <w:color w:val="auto"/>
          <w:sz w:val="32"/>
          <w:szCs w:val="32"/>
          <w:highlight w:val="none"/>
          <w:vertAlign w:val="subscript"/>
          <w:lang w:val="zh-TW" w:eastAsia="zh-CN"/>
        </w:rPr>
        <w:t>2</w:t>
      </w:r>
      <w:r>
        <w:rPr>
          <w:rFonts w:hint="eastAsia" w:ascii="仿宋_GB2312" w:hAnsi="仿宋_GB2312" w:eastAsia="仿宋_GB2312" w:cs="仿宋_GB2312"/>
          <w:b w:val="0"/>
          <w:bCs/>
          <w:color w:val="auto"/>
          <w:sz w:val="32"/>
          <w:szCs w:val="32"/>
          <w:highlight w:val="none"/>
          <w:lang w:val="zh-TW" w:eastAsia="zh-CN"/>
        </w:rPr>
        <w:t>）累计浓度2.4微克/立方米，连续多年稳定达标；水环境质量，地下水环境和地表水环境保持稳定，市级断面达标比例100%，优良水体比例50%；土壤环境质量总体良好，重点建设用地安全利用率100%。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仿宋_GB2312"/>
          <w:color w:val="FF0000"/>
          <w:sz w:val="32"/>
          <w:szCs w:val="32"/>
          <w:highlight w:val="none"/>
          <w:lang w:val="zh-TW"/>
        </w:rPr>
      </w:pPr>
      <w:r>
        <w:rPr>
          <w:rFonts w:hint="eastAsia" w:ascii="仿宋_GB2312" w:hAnsi="仿宋_GB2312" w:eastAsia="仿宋_GB2312" w:cs="仿宋_GB2312"/>
          <w:b/>
          <w:color w:val="auto"/>
          <w:sz w:val="32"/>
          <w:szCs w:val="32"/>
          <w:highlight w:val="none"/>
          <w:lang w:val="zh-TW" w:eastAsia="zh-CN"/>
        </w:rPr>
        <w:t>绿色生活：</w:t>
      </w:r>
      <w:r>
        <w:rPr>
          <w:rFonts w:hint="eastAsia" w:ascii="仿宋_GB2312" w:hAnsi="仿宋_GB2312" w:eastAsia="仿宋_GB2312" w:cs="仿宋_GB2312"/>
          <w:b w:val="0"/>
          <w:bCs/>
          <w:color w:val="auto"/>
          <w:sz w:val="32"/>
          <w:szCs w:val="32"/>
          <w:highlight w:val="none"/>
          <w:lang w:val="zh-TW" w:eastAsia="zh-CN"/>
        </w:rPr>
        <w:t>2024年，按照《生活垃圾分类达标、示范居住小区（村）创建考核办法》，核心区33个居住小区的示范类、达标类创建保持率100%，累计组织1066家学校、医院、园区等产废单位完成非居民排放登记工作。通过北京时间、北京亦庄、街道公众号等市、区、街各级媒体发布垃圾分类宣传报道共182次，累计张贴垃圾分类宣传海报7461张，举办垃圾分类宣传活动237场，在辖区内营造良好的分类氛围，动员居民积极参与垃圾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FF0000"/>
          <w:sz w:val="32"/>
          <w:szCs w:val="32"/>
          <w:highlight w:val="none"/>
          <w:lang w:val="zh-TW"/>
        </w:rPr>
      </w:pPr>
      <w:r>
        <w:rPr>
          <w:rFonts w:hint="eastAsia" w:ascii="黑体" w:hAnsi="黑体" w:eastAsia="黑体" w:cs="仿宋_GB2312"/>
          <w:color w:val="auto"/>
          <w:sz w:val="32"/>
          <w:szCs w:val="32"/>
          <w:highlight w:val="none"/>
          <w:lang w:val="zh-TW"/>
        </w:rPr>
        <w:t>七、教育、文化、卫生和体育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zh-TW" w:eastAsia="zh-CN"/>
        </w:rPr>
      </w:pPr>
      <w:r>
        <w:rPr>
          <w:rFonts w:hint="eastAsia" w:ascii="仿宋_GB2312" w:hAnsi="仿宋_GB2312" w:eastAsia="仿宋_GB2312" w:cs="仿宋_GB2312"/>
          <w:b/>
          <w:color w:val="auto"/>
          <w:sz w:val="32"/>
          <w:szCs w:val="32"/>
          <w:highlight w:val="none"/>
          <w:lang w:val="zh-TW"/>
        </w:rPr>
        <w:t>教育：</w:t>
      </w:r>
      <w:r>
        <w:rPr>
          <w:rFonts w:hint="eastAsia" w:ascii="仿宋_GB2312" w:hAnsi="仿宋_GB2312" w:eastAsia="仿宋_GB2312" w:cs="仿宋_GB2312"/>
          <w:b w:val="0"/>
          <w:bCs/>
          <w:color w:val="auto"/>
          <w:sz w:val="32"/>
          <w:szCs w:val="32"/>
          <w:highlight w:val="none"/>
          <w:lang w:val="zh-TW"/>
        </w:rPr>
        <w:t>2024年</w:t>
      </w:r>
      <w:r>
        <w:rPr>
          <w:rFonts w:hint="eastAsia" w:ascii="仿宋_GB2312" w:hAnsi="仿宋_GB2312" w:eastAsia="仿宋_GB2312" w:cs="仿宋_GB2312"/>
          <w:b w:val="0"/>
          <w:bCs/>
          <w:color w:val="auto"/>
          <w:sz w:val="32"/>
          <w:szCs w:val="32"/>
          <w:highlight w:val="none"/>
          <w:lang w:val="zh-TW" w:eastAsia="zh-CN"/>
        </w:rPr>
        <w:t>，核心</w:t>
      </w:r>
      <w:r>
        <w:rPr>
          <w:rFonts w:hint="eastAsia" w:ascii="仿宋_GB2312" w:hAnsi="仿宋_GB2312" w:eastAsia="仿宋_GB2312" w:cs="仿宋_GB2312"/>
          <w:b w:val="0"/>
          <w:bCs/>
          <w:color w:val="auto"/>
          <w:sz w:val="32"/>
          <w:szCs w:val="32"/>
          <w:highlight w:val="none"/>
          <w:lang w:val="zh-TW"/>
        </w:rPr>
        <w:t>区义务教育阶段小学入学共计3864名，</w:t>
      </w:r>
      <w:r>
        <w:rPr>
          <w:rFonts w:hint="eastAsia" w:ascii="仿宋_GB2312" w:hAnsi="仿宋_GB2312" w:eastAsia="仿宋_GB2312" w:cs="仿宋_GB2312"/>
          <w:b w:val="0"/>
          <w:bCs/>
          <w:color w:val="auto"/>
          <w:sz w:val="32"/>
          <w:szCs w:val="32"/>
          <w:highlight w:val="none"/>
          <w:lang w:val="zh-TW" w:eastAsia="zh-CN"/>
        </w:rPr>
        <w:t>比上年下降</w:t>
      </w:r>
      <w:r>
        <w:rPr>
          <w:rFonts w:hint="eastAsia" w:ascii="仿宋_GB2312" w:hAnsi="仿宋_GB2312" w:eastAsia="仿宋_GB2312" w:cs="仿宋_GB2312"/>
          <w:b w:val="0"/>
          <w:bCs/>
          <w:color w:val="auto"/>
          <w:sz w:val="32"/>
          <w:szCs w:val="32"/>
          <w:highlight w:val="none"/>
          <w:lang w:val="zh-TW"/>
        </w:rPr>
        <w:t>1</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lang w:val="zh-TW"/>
        </w:rPr>
        <w:t>%，初中入学共计2461人，</w:t>
      </w:r>
      <w:r>
        <w:rPr>
          <w:rFonts w:hint="eastAsia" w:ascii="仿宋_GB2312" w:hAnsi="仿宋_GB2312" w:eastAsia="仿宋_GB2312" w:cs="仿宋_GB2312"/>
          <w:b w:val="0"/>
          <w:bCs/>
          <w:color w:val="auto"/>
          <w:sz w:val="32"/>
          <w:szCs w:val="32"/>
          <w:highlight w:val="none"/>
          <w:lang w:val="zh-TW" w:eastAsia="zh-CN"/>
        </w:rPr>
        <w:t>比上年</w:t>
      </w:r>
      <w:r>
        <w:rPr>
          <w:rFonts w:hint="eastAsia" w:ascii="仿宋_GB2312" w:hAnsi="仿宋_GB2312" w:eastAsia="仿宋_GB2312" w:cs="仿宋_GB2312"/>
          <w:b w:val="0"/>
          <w:bCs/>
          <w:color w:val="auto"/>
          <w:sz w:val="32"/>
          <w:szCs w:val="32"/>
          <w:highlight w:val="none"/>
          <w:lang w:val="zh-TW"/>
        </w:rPr>
        <w:t>增长28.1%。2024年开展公开招聘工作，共招聘教师184人。2024年末</w:t>
      </w:r>
      <w:r>
        <w:rPr>
          <w:rFonts w:hint="eastAsia" w:ascii="仿宋_GB2312" w:hAnsi="仿宋_GB2312" w:eastAsia="仿宋_GB2312" w:cs="仿宋_GB2312"/>
          <w:b w:val="0"/>
          <w:bCs/>
          <w:color w:val="auto"/>
          <w:sz w:val="32"/>
          <w:szCs w:val="32"/>
          <w:highlight w:val="none"/>
          <w:lang w:val="zh-TW" w:eastAsia="zh-CN"/>
        </w:rPr>
        <w:t>核心</w:t>
      </w:r>
      <w:r>
        <w:rPr>
          <w:rFonts w:hint="eastAsia" w:ascii="仿宋_GB2312" w:hAnsi="仿宋_GB2312" w:eastAsia="仿宋_GB2312" w:cs="仿宋_GB2312"/>
          <w:b w:val="0"/>
          <w:bCs/>
          <w:color w:val="auto"/>
          <w:sz w:val="32"/>
          <w:szCs w:val="32"/>
          <w:highlight w:val="none"/>
          <w:lang w:val="zh-TW"/>
        </w:rPr>
        <w:t>区拥有基础教育学校11所，其中，十二年建制学校5所（公办4所、民办1所），九年一贯制学校1所（民办），完全中学1所，小学3所，中外合作办学机构1所。全区拥有幼儿园29所，公办9所，普惠幼儿园7所，民办幼儿园20所。</w:t>
      </w:r>
      <w:r>
        <w:rPr>
          <w:rFonts w:hint="eastAsia" w:ascii="仿宋_GB2312" w:hAnsi="仿宋_GB2312" w:eastAsia="仿宋_GB2312" w:cs="仿宋_GB2312"/>
          <w:b w:val="0"/>
          <w:bCs/>
          <w:color w:val="auto"/>
          <w:sz w:val="32"/>
          <w:szCs w:val="32"/>
          <w:highlight w:val="none"/>
          <w:lang w:val="zh-TW" w:eastAsia="zh-CN"/>
        </w:rPr>
        <w:t>核心</w:t>
      </w:r>
      <w:r>
        <w:rPr>
          <w:rFonts w:hint="eastAsia" w:ascii="仿宋_GB2312" w:hAnsi="仿宋_GB2312" w:eastAsia="仿宋_GB2312" w:cs="仿宋_GB2312"/>
          <w:b w:val="0"/>
          <w:bCs/>
          <w:color w:val="auto"/>
          <w:sz w:val="32"/>
          <w:szCs w:val="32"/>
          <w:highlight w:val="none"/>
          <w:lang w:val="zh-TW"/>
        </w:rPr>
        <w:t>区有高等学校1所。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zh-TW" w:eastAsia="zh-CN"/>
        </w:rPr>
      </w:pPr>
      <w:r>
        <w:rPr>
          <w:rFonts w:hint="eastAsia" w:ascii="仿宋_GB2312" w:hAnsi="仿宋_GB2312" w:eastAsia="仿宋_GB2312" w:cs="仿宋_GB2312"/>
          <w:b w:val="0"/>
          <w:bCs/>
          <w:color w:val="auto"/>
          <w:sz w:val="32"/>
          <w:szCs w:val="32"/>
          <w:highlight w:val="none"/>
          <w:lang w:val="zh-TW"/>
        </w:rPr>
        <w:t>全年</w:t>
      </w:r>
      <w:r>
        <w:rPr>
          <w:rFonts w:hint="eastAsia" w:ascii="仿宋_GB2312" w:hAnsi="仿宋_GB2312" w:eastAsia="仿宋_GB2312" w:cs="仿宋_GB2312"/>
          <w:b w:val="0"/>
          <w:bCs/>
          <w:color w:val="auto"/>
          <w:sz w:val="32"/>
          <w:szCs w:val="32"/>
          <w:highlight w:val="none"/>
          <w:lang w:val="zh-TW" w:eastAsia="zh-CN"/>
        </w:rPr>
        <w:t>核心</w:t>
      </w:r>
      <w:r>
        <w:rPr>
          <w:rFonts w:hint="eastAsia" w:ascii="仿宋_GB2312" w:hAnsi="仿宋_GB2312" w:eastAsia="仿宋_GB2312" w:cs="仿宋_GB2312"/>
          <w:b w:val="0"/>
          <w:bCs/>
          <w:color w:val="auto"/>
          <w:sz w:val="32"/>
          <w:szCs w:val="32"/>
          <w:highlight w:val="none"/>
          <w:lang w:val="zh-TW"/>
        </w:rPr>
        <w:t>区普通高中招生801人，在校生2435人，毕业生473人;普通初中招生2461人，在校生5735人，毕业生1098人;普通小学招生3864人，在校生20218人，毕业生2104人;幼儿园入园幼儿2669人，在园幼儿8583人。初中毕业率100%，高中毕业率94.9%</w:t>
      </w:r>
      <w:r>
        <w:rPr>
          <w:rFonts w:hint="eastAsia" w:ascii="仿宋_GB2312" w:hAnsi="仿宋_GB2312" w:eastAsia="仿宋_GB2312" w:cs="仿宋_GB2312"/>
          <w:b w:val="0"/>
          <w:bCs/>
          <w:color w:val="auto"/>
          <w:sz w:val="32"/>
          <w:szCs w:val="32"/>
          <w:highlight w:val="none"/>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FF0000"/>
          <w:sz w:val="32"/>
          <w:szCs w:val="32"/>
          <w:highlight w:val="none"/>
          <w:lang w:val="zh-TW" w:eastAsia="zh-CN"/>
        </w:rPr>
      </w:pPr>
      <w:r>
        <w:rPr>
          <w:rFonts w:hint="eastAsia" w:ascii="仿宋_GB2312" w:hAnsi="仿宋_GB2312" w:eastAsia="仿宋_GB2312" w:cs="仿宋_GB2312"/>
          <w:b/>
          <w:color w:val="auto"/>
          <w:sz w:val="32"/>
          <w:szCs w:val="32"/>
          <w:highlight w:val="none"/>
          <w:lang w:val="zh-TW"/>
        </w:rPr>
        <w:t>文化：</w:t>
      </w:r>
      <w:r>
        <w:rPr>
          <w:rFonts w:hint="eastAsia" w:ascii="仿宋_GB2312" w:hAnsi="仿宋_GB2312" w:eastAsia="仿宋_GB2312" w:cs="仿宋_GB2312"/>
          <w:b w:val="0"/>
          <w:bCs/>
          <w:color w:val="auto"/>
          <w:sz w:val="32"/>
          <w:szCs w:val="32"/>
          <w:highlight w:val="none"/>
          <w:lang w:val="zh-TW"/>
        </w:rPr>
        <w:t>年末</w:t>
      </w:r>
      <w:r>
        <w:rPr>
          <w:rFonts w:hint="eastAsia" w:ascii="仿宋_GB2312" w:hAnsi="仿宋_GB2312" w:eastAsia="仿宋_GB2312" w:cs="仿宋_GB2312"/>
          <w:b w:val="0"/>
          <w:bCs/>
          <w:color w:val="auto"/>
          <w:sz w:val="32"/>
          <w:szCs w:val="32"/>
          <w:highlight w:val="none"/>
          <w:lang w:val="zh-TW" w:eastAsia="zh-CN"/>
        </w:rPr>
        <w:t>核心区</w:t>
      </w:r>
      <w:r>
        <w:rPr>
          <w:rFonts w:hint="eastAsia" w:ascii="仿宋_GB2312" w:hAnsi="仿宋_GB2312" w:eastAsia="仿宋_GB2312" w:cs="仿宋_GB2312"/>
          <w:b w:val="0"/>
          <w:bCs/>
          <w:color w:val="auto"/>
          <w:sz w:val="32"/>
          <w:szCs w:val="32"/>
          <w:highlight w:val="none"/>
          <w:lang w:val="zh-TW"/>
        </w:rPr>
        <w:t>共有公共图书馆2个，总藏书量约129.7万册;共3家影院，共放映电影3.6万场，观众76.5万人次，票房收入3802.2万元。开展300余场“书香亦城”全民阅读活动，推动6家实体书店和10家阅读空间特色升级，为区域群众提供丰富多彩、实实在在的阅读体验。围绕春节、端午节、中秋节、国庆节等重大节日，按照促进文旅体商融合发展、文旅促消费等有关要求，统筹各党工委、部门、总工会、街道等积极举办各类群众性文化活动，成功举办亦城春晚、原创音乐剧“亦梦亦真”巡演、第四届“大都东南”科技艺术节、首届“泡桐花节”、“电竞狂欢节”、“亦创未来”短视频大赛、中秋交响音乐会等134项、226场文化活动，参与人数达34万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zh-TW"/>
        </w:rPr>
      </w:pPr>
      <w:r>
        <w:rPr>
          <w:rFonts w:hint="eastAsia" w:ascii="仿宋_GB2312" w:hAnsi="仿宋_GB2312" w:eastAsia="仿宋_GB2312" w:cs="仿宋_GB2312"/>
          <w:b/>
          <w:bCs/>
          <w:color w:val="auto"/>
          <w:sz w:val="32"/>
          <w:szCs w:val="32"/>
          <w:highlight w:val="none"/>
          <w:lang w:val="zh-TW"/>
        </w:rPr>
        <w:t>卫生：</w:t>
      </w:r>
      <w:r>
        <w:rPr>
          <w:rFonts w:hint="eastAsia" w:ascii="仿宋_GB2312" w:hAnsi="仿宋_GB2312" w:eastAsia="仿宋_GB2312" w:cs="仿宋_GB2312"/>
          <w:b w:val="0"/>
          <w:bCs w:val="0"/>
          <w:color w:val="auto"/>
          <w:sz w:val="32"/>
          <w:szCs w:val="32"/>
          <w:highlight w:val="none"/>
          <w:lang w:val="zh-TW"/>
        </w:rPr>
        <w:t>荣华社区卫生服务中心开业运行一年，取得医保资质。E9地块社区卫生服务中心主体结构工程完工；X23社区卫生服务中心于12月开工建设。推动北京儿童医院新院区项目落地。开展普惠托育服务试点工作，年度新增普惠托位245个，普惠托育街道（乡镇）覆盖率达到100%。有效缩短平均院前急救反应时间至10.30分钟，较去年同期提升1.02分钟。累计配备AED设备161台，达到每10万人40台的标准。妥善解决时间跨度长、涉及面广、破解难度大的9家医疗机构18项历史遗留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TW" w:eastAsia="zh-CN"/>
        </w:rPr>
      </w:pPr>
      <w:r>
        <w:rPr>
          <w:rFonts w:hint="eastAsia" w:ascii="仿宋_GB2312" w:hAnsi="仿宋_GB2312" w:eastAsia="仿宋_GB2312" w:cs="仿宋_GB2312"/>
          <w:b w:val="0"/>
          <w:bCs w:val="0"/>
          <w:color w:val="auto"/>
          <w:sz w:val="32"/>
          <w:szCs w:val="32"/>
          <w:highlight w:val="none"/>
          <w:lang w:val="zh-TW"/>
        </w:rPr>
        <w:t>年末</w:t>
      </w:r>
      <w:r>
        <w:rPr>
          <w:rFonts w:hint="eastAsia" w:ascii="仿宋_GB2312" w:hAnsi="仿宋_GB2312" w:eastAsia="仿宋_GB2312" w:cs="仿宋_GB2312"/>
          <w:b w:val="0"/>
          <w:bCs w:val="0"/>
          <w:color w:val="auto"/>
          <w:sz w:val="32"/>
          <w:szCs w:val="32"/>
          <w:highlight w:val="none"/>
          <w:lang w:val="zh-TW" w:eastAsia="zh-CN"/>
        </w:rPr>
        <w:t>核心区</w:t>
      </w:r>
      <w:r>
        <w:rPr>
          <w:rFonts w:hint="eastAsia" w:ascii="仿宋_GB2312" w:hAnsi="仿宋_GB2312" w:eastAsia="仿宋_GB2312" w:cs="仿宋_GB2312"/>
          <w:b w:val="0"/>
          <w:bCs w:val="0"/>
          <w:color w:val="auto"/>
          <w:sz w:val="32"/>
          <w:szCs w:val="32"/>
          <w:highlight w:val="none"/>
          <w:lang w:val="zh-TW"/>
        </w:rPr>
        <w:t>拥有卫生机构126个（其中包含18家停业状态的医疗机构），比上年末增加6个。其中，医院8个，社区卫生服务中心（站）8个，疾病预防控制中心1个，医学检验机构25个，门诊部36个，诊所27个，医务室21个。卫生机构实有床位数2091张，比上年末增加159张。卫生技术人员4723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highlight w:val="none"/>
          <w:lang w:val="zh-TW" w:eastAsia="zh-CN"/>
        </w:rPr>
      </w:pPr>
      <w:r>
        <w:rPr>
          <w:rFonts w:hint="eastAsia" w:ascii="仿宋_GB2312" w:hAnsi="仿宋_GB2312" w:eastAsia="仿宋_GB2312" w:cs="仿宋_GB2312"/>
          <w:b/>
          <w:bCs/>
          <w:color w:val="auto"/>
          <w:sz w:val="32"/>
          <w:szCs w:val="32"/>
          <w:highlight w:val="none"/>
          <w:lang w:val="zh-TW"/>
        </w:rPr>
        <w:t>体育：</w:t>
      </w:r>
      <w:r>
        <w:rPr>
          <w:rFonts w:hint="eastAsia" w:ascii="仿宋_GB2312" w:hAnsi="仿宋_GB2312" w:eastAsia="仿宋_GB2312" w:cs="仿宋_GB2312"/>
          <w:b w:val="0"/>
          <w:bCs w:val="0"/>
          <w:color w:val="auto"/>
          <w:sz w:val="32"/>
          <w:szCs w:val="32"/>
          <w:highlight w:val="none"/>
          <w:lang w:val="zh-TW"/>
        </w:rPr>
        <w:t>以全民健身体育节为载体，开展丰富多彩的体育赛事活动，全年</w:t>
      </w:r>
      <w:r>
        <w:rPr>
          <w:rFonts w:hint="eastAsia" w:ascii="仿宋_GB2312" w:hAnsi="仿宋_GB2312" w:eastAsia="仿宋_GB2312" w:cs="仿宋_GB2312"/>
          <w:b w:val="0"/>
          <w:bCs w:val="0"/>
          <w:color w:val="auto"/>
          <w:sz w:val="32"/>
          <w:szCs w:val="32"/>
          <w:highlight w:val="none"/>
          <w:lang w:val="zh-TW" w:eastAsia="zh-CN"/>
        </w:rPr>
        <w:t>亦庄新城</w:t>
      </w:r>
      <w:r>
        <w:rPr>
          <w:rFonts w:hint="eastAsia" w:ascii="仿宋_GB2312" w:hAnsi="仿宋_GB2312" w:eastAsia="仿宋_GB2312" w:cs="仿宋_GB2312"/>
          <w:b w:val="0"/>
          <w:bCs w:val="0"/>
          <w:color w:val="auto"/>
          <w:sz w:val="32"/>
          <w:szCs w:val="32"/>
          <w:highlight w:val="none"/>
          <w:lang w:val="zh-TW"/>
        </w:rPr>
        <w:t>举办20余项区级群众体育赛事；大力发展品牌体育赛事，第五十七届公园半程马拉松北京公开赛“北京・亦庄”南海子公园站作为北京市马拉松赛事新年第一跑</w:t>
      </w:r>
      <w:r>
        <w:rPr>
          <w:rFonts w:hint="eastAsia" w:ascii="仿宋_GB2312" w:hAnsi="仿宋_GB2312" w:eastAsia="仿宋_GB2312" w:cs="仿宋_GB2312"/>
          <w:b w:val="0"/>
          <w:bCs w:val="0"/>
          <w:color w:val="auto"/>
          <w:sz w:val="32"/>
          <w:szCs w:val="32"/>
          <w:highlight w:val="none"/>
          <w:lang w:val="zh-TW" w:eastAsia="zh-CN"/>
        </w:rPr>
        <w:t>，于</w:t>
      </w:r>
      <w:r>
        <w:rPr>
          <w:rFonts w:hint="eastAsia" w:ascii="仿宋_GB2312" w:hAnsi="仿宋_GB2312" w:eastAsia="仿宋_GB2312" w:cs="仿宋_GB2312"/>
          <w:b w:val="0"/>
          <w:bCs w:val="0"/>
          <w:color w:val="auto"/>
          <w:sz w:val="32"/>
          <w:szCs w:val="32"/>
          <w:highlight w:val="none"/>
          <w:lang w:val="zh-TW"/>
        </w:rPr>
        <w:t>2024年2月24日成功举办，结合北京亦庄新春线上跑，为赛事宣传造势，线上线下赛事累计参与1.6万余人。2024北京亦庄半程马拉松于11月10日成功举办，参赛人数8650人。举办第三届经开区中小学生运动会、第四届学生艺术节、科技节等区级赛事活动，拓展学生成长空间，助力</w:t>
      </w:r>
      <w:r>
        <w:rPr>
          <w:rFonts w:hint="eastAsia" w:ascii="仿宋_GB2312" w:hAnsi="仿宋_GB2312" w:eastAsia="仿宋_GB2312" w:cs="仿宋_GB2312"/>
          <w:b w:val="0"/>
          <w:bCs w:val="0"/>
          <w:color w:val="auto"/>
          <w:sz w:val="32"/>
          <w:szCs w:val="32"/>
          <w:highlight w:val="none"/>
          <w:lang w:val="zh-TW" w:eastAsia="zh-CN"/>
        </w:rPr>
        <w:t>区内</w:t>
      </w:r>
      <w:r>
        <w:rPr>
          <w:rFonts w:hint="eastAsia" w:ascii="仿宋_GB2312" w:hAnsi="仿宋_GB2312" w:eastAsia="仿宋_GB2312" w:cs="仿宋_GB2312"/>
          <w:b w:val="0"/>
          <w:bCs w:val="0"/>
          <w:color w:val="auto"/>
          <w:sz w:val="32"/>
          <w:szCs w:val="32"/>
          <w:highlight w:val="none"/>
          <w:lang w:val="zh-TW"/>
        </w:rPr>
        <w:t>青少年综合素质与健康成长协同发展。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FF0000"/>
          <w:highlight w:val="none"/>
        </w:rPr>
      </w:pPr>
      <w:r>
        <w:rPr>
          <w:rFonts w:ascii="仿宋_GB2312" w:hAnsi="仿宋_GB2312" w:eastAsia="仿宋_GB2312" w:cs="仿宋_GB2312"/>
          <w:color w:val="FF0000"/>
          <w:sz w:val="32"/>
          <w:szCs w:val="32"/>
          <w:highlight w:val="none"/>
          <w:lang w:val="zh-TW"/>
        </w:rPr>
        <w:br w:type="page"/>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sz w:val="24"/>
          <w:szCs w:val="32"/>
          <w:highlight w:val="none"/>
          <w:lang w:val="zh-TW"/>
        </w:rPr>
      </w:pPr>
      <w:r>
        <w:rPr>
          <w:rFonts w:hint="eastAsia" w:ascii="宋体" w:hAnsi="宋体" w:eastAsia="宋体" w:cs="仿宋_GB2312"/>
          <w:color w:val="auto"/>
          <w:sz w:val="24"/>
          <w:szCs w:val="32"/>
          <w:highlight w:val="none"/>
          <w:lang w:val="zh-TW"/>
        </w:rPr>
        <w:t>公报注释：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sz w:val="24"/>
          <w:szCs w:val="32"/>
          <w:highlight w:val="none"/>
          <w:lang w:val="zh-TW"/>
        </w:rPr>
      </w:pPr>
      <w:r>
        <w:rPr>
          <w:rFonts w:hint="eastAsia" w:ascii="宋体" w:hAnsi="宋体" w:eastAsia="宋体" w:cs="仿宋_GB2312"/>
          <w:color w:val="auto"/>
          <w:sz w:val="24"/>
          <w:szCs w:val="32"/>
          <w:highlight w:val="none"/>
          <w:lang w:val="zh-TW"/>
        </w:rPr>
        <w:t>1.202</w:t>
      </w:r>
      <w:r>
        <w:rPr>
          <w:rFonts w:hint="eastAsia" w:ascii="宋体" w:hAnsi="宋体" w:cs="仿宋_GB2312"/>
          <w:color w:val="auto"/>
          <w:sz w:val="24"/>
          <w:szCs w:val="32"/>
          <w:highlight w:val="none"/>
          <w:lang w:val="en-US" w:eastAsia="zh-CN"/>
        </w:rPr>
        <w:t>4</w:t>
      </w:r>
      <w:r>
        <w:rPr>
          <w:rFonts w:hint="eastAsia" w:ascii="宋体" w:hAnsi="宋体" w:eastAsia="宋体" w:cs="仿宋_GB2312"/>
          <w:color w:val="auto"/>
          <w:sz w:val="24"/>
          <w:szCs w:val="32"/>
          <w:highlight w:val="none"/>
          <w:lang w:val="zh-TW"/>
        </w:rPr>
        <w:t>年数据均为初步统计数。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sz w:val="24"/>
          <w:szCs w:val="32"/>
          <w:highlight w:val="none"/>
          <w:lang w:val="zh-TW" w:eastAsia="zh-CN"/>
        </w:rPr>
      </w:pPr>
      <w:r>
        <w:rPr>
          <w:rFonts w:hint="eastAsia" w:ascii="宋体" w:hAnsi="宋体" w:cs="仿宋_GB2312"/>
          <w:color w:val="auto"/>
          <w:sz w:val="24"/>
          <w:szCs w:val="32"/>
          <w:highlight w:val="none"/>
          <w:lang w:val="en-US" w:eastAsia="zh-CN"/>
        </w:rPr>
        <w:t>2</w:t>
      </w:r>
      <w:r>
        <w:rPr>
          <w:rFonts w:hint="eastAsia" w:ascii="宋体" w:hAnsi="宋体" w:eastAsia="宋体" w:cs="仿宋_GB2312"/>
          <w:color w:val="auto"/>
          <w:sz w:val="24"/>
          <w:szCs w:val="32"/>
          <w:highlight w:val="none"/>
          <w:lang w:val="zh-TW"/>
        </w:rPr>
        <w:t>.亦庄新城统计范围为225平方公里，核心区统计范围为北京经济技术开发区60平方公里范围</w:t>
      </w:r>
      <w:r>
        <w:rPr>
          <w:rFonts w:hint="eastAsia" w:ascii="宋体" w:hAnsi="宋体" w:eastAsia="宋体" w:cs="仿宋_GB2312"/>
          <w:color w:val="auto"/>
          <w:sz w:val="24"/>
          <w:szCs w:val="32"/>
          <w:highlight w:val="none"/>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sz w:val="24"/>
          <w:szCs w:val="32"/>
          <w:highlight w:val="none"/>
          <w:lang w:val="zh-TW" w:eastAsia="zh-CN"/>
        </w:rPr>
      </w:pPr>
      <w:r>
        <w:rPr>
          <w:rFonts w:hint="eastAsia" w:ascii="宋体" w:hAnsi="宋体" w:eastAsia="宋体" w:cs="仿宋_GB2312"/>
          <w:color w:val="auto"/>
          <w:sz w:val="24"/>
          <w:szCs w:val="32"/>
          <w:highlight w:val="none"/>
          <w:lang w:val="en-US" w:eastAsia="zh-CN"/>
        </w:rPr>
        <w:t>3</w:t>
      </w:r>
      <w:r>
        <w:rPr>
          <w:rFonts w:hint="eastAsia" w:ascii="宋体" w:hAnsi="宋体" w:eastAsia="宋体" w:cs="仿宋_GB2312"/>
          <w:color w:val="auto"/>
          <w:sz w:val="24"/>
          <w:szCs w:val="32"/>
          <w:highlight w:val="none"/>
          <w:lang w:val="zh-TW"/>
        </w:rPr>
        <w:t>.财政、对外经济、科技、就业、社会保障、城市建设、安全生产、生态环境、绿色生活、教育、文化、卫生、体育等数据来源于相关职能部门。</w:t>
      </w:r>
      <w:r>
        <w:rPr>
          <w:rFonts w:hint="eastAsia" w:ascii="宋体" w:hAnsi="宋体" w:eastAsia="宋体" w:cs="仿宋_GB2312"/>
          <w:color w:val="auto"/>
          <w:sz w:val="24"/>
          <w:szCs w:val="32"/>
          <w:highlight w:val="none"/>
          <w:lang w:val="zh-TW" w:eastAsia="zh-CN"/>
        </w:rPr>
        <w:t>其中</w:t>
      </w:r>
      <w:r>
        <w:rPr>
          <w:rFonts w:hint="eastAsia" w:ascii="宋体" w:hAnsi="宋体" w:eastAsia="宋体" w:cs="仿宋_GB2312"/>
          <w:color w:val="auto"/>
          <w:sz w:val="24"/>
          <w:szCs w:val="32"/>
          <w:highlight w:val="none"/>
          <w:lang w:val="zh-TW" w:eastAsia="zh-CN"/>
        </w:rPr>
        <w:t>，</w:t>
      </w:r>
      <w:r>
        <w:rPr>
          <w:rFonts w:hint="eastAsia" w:ascii="宋体" w:hAnsi="宋体" w:eastAsia="宋体" w:cs="仿宋_GB2312"/>
          <w:color w:val="auto"/>
          <w:sz w:val="24"/>
          <w:szCs w:val="32"/>
          <w:highlight w:val="none"/>
          <w:lang w:val="zh-TW"/>
        </w:rPr>
        <w:t>卫生机构</w:t>
      </w:r>
      <w:r>
        <w:rPr>
          <w:rFonts w:hint="eastAsia" w:ascii="宋体" w:hAnsi="宋体" w:eastAsia="宋体" w:cs="仿宋_GB2312"/>
          <w:color w:val="auto"/>
          <w:sz w:val="24"/>
          <w:szCs w:val="32"/>
          <w:highlight w:val="none"/>
          <w:lang w:val="zh-TW" w:eastAsia="zh-CN"/>
        </w:rPr>
        <w:t>、</w:t>
      </w:r>
      <w:r>
        <w:rPr>
          <w:rFonts w:hint="eastAsia" w:ascii="宋体" w:hAnsi="宋体" w:eastAsia="宋体" w:cs="仿宋_GB2312"/>
          <w:color w:val="auto"/>
          <w:sz w:val="24"/>
          <w:szCs w:val="32"/>
          <w:highlight w:val="none"/>
          <w:lang w:val="zh-TW"/>
        </w:rPr>
        <w:t>卫生技术人员</w:t>
      </w:r>
      <w:r>
        <w:rPr>
          <w:rFonts w:hint="eastAsia" w:ascii="宋体" w:hAnsi="宋体" w:cs="仿宋_GB2312"/>
          <w:color w:val="auto"/>
          <w:sz w:val="24"/>
          <w:szCs w:val="32"/>
          <w:highlight w:val="none"/>
          <w:lang w:val="zh-TW" w:eastAsia="zh-CN"/>
        </w:rPr>
        <w:t>数量不包含亦庄医院。</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sz w:val="24"/>
          <w:szCs w:val="32"/>
          <w:highlight w:val="none"/>
          <w:lang w:val="zh-TW"/>
        </w:rPr>
      </w:pPr>
      <w:r>
        <w:rPr>
          <w:rFonts w:hint="eastAsia" w:ascii="宋体" w:hAnsi="宋体" w:eastAsia="宋体" w:cs="仿宋_GB2312"/>
          <w:color w:val="auto"/>
          <w:sz w:val="24"/>
          <w:szCs w:val="32"/>
          <w:highlight w:val="none"/>
          <w:lang w:val="en-US" w:eastAsia="zh-CN"/>
        </w:rPr>
        <w:t>4</w:t>
      </w:r>
      <w:r>
        <w:rPr>
          <w:rFonts w:hint="eastAsia" w:ascii="宋体" w:hAnsi="宋体" w:eastAsia="宋体" w:cs="仿宋_GB2312"/>
          <w:color w:val="auto"/>
          <w:sz w:val="24"/>
          <w:szCs w:val="32"/>
          <w:highlight w:val="none"/>
          <w:lang w:val="zh-TW"/>
        </w:rPr>
        <w:t>.三次产业划分依据国家统计局2018年修订的《三次产业划分规定》（国统字﹝2012﹞108号），行业划分执行《国民经济行业分类》（GB/T4754-2017）。</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auto"/>
          <w:sz w:val="24"/>
          <w:szCs w:val="32"/>
          <w:highlight w:val="none"/>
          <w:lang w:val="zh-TW"/>
        </w:rPr>
      </w:pPr>
      <w:r>
        <w:rPr>
          <w:rFonts w:hint="eastAsia" w:ascii="宋体" w:hAnsi="宋体" w:cs="仿宋_GB2312"/>
          <w:color w:val="auto"/>
          <w:sz w:val="24"/>
          <w:szCs w:val="32"/>
          <w:highlight w:val="none"/>
          <w:lang w:val="en-US" w:eastAsia="zh-CN"/>
        </w:rPr>
        <w:t>5</w:t>
      </w:r>
      <w:r>
        <w:rPr>
          <w:rFonts w:hint="eastAsia" w:ascii="宋体" w:hAnsi="宋体" w:eastAsia="宋体" w:cs="仿宋_GB2312"/>
          <w:color w:val="auto"/>
          <w:sz w:val="24"/>
          <w:szCs w:val="32"/>
          <w:highlight w:val="none"/>
          <w:lang w:val="zh-TW"/>
        </w:rPr>
        <w:t>.规模以上工业企业是指年主营收入2000万元及以上的全部法人工业企业；限额以上批发和零售业单位是指年主营业务收入2000万元及以上的批发业、年主营业务收入500万元及以上的零售业单位（包括法人单位、产业活动单位和个体经营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color w:val="auto"/>
        </w:rPr>
      </w:pPr>
      <w:r>
        <w:rPr>
          <w:rFonts w:hint="eastAsia" w:ascii="宋体" w:hAnsi="宋体" w:cs="仿宋_GB2312"/>
          <w:color w:val="auto"/>
          <w:sz w:val="24"/>
          <w:szCs w:val="32"/>
          <w:highlight w:val="none"/>
          <w:lang w:val="en-US" w:eastAsia="zh-CN"/>
        </w:rPr>
        <w:t>6</w:t>
      </w:r>
      <w:r>
        <w:rPr>
          <w:rFonts w:hint="eastAsia" w:ascii="宋体" w:hAnsi="宋体" w:eastAsia="宋体" w:cs="仿宋_GB2312"/>
          <w:color w:val="auto"/>
          <w:sz w:val="24"/>
          <w:szCs w:val="32"/>
          <w:highlight w:val="none"/>
          <w:lang w:val="zh-TW"/>
        </w:rPr>
        <w:t>.部分数据合计数或相对数由于计量单位取舍不同而产生计算误差，均未作机械调整。</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NzNkNTE2YWYxNTA1ODg0NTI2MjQ3ZjhkMDA2MjQifQ=="/>
  </w:docVars>
  <w:rsids>
    <w:rsidRoot w:val="00172A27"/>
    <w:rsid w:val="01392FDC"/>
    <w:rsid w:val="06AC180E"/>
    <w:rsid w:val="06C158EB"/>
    <w:rsid w:val="06E47E79"/>
    <w:rsid w:val="0A6A5BE8"/>
    <w:rsid w:val="0BE45F71"/>
    <w:rsid w:val="0BF906B3"/>
    <w:rsid w:val="0C7D1208"/>
    <w:rsid w:val="0CC56902"/>
    <w:rsid w:val="0D2553A2"/>
    <w:rsid w:val="0D4F4253"/>
    <w:rsid w:val="12343664"/>
    <w:rsid w:val="160413C2"/>
    <w:rsid w:val="176F0ADB"/>
    <w:rsid w:val="18900837"/>
    <w:rsid w:val="1A032BB3"/>
    <w:rsid w:val="1CE90BAB"/>
    <w:rsid w:val="1D492719"/>
    <w:rsid w:val="1DEB2F83"/>
    <w:rsid w:val="1DF01BAB"/>
    <w:rsid w:val="244E1C1C"/>
    <w:rsid w:val="25750BE1"/>
    <w:rsid w:val="2DE53C07"/>
    <w:rsid w:val="2E1820C2"/>
    <w:rsid w:val="2E307ACA"/>
    <w:rsid w:val="2E4658A8"/>
    <w:rsid w:val="2ECD5689"/>
    <w:rsid w:val="30EF26D5"/>
    <w:rsid w:val="322F554F"/>
    <w:rsid w:val="32F860CE"/>
    <w:rsid w:val="33817C71"/>
    <w:rsid w:val="355C3B26"/>
    <w:rsid w:val="3CEA20BC"/>
    <w:rsid w:val="40AE28D6"/>
    <w:rsid w:val="4159423E"/>
    <w:rsid w:val="46942827"/>
    <w:rsid w:val="48921A2D"/>
    <w:rsid w:val="48E2091E"/>
    <w:rsid w:val="49F41BE5"/>
    <w:rsid w:val="4D386ADB"/>
    <w:rsid w:val="4E1B1E0F"/>
    <w:rsid w:val="50E87B49"/>
    <w:rsid w:val="55E47A21"/>
    <w:rsid w:val="5C1E0339"/>
    <w:rsid w:val="5CAF3B5D"/>
    <w:rsid w:val="655C615B"/>
    <w:rsid w:val="66B041FB"/>
    <w:rsid w:val="6A457569"/>
    <w:rsid w:val="6AF92B18"/>
    <w:rsid w:val="6B547F3A"/>
    <w:rsid w:val="6B70068C"/>
    <w:rsid w:val="6EFC2414"/>
    <w:rsid w:val="71775FF0"/>
    <w:rsid w:val="74BE27BA"/>
    <w:rsid w:val="74C35F1C"/>
    <w:rsid w:val="77C42756"/>
    <w:rsid w:val="795C2158"/>
    <w:rsid w:val="7B594B99"/>
    <w:rsid w:val="7B8C74E0"/>
    <w:rsid w:val="7C42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2"/>
    <w:basedOn w:val="2"/>
    <w:qFormat/>
    <w:uiPriority w:val="0"/>
    <w:pPr>
      <w:ind w:firstLine="420" w:firstLineChars="200"/>
    </w:pPr>
  </w:style>
  <w:style w:type="character" w:customStyle="1" w:styleId="8">
    <w:name w:val="fontstyle01"/>
    <w:basedOn w:val="7"/>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325"/>
          <c:y val="0.103386809269162"/>
          <c:w val="0.905175"/>
          <c:h val="0.658110516934046"/>
        </c:manualLayout>
      </c:layout>
      <c:barChart>
        <c:barDir val="col"/>
        <c:grouping val="stacked"/>
        <c:varyColors val="0"/>
        <c:ser>
          <c:idx val="0"/>
          <c:order val="0"/>
          <c:tx>
            <c:strRef>
              <c:f>Sheet1!$B$1</c:f>
              <c:strCache>
                <c:ptCount val="1"/>
                <c:pt idx="0">
                  <c:v>进口额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2018年</c:v>
                </c:pt>
                <c:pt idx="1">
                  <c:v>2019年</c:v>
                </c:pt>
                <c:pt idx="2">
                  <c:v>2020年</c:v>
                </c:pt>
                <c:pt idx="3">
                  <c:v>2021年</c:v>
                </c:pt>
                <c:pt idx="4">
                  <c:v>2022年</c:v>
                </c:pt>
                <c:pt idx="5">
                  <c:v>2023年</c:v>
                </c:pt>
                <c:pt idx="6">
                  <c:v>2024年</c:v>
                </c:pt>
              </c:strCache>
            </c:strRef>
          </c:cat>
          <c:val>
            <c:numRef>
              <c:f>Sheet1!$B$2:$B$8</c:f>
              <c:numCache>
                <c:formatCode>General</c:formatCode>
                <c:ptCount val="7"/>
                <c:pt idx="0">
                  <c:v>129.8</c:v>
                </c:pt>
                <c:pt idx="1">
                  <c:v>138.7</c:v>
                </c:pt>
                <c:pt idx="2">
                  <c:v>141.1</c:v>
                </c:pt>
                <c:pt idx="3">
                  <c:v>187.6</c:v>
                </c:pt>
                <c:pt idx="4">
                  <c:v>186.6</c:v>
                </c:pt>
                <c:pt idx="5" c:formatCode="0.0_ ">
                  <c:v>172</c:v>
                </c:pt>
                <c:pt idx="6">
                  <c:v>196.1</c:v>
                </c:pt>
              </c:numCache>
            </c:numRef>
          </c:val>
        </c:ser>
        <c:ser>
          <c:idx val="1"/>
          <c:order val="1"/>
          <c:tx>
            <c:strRef>
              <c:f>Sheet1!$C$1</c:f>
              <c:strCache>
                <c:ptCount val="1"/>
                <c:pt idx="0">
                  <c:v>出口额</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2018年</c:v>
                </c:pt>
                <c:pt idx="1">
                  <c:v>2019年</c:v>
                </c:pt>
                <c:pt idx="2">
                  <c:v>2020年</c:v>
                </c:pt>
                <c:pt idx="3">
                  <c:v>2021年</c:v>
                </c:pt>
                <c:pt idx="4">
                  <c:v>2022年</c:v>
                </c:pt>
                <c:pt idx="5">
                  <c:v>2023年</c:v>
                </c:pt>
                <c:pt idx="6">
                  <c:v>2024年</c:v>
                </c:pt>
              </c:strCache>
            </c:strRef>
          </c:cat>
          <c:val>
            <c:numRef>
              <c:f>Sheet1!$C$2:$C$8</c:f>
              <c:numCache>
                <c:formatCode>General</c:formatCode>
                <c:ptCount val="7"/>
                <c:pt idx="0">
                  <c:v>64.9</c:v>
                </c:pt>
                <c:pt idx="1">
                  <c:v>57.8</c:v>
                </c:pt>
                <c:pt idx="2">
                  <c:v>58.5</c:v>
                </c:pt>
                <c:pt idx="3">
                  <c:v>127.7</c:v>
                </c:pt>
                <c:pt idx="4">
                  <c:v>72.4</c:v>
                </c:pt>
                <c:pt idx="5">
                  <c:v>69.3</c:v>
                </c:pt>
                <c:pt idx="6">
                  <c:v>78.4</c:v>
                </c:pt>
              </c:numCache>
            </c:numRef>
          </c:val>
        </c:ser>
        <c:dLbls>
          <c:showLegendKey val="0"/>
          <c:showVal val="1"/>
          <c:showCatName val="0"/>
          <c:showSerName val="0"/>
          <c:showPercent val="0"/>
          <c:showBubbleSize val="0"/>
        </c:dLbls>
        <c:gapWidth val="150"/>
        <c:overlap val="100"/>
        <c:axId val="948784229"/>
        <c:axId val="208175799"/>
      </c:barChart>
      <c:catAx>
        <c:axId val="948784229"/>
        <c:scaling>
          <c:orientation val="minMax"/>
        </c:scaling>
        <c:delete val="0"/>
        <c:axPos val="b"/>
        <c:majorTickMark val="in"/>
        <c:minorTickMark val="none"/>
        <c:tickLblPos val="nextTo"/>
        <c:spPr>
          <a:noFill/>
          <a:ln w="9525" cap="flat" cmpd="sng" algn="ctr">
            <a:solidFill>
              <a:schemeClr val="tx1">
                <a:lumMod val="15000"/>
                <a:lumOff val="85000"/>
                <a:alpha val="97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08175799"/>
        <c:crosses val="autoZero"/>
        <c:auto val="1"/>
        <c:lblAlgn val="ctr"/>
        <c:lblOffset val="100"/>
        <c:noMultiLvlLbl val="0"/>
      </c:catAx>
      <c:valAx>
        <c:axId val="208175799"/>
        <c:scaling>
          <c:orientation val="minMax"/>
        </c:scaling>
        <c:delete val="0"/>
        <c:axPos val="l"/>
        <c:numFmt formatCode="General" sourceLinked="1"/>
        <c:majorTickMark val="out"/>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4878422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562515597704"/>
          <c:y val="0.0985134794658604"/>
          <c:w val="0.858722236086848"/>
          <c:h val="0.665507684555304"/>
        </c:manualLayout>
      </c:layout>
      <c:barChart>
        <c:barDir val="col"/>
        <c:grouping val="clustered"/>
        <c:varyColors val="0"/>
        <c:ser>
          <c:idx val="0"/>
          <c:order val="0"/>
          <c:tx>
            <c:strRef>
              <c:f>Sheet1!$B$1</c:f>
              <c:strCache>
                <c:ptCount val="1"/>
                <c:pt idx="0">
                  <c:v>工业总产值</c:v>
                </c:pt>
              </c:strCache>
            </c:strRef>
          </c:tx>
          <c:spPr>
            <a:solidFill>
              <a:schemeClr val="accent1"/>
            </a:solidFill>
            <a:ln>
              <a:noFill/>
            </a:ln>
            <a:effectLst/>
          </c:spPr>
          <c:invertIfNegative val="0"/>
          <c:dLbls>
            <c:numFmt formatCode="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2022年</c:v>
                </c:pt>
                <c:pt idx="2">
                  <c:v>2023年</c:v>
                </c:pt>
                <c:pt idx="3">
                  <c:v>2024年</c:v>
                </c:pt>
              </c:strCache>
            </c:strRef>
          </c:cat>
          <c:val>
            <c:numRef>
              <c:f>Sheet1!$B$2:$B$5</c:f>
              <c:numCache>
                <c:formatCode>General</c:formatCode>
                <c:ptCount val="4"/>
                <c:pt idx="0">
                  <c:v>6037.4</c:v>
                </c:pt>
                <c:pt idx="1">
                  <c:v>5371.2</c:v>
                </c:pt>
                <c:pt idx="2">
                  <c:v>5200.1</c:v>
                </c:pt>
                <c:pt idx="3">
                  <c:v>6079.7</c:v>
                </c:pt>
              </c:numCache>
            </c:numRef>
          </c:val>
        </c:ser>
        <c:dLbls>
          <c:showLegendKey val="0"/>
          <c:showVal val="1"/>
          <c:showCatName val="0"/>
          <c:showSerName val="0"/>
          <c:showPercent val="0"/>
          <c:showBubbleSize val="0"/>
        </c:dLbls>
        <c:gapWidth val="219"/>
        <c:overlap val="-27"/>
        <c:axId val="935887442"/>
        <c:axId val="780987935"/>
      </c:barChart>
      <c:lineChart>
        <c:grouping val="standard"/>
        <c:varyColors val="0"/>
        <c:ser>
          <c:idx val="1"/>
          <c:order val="1"/>
          <c:tx>
            <c:strRef>
              <c:f>Sheet1!$C$1</c:f>
              <c:strCache>
                <c:ptCount val="1"/>
                <c:pt idx="0">
                  <c:v>比上年增长</c:v>
                </c:pt>
              </c:strCache>
            </c:strRef>
          </c:tx>
          <c:spPr>
            <a:ln w="28575" cap="rnd">
              <a:solidFill>
                <a:schemeClr val="accent2"/>
              </a:solidFill>
              <a:round/>
            </a:ln>
            <a:effectLst/>
          </c:spPr>
          <c:marker>
            <c:symbol val="circle"/>
            <c:size val="5"/>
            <c:spPr>
              <a:solidFill>
                <a:srgbClr val="FF0000"/>
              </a:solidFill>
              <a:ln w="9525">
                <a:solidFill>
                  <a:schemeClr val="accent2"/>
                </a:solidFill>
              </a:ln>
              <a:effectLst/>
            </c:spPr>
          </c:marker>
          <c:dLbls>
            <c:dLbl>
              <c:idx val="0"/>
              <c:layout>
                <c:manualLayout>
                  <c:x val="-0.0454205141003244"/>
                  <c:y val="0.074825835679072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2992263538808"/>
                  <c:y val="-0.05719324766943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677065136012"/>
                  <c:y val="0.052986476300281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15522835038682"/>
                  <c:y val="0.068783068783068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2022年</c:v>
                </c:pt>
                <c:pt idx="2">
                  <c:v>2023年</c:v>
                </c:pt>
                <c:pt idx="3">
                  <c:v>2024年</c:v>
                </c:pt>
              </c:strCache>
            </c:strRef>
          </c:cat>
          <c:val>
            <c:numRef>
              <c:f>Sheet1!$C$2:$C$5</c:f>
              <c:numCache>
                <c:formatCode>General</c:formatCode>
                <c:ptCount val="4"/>
                <c:pt idx="0">
                  <c:v>24.5</c:v>
                </c:pt>
                <c:pt idx="1">
                  <c:v>-11.6</c:v>
                </c:pt>
                <c:pt idx="2" c:formatCode="0.0_ ">
                  <c:v>-4</c:v>
                </c:pt>
                <c:pt idx="3">
                  <c:v>14.8</c:v>
                </c:pt>
              </c:numCache>
            </c:numRef>
          </c:val>
          <c:smooth val="0"/>
        </c:ser>
        <c:dLbls>
          <c:showLegendKey val="0"/>
          <c:showVal val="1"/>
          <c:showCatName val="0"/>
          <c:showSerName val="0"/>
          <c:showPercent val="0"/>
          <c:showBubbleSize val="0"/>
        </c:dLbls>
        <c:marker val="1"/>
        <c:smooth val="0"/>
        <c:axId val="277641347"/>
        <c:axId val="368997184"/>
      </c:lineChart>
      <c:catAx>
        <c:axId val="935887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80987935"/>
        <c:crosses val="autoZero"/>
        <c:auto val="1"/>
        <c:lblAlgn val="ctr"/>
        <c:lblOffset val="100"/>
        <c:noMultiLvlLbl val="0"/>
      </c:catAx>
      <c:valAx>
        <c:axId val="780987935"/>
        <c:scaling>
          <c:orientation val="minMax"/>
          <c:min val="2000"/>
        </c:scaling>
        <c:delete val="0"/>
        <c:axPos val="l"/>
        <c:numFmt formatCode="General" sourceLinked="1"/>
        <c:majorTickMark val="out"/>
        <c:minorTickMark val="none"/>
        <c:tickLblPos val="nextTo"/>
        <c:spPr>
          <a:noFill/>
          <a:ln w="3175">
            <a:solidFill>
              <a:schemeClr val="bg1">
                <a:lumMod val="85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35887442"/>
        <c:crosses val="autoZero"/>
        <c:crossBetween val="between"/>
      </c:valAx>
      <c:catAx>
        <c:axId val="277641347"/>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68997184"/>
        <c:crosses val="autoZero"/>
        <c:auto val="1"/>
        <c:lblAlgn val="ctr"/>
        <c:lblOffset val="100"/>
        <c:noMultiLvlLbl val="0"/>
      </c:catAx>
      <c:valAx>
        <c:axId val="368997184"/>
        <c:scaling>
          <c:orientation val="minMax"/>
        </c:scaling>
        <c:delete val="0"/>
        <c:axPos val="r"/>
        <c:numFmt formatCode="General" sourceLinked="1"/>
        <c:majorTickMark val="out"/>
        <c:minorTickMark val="none"/>
        <c:tickLblPos val="nextTo"/>
        <c:spPr>
          <a:noFill/>
          <a:ln w="3175">
            <a:solidFill>
              <a:schemeClr val="bg1">
                <a:lumMod val="85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77641347"/>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4345</Words>
  <Characters>5258</Characters>
  <Lines>0</Lines>
  <Paragraphs>0</Paragraphs>
  <TotalTime>4</TotalTime>
  <ScaleCrop>false</ScaleCrop>
  <LinksUpToDate>false</LinksUpToDate>
  <CharactersWithSpaces>5436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2024-03-11T03:10:00Z</dcterms:created>
  <dc:creator>Administrator</dc:creator>
  <cp:lastModifiedBy>Administrator</cp:lastModifiedBy>
  <cp:lastPrinted>2025-06-19T09:56:19Z</cp:lastPrinted>
  <dcterms:modified xsi:type="dcterms:W3CDTF">2025-06-19T10:17:17Z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A3BA7D4F6656405298639748AE5F7D43_13</vt:lpwstr>
  </property>
</Properties>
</file>