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iagrams/colors1.xml" ContentType="application/vnd.openxmlformats-officedocument.drawingml.diagramColors+xml"/>
  <Override PartName="/word/diagrams/data1.xml" ContentType="application/vnd.openxmlformats-officedocument.drawingml.diagramData+xml"/>
  <Override PartName="/word/diagrams/drawing1.xml" ContentType="application/vnd.ms-office.drawingml.diagramDrawing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color w:val="000000"/>
          <w:sz w:val="32"/>
          <w:szCs w:val="32"/>
          <w:shd w:val="clear" w:color="auto" w:fill="FFFFFF"/>
          <w:lang w:eastAsia="zh-CN"/>
        </w:rPr>
      </w:pPr>
      <w:bookmarkStart w:id="0" w:name="_GoBack"/>
      <w:r>
        <w:rPr>
          <w:rFonts w:hint="eastAsia" w:ascii="黑体" w:hAnsi="黑体" w:eastAsia="黑体" w:cs="黑体"/>
          <w:color w:val="000000"/>
          <w:sz w:val="32"/>
          <w:szCs w:val="32"/>
          <w:shd w:val="clear" w:color="auto" w:fill="FFFFFF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shd w:val="clear" w:color="auto" w:fill="FFFFFF"/>
          <w:lang w:val="en-US" w:eastAsia="zh-CN"/>
        </w:rPr>
        <w:t>3</w:t>
      </w:r>
    </w:p>
    <w:bookmarkEnd w:id="0"/>
    <w:p>
      <w:pPr>
        <w:spacing w:line="60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  <w:t>线上面试考生（候选人）操作手册</w:t>
      </w:r>
    </w:p>
    <w:p>
      <w:pPr>
        <w:spacing w:line="600" w:lineRule="exact"/>
        <w:jc w:val="center"/>
        <w:rPr>
          <w:rFonts w:ascii="方正小标宋简体" w:hAnsi="方正小标宋简体" w:eastAsia="方正小标宋简体" w:cs="方正小标宋简体"/>
          <w:color w:val="000000"/>
          <w:sz w:val="44"/>
          <w:szCs w:val="44"/>
        </w:rPr>
      </w:pPr>
    </w:p>
    <w:p>
      <w:pPr>
        <w:keepNext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一、准备工作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候选人需要在面试前准备好面试当天需要使用的设备，并提前完成调试工作。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1.1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设备准备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硬件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一台台式机 或 笔记本电脑 或 Surface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平板电脑 或 苹果笔记本。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操作系统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（推荐）Microsoft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7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SP1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（推荐）Microsoft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10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Vista SP1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Microsoft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8/8.1</w:t>
      </w:r>
    </w:p>
    <w:p>
      <w:pPr>
        <w:pStyle w:val="7"/>
        <w:numPr>
          <w:ilvl w:val="0"/>
          <w:numId w:val="1"/>
        </w:numPr>
        <w:spacing w:after="0" w:line="360" w:lineRule="auto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M</w:t>
      </w:r>
      <w:r>
        <w:rPr>
          <w:rFonts w:hint="eastAsia" w:ascii="微软雅黑" w:hAnsi="微软雅黑" w:eastAsia="微软雅黑"/>
        </w:rPr>
        <w:t>ac</w:t>
      </w:r>
      <w:r>
        <w:rPr>
          <w:rFonts w:ascii="微软雅黑" w:hAnsi="微软雅黑" w:eastAsia="微软雅黑"/>
        </w:rPr>
        <w:t xml:space="preserve"> OS 10.15 </w:t>
      </w:r>
      <w:r>
        <w:rPr>
          <w:rFonts w:hint="eastAsia" w:ascii="微软雅黑" w:hAnsi="微软雅黑" w:eastAsia="微软雅黑"/>
        </w:rPr>
        <w:t>及其以上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浏览器</w:t>
      </w:r>
    </w:p>
    <w:p>
      <w:pPr>
        <w:pStyle w:val="7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谷歌浏览器（版本 75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及其以上），可以访问此链接下载最新版浏览器：</w:t>
      </w:r>
      <w:r>
        <w:rPr>
          <w:rFonts w:ascii="微软雅黑" w:hAnsi="微软雅黑" w:eastAsia="微软雅黑"/>
        </w:rPr>
        <w:t>https://www.google.c</w:t>
      </w:r>
      <w:r>
        <w:rPr>
          <w:rFonts w:hint="eastAsia" w:ascii="微软雅黑" w:hAnsi="微软雅黑" w:eastAsia="微软雅黑"/>
        </w:rPr>
        <w:t>n</w:t>
      </w:r>
      <w:r>
        <w:rPr>
          <w:rFonts w:ascii="微软雅黑" w:hAnsi="微软雅黑" w:eastAsia="微软雅黑"/>
        </w:rPr>
        <w:t>/chrome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显示器</w:t>
      </w:r>
    </w:p>
    <w:p>
      <w:pPr>
        <w:pStyle w:val="7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屏幕可用分辨率至少 1200×600。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网络</w:t>
      </w:r>
    </w:p>
    <w:p>
      <w:pPr>
        <w:pStyle w:val="7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能够访问互联网的网络环境，推荐使用有线网络。如果使用 Wi-Fi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环境，需要确保无线信号良好。</w:t>
      </w:r>
    </w:p>
    <w:p>
      <w:pPr>
        <w:pStyle w:val="7"/>
        <w:numPr>
          <w:ilvl w:val="0"/>
          <w:numId w:val="2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网络带宽：打开常用视频网站（如优酷、腾讯视频、爱奇艺等）能正常播放视频。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其他硬件</w:t>
      </w:r>
    </w:p>
    <w:p>
      <w:pPr>
        <w:pStyle w:val="7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摄像头，支持外接 USB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摄像头</w:t>
      </w:r>
    </w:p>
    <w:p>
      <w:pPr>
        <w:pStyle w:val="7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麦克风</w:t>
      </w:r>
    </w:p>
    <w:p>
      <w:pPr>
        <w:pStyle w:val="7"/>
        <w:numPr>
          <w:ilvl w:val="0"/>
          <w:numId w:val="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扬声器</w:t>
      </w:r>
    </w:p>
    <w:p>
      <w:pPr>
        <w:spacing w:after="0" w:line="360" w:lineRule="auto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手机</w:t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一台安装有微信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7.0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及其以上的智能手机，并能上网。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重要说明：</w:t>
      </w:r>
    </w:p>
    <w:p>
      <w:pPr>
        <w:pStyle w:val="7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面试时，摄像头需要能够拍摄到候选人本人，需要确保前置摄像头可用。</w:t>
      </w:r>
    </w:p>
    <w:p>
      <w:pPr>
        <w:pStyle w:val="7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建议使用电脑设备（如笔记本电脑）自带的麦克风和扬声器进行面试。请避免使用外接耳机、扬声器，以免被判定违纪或影响视频录制效果。</w:t>
      </w:r>
    </w:p>
    <w:p>
      <w:pPr>
        <w:pStyle w:val="7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在屏幕分辨率达标的情况下，如果无法正常显示网站内容，请检查显示缩放是否设置超过 100%。</w:t>
      </w:r>
    </w:p>
    <w:p>
      <w:pPr>
        <w:pStyle w:val="7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如果在苹果笔记本上安装 Windows，扬声器、麦克风 和/或 摄像头可能会出现不兼容的情况，请务必确保摄像头、麦克风和扬声器可用，并在面试前完成设备调试。</w:t>
      </w:r>
    </w:p>
    <w:p>
      <w:pPr>
        <w:pStyle w:val="8"/>
        <w:numPr>
          <w:ilvl w:val="0"/>
          <w:numId w:val="5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手机将用于实人认证相关环节（针对部分证件类型），同时作为副视角架设，请确保有充足的电量，并能上网。（未要求实人认证及配备副视角的面试可无须配备）</w:t>
      </w:r>
    </w:p>
    <w:p>
      <w:pPr>
        <w:pStyle w:val="7"/>
        <w:spacing w:after="0" w:line="360" w:lineRule="auto"/>
        <w:rPr>
          <w:rFonts w:ascii="微软雅黑" w:hAnsi="微软雅黑" w:eastAsia="微软雅黑"/>
        </w:rPr>
      </w:pP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1.2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设备调试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视频面试需要开启摄像头、麦克风和扬声器，在面试前应当做好调试准备工作。面试系统提供相应的设备调试环境，候选人登录面试系统即可进行设备调试。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调试摄像头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候选人打开面试系统后，在登录页面（中间右下方）可看到调试设备的按钮，如下图所示。考生可以点击“调试设备”按钮打开调试页面。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145155" cy="539750"/>
            <wp:effectExtent l="9525" t="9525" r="20320" b="22225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45155" cy="53975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</w:t>
      </w:r>
      <w:r>
        <w:rPr>
          <w:rFonts w:hint="eastAsia" w:ascii="微软雅黑" w:hAnsi="微软雅黑" w:eastAsia="微软雅黑"/>
        </w:rPr>
        <w:t>：在点击调试设备前，请确保摄像头、麦克风已连接。同时，没有其它应用程序正在使用摄像头和麦克风。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如果首次使用，系统会弹出设备授权框，系统会显示如下图所示的提示信息。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135630" cy="1461770"/>
            <wp:effectExtent l="9525" t="9525" r="13970" b="20955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146177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您需要在左上角弹出的授权框中点击“允许”按钮。在摄像头和麦克风允许访问后，您可以看到视频画面，如下图所示。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2354580" cy="2714625"/>
            <wp:effectExtent l="9525" t="9525" r="17145" b="22225"/>
            <wp:docPr id="1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27146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如果能看到实时画面，那说明摄像头已可以正常使用。如果无法看到实时画面，请检查摄像头是否已正确连接，或者摄像头是否可以正常使用。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</w:t>
      </w:r>
      <w:r>
        <w:rPr>
          <w:rFonts w:hint="eastAsia" w:ascii="微软雅黑" w:hAnsi="微软雅黑" w:eastAsia="微软雅黑"/>
        </w:rPr>
        <w:t>：请使用能拍摄到您本人画面的摄像头进行调试。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调试麦克风和扬声器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完成摄像头调试后，可以对麦克风和扬声器进行调试。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2524125" cy="2921000"/>
            <wp:effectExtent l="9525" t="9525" r="22225" b="22225"/>
            <wp:docPr id="4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92100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调试分为两步，先录音，后回放，具体步骤如下。</w:t>
      </w:r>
    </w:p>
    <w:p>
      <w:pPr>
        <w:pStyle w:val="7"/>
        <w:numPr>
          <w:ilvl w:val="0"/>
          <w:numId w:val="6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一步录音：点击红色圆圈按钮（录制按钮）开始录制。录音框下方会有红色倒计时进度条，倒计时结束后自动停止录音，也可以手动点击红色方块手动结束录音。同时录音框中会有类似进度条，进度条会有深浅，表示声音响亮程度。可以对着麦克风的方向说话，如大声数数，1、2、3、4、5。</w:t>
      </w:r>
    </w:p>
    <w:p>
      <w:pPr>
        <w:pStyle w:val="7"/>
        <w:numPr>
          <w:ilvl w:val="0"/>
          <w:numId w:val="6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第二步回放：录音结束后，点击下方的播放按钮。此时可以回放刚才的录音，如果能听到声音就表示麦克风和扬声器正常。如果无法听到录音，请检查麦克风和扬声器是否可以正常使用，或者扬声器未静音。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1.2.2.1 摄像头和麦克风被屏蔽如何解决？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如果未授权面试系统使用摄像头和麦克风，将看到如下图所示的提示信息。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2827020" cy="1066800"/>
            <wp:effectExtent l="9525" t="9525" r="20955" b="19050"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106680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请根据提示信息上的操作指令开启摄像头和麦克风，开启后可以点击“刷新”查看。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10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或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8/8.1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中摄像头和麦克风被屏蔽如何解决？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如果操作系统为 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10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 xml:space="preserve">或 </w:t>
      </w:r>
      <w:r>
        <w:rPr>
          <w:rFonts w:ascii="微软雅黑" w:hAnsi="微软雅黑" w:eastAsia="微软雅黑"/>
        </w:rPr>
        <w:t>Windows 8/8.1</w:t>
      </w:r>
      <w:r>
        <w:rPr>
          <w:rFonts w:hint="eastAsia" w:ascii="微软雅黑" w:hAnsi="微软雅黑" w:eastAsia="微软雅黑"/>
        </w:rPr>
        <w:t>，根据 1.2.2.1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节中的步骤操作后依然无法解决，请尝试以下步骤。</w:t>
      </w:r>
    </w:p>
    <w:p>
      <w:pPr>
        <w:pStyle w:val="7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打开“设置”。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830445" cy="2879725"/>
            <wp:effectExtent l="9525" t="9525" r="17780" b="15875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点击“隐私”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点击左侧菜单“相机”。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830445" cy="2879725"/>
            <wp:effectExtent l="9525" t="9525" r="17780" b="15875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确保“允许在此设备上访问相机”已打开，若未打开，请点击“更改”按钮来打开。</w:t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确保“允许应用访问你的相机”已打开，若未打开，请打开对应的开关。</w:t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确保“允许桌面应用访问你的相机”已打开，若未打开，请打开对应的开关，如下图所示。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637280" cy="2042160"/>
            <wp:effectExtent l="9525" t="9525" r="20320" b="12065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37280" cy="20421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7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点击左侧菜单“麦克风”。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830445" cy="2879725"/>
            <wp:effectExtent l="9525" t="9525" r="17780" b="15875"/>
            <wp:docPr id="9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确保“允许在此设备上访问麦克风”已打开，若未打开，请点击“更改”按钮来打开。</w:t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确保“允许应用访问你的麦克风”已打开，若未打开，请打开对应的开关。</w:t>
      </w:r>
    </w:p>
    <w:p>
      <w:pPr>
        <w:pStyle w:val="7"/>
        <w:numPr>
          <w:ilvl w:val="0"/>
          <w:numId w:val="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确保“允许桌面应用访问你的麦克风”已打开，若未打开，请打开对应的开关，如下图所示。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028950" cy="1693545"/>
            <wp:effectExtent l="9525" t="9525" r="9525" b="11430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69354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1.2.2.3 切换摄像头、麦克风、扬声器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如果具有多个摄像头 和/或 麦克风 和/或 扬声器，可以根据需要在设备间进行切换。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检测网络环境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完成麦克风和扬声器调试后，需要检测网络环境。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2457450" cy="2847340"/>
            <wp:effectExtent l="9525" t="9525" r="9525" b="16510"/>
            <wp:docPr id="11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284734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如果网络检测结果为“网络连接正常”，则表明可以正常进行面试，否则无法正常面试。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1.2.3.</w:t>
      </w:r>
      <w:r>
        <w:rPr>
          <w:rFonts w:ascii="微软雅黑" w:hAnsi="微软雅黑" w:eastAsia="微软雅黑"/>
          <w:b/>
          <w:bCs/>
        </w:rPr>
        <w:t xml:space="preserve">1 </w:t>
      </w:r>
      <w:r>
        <w:rPr>
          <w:rFonts w:hint="eastAsia" w:ascii="微软雅黑" w:hAnsi="微软雅黑" w:eastAsia="微软雅黑"/>
          <w:b/>
          <w:bCs/>
        </w:rPr>
        <w:t>视频面试对网络有什么要求？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网络带宽：无特殊情况下，网络下行带宽 ≥ </w:t>
      </w:r>
      <w:r>
        <w:rPr>
          <w:rFonts w:ascii="微软雅黑" w:hAnsi="微软雅黑" w:eastAsia="微软雅黑"/>
        </w:rPr>
        <w:t>10Mbsp</w:t>
      </w:r>
      <w:r>
        <w:rPr>
          <w:rFonts w:hint="eastAsia" w:ascii="微软雅黑" w:hAnsi="微软雅黑" w:eastAsia="微软雅黑"/>
        </w:rPr>
        <w:t xml:space="preserve"> 且 上行带宽 ≥ 2Mbps，通常 4G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网络环境可满足带宽要求。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请确保调试环境与正式面试时的环境一致。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尽可能不要使用单位电脑，特别是加入单位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域中的电脑。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尽可能在家 或 使用 4G 热点的参加面试。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建议使用有线网络。如果使用无线网络，则务必确保无线信号良好。</w:t>
      </w:r>
    </w:p>
    <w:p>
      <w:pPr>
        <w:pStyle w:val="7"/>
        <w:numPr>
          <w:ilvl w:val="0"/>
          <w:numId w:val="8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不要使用的公共无线网络，如机场、火车站等地提供的免费 Wi-Fi。</w:t>
      </w:r>
    </w:p>
    <w:p>
      <w:pPr>
        <w:keepNext/>
        <w:spacing w:after="0" w:line="360" w:lineRule="auto"/>
        <w:outlineLvl w:val="3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1.2.3.</w:t>
      </w:r>
      <w:r>
        <w:rPr>
          <w:rFonts w:ascii="微软雅黑" w:hAnsi="微软雅黑" w:eastAsia="微软雅黑"/>
          <w:b/>
          <w:bCs/>
        </w:rPr>
        <w:t xml:space="preserve">2 </w:t>
      </w:r>
      <w:r>
        <w:rPr>
          <w:rFonts w:hint="eastAsia" w:ascii="微软雅黑" w:hAnsi="微软雅黑" w:eastAsia="微软雅黑"/>
          <w:b/>
          <w:bCs/>
        </w:rPr>
        <w:t>网络检测异常如何解决？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遇到网络检测结果为异常时，按以下步骤进行解决。</w:t>
      </w:r>
    </w:p>
    <w:p>
      <w:pPr>
        <w:pStyle w:val="7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确认当前环境是否为面试当天的环境。如果不是则需要更换环境后重新检测。</w:t>
      </w:r>
      <w:r>
        <w:rPr>
          <w:rFonts w:hint="eastAsia" w:ascii="微软雅黑" w:hAnsi="微软雅黑" w:eastAsia="微软雅黑"/>
          <w:i/>
          <w:iCs/>
        </w:rPr>
        <w:t>重要说明</w:t>
      </w:r>
      <w:r>
        <w:rPr>
          <w:rFonts w:hint="eastAsia" w:ascii="微软雅黑" w:hAnsi="微软雅黑" w:eastAsia="微软雅黑"/>
        </w:rPr>
        <w:t>：如果设备调试环境与面试当天环境不一致时，即使网络检测通过，也无法确保面试当天的网络正常。</w:t>
      </w:r>
    </w:p>
    <w:p>
      <w:pPr>
        <w:pStyle w:val="7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确定是否在单位。一些单位，特别是大型企业的网络很可能会屏蔽某些端口。如果能使用浏览器打开百度页面，只能证明当前网络环境没有限制打开网页（80/443 端口），但视频面试时还需要使用其它端口。此时，建议使用 4G 热点或更换场地来解决。</w:t>
      </w:r>
    </w:p>
    <w:p>
      <w:pPr>
        <w:pStyle w:val="7"/>
        <w:numPr>
          <w:ilvl w:val="0"/>
          <w:numId w:val="9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如果不在单位或者更换 4G 热点后依然异常，确定是否使用的是单位电脑。如果使用了单位电脑，则设备可能处于单位 Windows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域环境，一些单位的域会限制访问某些端口，此时建议更换一台非单位电脑来解决。</w:t>
      </w:r>
    </w:p>
    <w:p>
      <w:pPr>
        <w:keepNext/>
        <w:pageBreakBefore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二、面试当天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2.1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准备工作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面试当天，候选人需要提前准备好以下各项工作。</w:t>
      </w:r>
    </w:p>
    <w:p>
      <w:pPr>
        <w:pStyle w:val="7"/>
        <w:numPr>
          <w:ilvl w:val="0"/>
          <w:numId w:val="10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一台台式机或笔记本电脑，具体设备要求参见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pStyle w:val="7"/>
        <w:numPr>
          <w:ilvl w:val="0"/>
          <w:numId w:val="10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根据报名时的证件类型，准备对应的身份证件原件，如港澳居民来往内地通行证、台湾居民来往大陆通行证、境外护照等。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i/>
          <w:iCs/>
        </w:rPr>
        <w:t>注意事项：</w:t>
      </w:r>
      <w:r>
        <w:rPr>
          <w:rFonts w:hint="eastAsia" w:ascii="微软雅黑" w:hAnsi="微软雅黑" w:eastAsia="微软雅黑"/>
        </w:rPr>
        <w:t>如果使用笔记本电脑，请使用电源，以防电池耗尽影响面试。</w:t>
      </w:r>
    </w:p>
    <w:p>
      <w:pPr>
        <w:keepNext/>
        <w:spacing w:before="120" w:beforeLines="50" w:after="0" w:line="360" w:lineRule="auto"/>
        <w:outlineLvl w:val="1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2.2</w:t>
      </w:r>
      <w:r>
        <w:rPr>
          <w:rFonts w:ascii="微软雅黑" w:hAnsi="微软雅黑" w:eastAsia="微软雅黑"/>
          <w:b/>
          <w:bCs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面试流程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5772150" cy="698500"/>
            <wp:effectExtent l="6350" t="0" r="15875" b="0"/>
            <wp:docPr id="12" name="图示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登录系统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候选人需要使用谷歌浏览器登录，面试地址在面试前告知。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886325" cy="2576195"/>
            <wp:effectExtent l="0" t="0" r="3175" b="11430"/>
            <wp:docPr id="13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请根据报名时的证件号码，选择证件类型，输入证件号码，完成输入后点击“登录”按钮。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2.2.2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确认信息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候选人核对信息无误后点击“正确”按钮，如果信息有错误，需要点击“错误”按钮，并尽快联系主办方。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591050" cy="2119630"/>
            <wp:effectExtent l="9525" t="9525" r="19050" b="13970"/>
            <wp:docPr id="14" name="图片 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11963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3 </w:t>
      </w:r>
      <w:r>
        <w:rPr>
          <w:rFonts w:hint="eastAsia" w:ascii="微软雅黑" w:hAnsi="微软雅黑" w:eastAsia="微软雅黑"/>
          <w:b/>
          <w:bCs/>
        </w:rPr>
        <w:t>实人认证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考生首次进入面试系统，需要进行实人认证。实人认证流程如下图所示。</w:t>
      </w:r>
    </w:p>
    <w:p>
      <w:pPr>
        <w:pStyle w:val="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使用“居民身份证”或“港澳台居住证”的考生可以使用电脑或手机完成实人认证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sz w:val="16"/>
          <w:szCs w:val="0"/>
          <w:shd w:val="clear" w:color="000000" w:fill="000000"/>
          <w:lang w:val="zh-CN" w:eastAsia="zh-CN" w:bidi="zh-CN"/>
        </w:rPr>
        <w:t xml:space="preserve"> </w:t>
      </w:r>
      <w:r>
        <w:rPr>
          <w:rFonts w:ascii="微软雅黑" w:hAnsi="微软雅黑" w:eastAsia="微软雅黑"/>
        </w:rPr>
        <w:drawing>
          <wp:inline distT="0" distB="0" distL="114300" distR="114300">
            <wp:extent cx="3330575" cy="2436495"/>
            <wp:effectExtent l="0" t="0" r="3175" b="8255"/>
            <wp:docPr id="15" name="图片 1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30575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</w:p>
    <w:p>
      <w:pPr>
        <w:spacing w:after="0" w:line="360" w:lineRule="auto"/>
        <w:jc w:val="center"/>
        <w:rPr>
          <w:rFonts w:ascii="微软雅黑" w:hAnsi="微软雅黑" w:eastAsia="微软雅黑"/>
        </w:rPr>
      </w:pPr>
    </w:p>
    <w:p>
      <w:pPr>
        <w:spacing w:after="0" w:line="360" w:lineRule="auto"/>
        <w:jc w:val="center"/>
        <w:rPr>
          <w:rFonts w:ascii="微软雅黑" w:hAnsi="微软雅黑" w:eastAsia="微软雅黑"/>
        </w:rPr>
      </w:pPr>
    </w:p>
    <w:p>
      <w:pPr>
        <w:pStyle w:val="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选择方式一（使用电脑完成认证），请根据系统提示操作实人认证</w:t>
      </w:r>
    </w:p>
    <w:p>
      <w:pPr>
        <w:pStyle w:val="9"/>
        <w:spacing w:after="0" w:line="360" w:lineRule="auto"/>
        <w:ind w:left="360" w:firstLine="0" w:firstLineChars="0"/>
        <w:contextualSpacing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110865" cy="1835150"/>
            <wp:effectExtent l="0" t="0" r="635" b="6350"/>
            <wp:docPr id="16" name="图片 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10865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after="0" w:line="360" w:lineRule="auto"/>
        <w:ind w:left="360" w:firstLine="0"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选择方式二（使用手机完成认证），请使用本人手机打开微信 7.0（及以上），通过“扫一扫”功能扫描页面中显示的二维码，并按手机提示进行认证操作。</w:t>
      </w:r>
    </w:p>
    <w:p>
      <w:pPr>
        <w:pStyle w:val="9"/>
        <w:spacing w:after="0" w:line="360" w:lineRule="auto"/>
        <w:ind w:left="360" w:firstLine="0" w:firstLineChars="0"/>
        <w:contextualSpacing/>
        <w:jc w:val="center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drawing>
          <wp:inline distT="0" distB="0" distL="114300" distR="114300">
            <wp:extent cx="1494155" cy="2315210"/>
            <wp:effectExtent l="0" t="0" r="13970" b="2540"/>
            <wp:docPr id="17" name="图片 1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true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94155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1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使用“港澳居民来往内地通行证”、“台湾居民来往大陆通行证”、“境外护照”的考生，请准备相关证件原件，使用本人手机打开微信 7.0（及以上），通过“扫一扫”功能扫描页面中显示的二维码，并按手机提示上传证件进行认证操作。</w:t>
      </w:r>
    </w:p>
    <w:p>
      <w:pPr>
        <w:pStyle w:val="9"/>
        <w:spacing w:after="0" w:line="360" w:lineRule="auto"/>
        <w:ind w:left="360" w:firstLine="0" w:firstLineChars="0"/>
        <w:contextualSpacing/>
        <w:jc w:val="center"/>
        <w:rPr>
          <w:rFonts w:ascii="宋体" w:hAnsi="宋体"/>
        </w:rPr>
      </w:pPr>
      <w:r>
        <w:rPr>
          <w:rFonts w:hint="eastAsia" w:ascii="微软雅黑" w:hAnsi="微软雅黑" w:eastAsia="微软雅黑"/>
        </w:rPr>
        <w:drawing>
          <wp:inline distT="0" distB="0" distL="114300" distR="114300">
            <wp:extent cx="3643630" cy="1911985"/>
            <wp:effectExtent l="0" t="0" r="7620" b="8890"/>
            <wp:docPr id="18" name="图片 1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true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4363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after="0" w:line="360" w:lineRule="auto"/>
        <w:ind w:left="360" w:firstLine="0" w:firstLineChars="0"/>
        <w:contextualSpacing/>
        <w:jc w:val="center"/>
        <w:rPr>
          <w:rFonts w:ascii="微软雅黑" w:hAnsi="微软雅黑" w:eastAsia="微软雅黑"/>
        </w:rPr>
      </w:pPr>
    </w:p>
    <w:p>
      <w:pPr>
        <w:spacing w:line="276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请考生务必在面试前完成实人认证，未完成实人认证或者实人认证失败的考生将无法进入面试。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4 </w:t>
      </w:r>
      <w:r>
        <w:rPr>
          <w:rFonts w:hint="eastAsia" w:ascii="微软雅黑" w:hAnsi="微软雅黑" w:eastAsia="微软雅黑"/>
          <w:b/>
          <w:bCs/>
        </w:rPr>
        <w:t>进入面试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候选人在实人认证后，将看到“我的面试”列表。在此列表中将显示所有我最近 15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天内所有的面试。通常情况下，候选人只会看到一场面试，若有面试模拟测试场次请注意区分。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5760720" cy="3174365"/>
            <wp:effectExtent l="0" t="0" r="1905" b="635"/>
            <wp:docPr id="19" name="图片 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true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找到对应的面试，然后点击该面试右侧的“进入面试”按钮。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5 </w:t>
      </w:r>
      <w:r>
        <w:rPr>
          <w:rFonts w:hint="eastAsia" w:ascii="微软雅黑" w:hAnsi="微软雅黑" w:eastAsia="微软雅黑"/>
          <w:b/>
          <w:bCs/>
        </w:rPr>
        <w:t>确认事项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进入面试，在面试步骤页面上可以看到“确认事项”，点击“确认事项”可以查看到副视角对手机设备的要求。</w:t>
      </w:r>
    </w:p>
    <w:p>
      <w:pPr>
        <w:spacing w:after="0" w:line="360" w:lineRule="auto"/>
        <w:ind w:firstLine="1050" w:firstLineChars="50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187190" cy="2941320"/>
            <wp:effectExtent l="0" t="0" r="3810" b="11430"/>
            <wp:docPr id="20" name="图片 2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true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8719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</w:t>
      </w:r>
      <w:r>
        <w:rPr>
          <w:rFonts w:ascii="微软雅黑" w:hAnsi="微软雅黑" w:eastAsia="微软雅黑"/>
          <w:b/>
          <w:bCs/>
        </w:rPr>
        <w:t xml:space="preserve">.6 </w:t>
      </w:r>
      <w:r>
        <w:rPr>
          <w:rFonts w:hint="eastAsia" w:ascii="微软雅黑" w:hAnsi="微软雅黑" w:eastAsia="微软雅黑"/>
          <w:b/>
          <w:bCs/>
        </w:rPr>
        <w:t>查看须知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完成确认事项后，须查看面试须知，点击“阅读须知”按钮将显示面试须知内容。请认真阅读面试须知，完成后点击“我已认真阅读”按钮。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056380" cy="2879725"/>
            <wp:effectExtent l="9525" t="9525" r="13970" b="15875"/>
            <wp:docPr id="21" name="图片 2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true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56380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7 </w:t>
      </w:r>
      <w:r>
        <w:rPr>
          <w:rFonts w:hint="eastAsia" w:ascii="微软雅黑" w:hAnsi="微软雅黑" w:eastAsia="微软雅黑"/>
          <w:b/>
          <w:bCs/>
        </w:rPr>
        <w:t>签署承诺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须知查看并确认后，须签署承诺书，点击“阅读承诺”按钮将显示承诺书，请认真阅读承诺书内容，勾选我已认真阅读并点击“我承诺遵守上述相关规定”按钮。</w:t>
      </w:r>
    </w:p>
    <w:p>
      <w:pPr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044315" cy="2879725"/>
            <wp:effectExtent l="9525" t="9525" r="10160" b="15875"/>
            <wp:docPr id="22" name="图片 2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true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44315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8 </w:t>
      </w:r>
      <w:r>
        <w:rPr>
          <w:rFonts w:hint="eastAsia" w:ascii="微软雅黑" w:hAnsi="微软雅黑" w:eastAsia="微软雅黑"/>
          <w:b/>
          <w:bCs/>
        </w:rPr>
        <w:t>人脸核验</w:t>
      </w:r>
    </w:p>
    <w:p>
      <w:r>
        <w:rPr>
          <w:rFonts w:hint="eastAsia" w:ascii="微软雅黑" w:hAnsi="微软雅黑" w:eastAsia="微软雅黑"/>
        </w:rPr>
        <w:t>接下来，考生需要完成人脸核验，点击“立即核验”按钮。</w:t>
      </w:r>
    </w:p>
    <w:p>
      <w:pPr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3989070" cy="2879725"/>
            <wp:effectExtent l="9525" t="9525" r="17780" b="15875"/>
            <wp:docPr id="23" name="图片 2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true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89070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9 </w:t>
      </w:r>
      <w:r>
        <w:rPr>
          <w:rFonts w:hint="eastAsia" w:ascii="微软雅黑" w:hAnsi="微软雅黑" w:eastAsia="微软雅黑"/>
          <w:b/>
          <w:bCs/>
        </w:rPr>
        <w:t>设备调试</w:t>
      </w:r>
    </w:p>
    <w:p>
      <w:pPr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完成人脸核验后</w:t>
      </w:r>
      <w:r>
        <w:rPr>
          <w:rFonts w:hint="eastAsia" w:ascii="微软雅黑" w:hAnsi="微软雅黑" w:eastAsia="微软雅黑"/>
        </w:rPr>
        <w:t>需要进行设备调试，点击“设备调试”按钮，根据要求完成设备调试。</w:t>
      </w:r>
    </w:p>
    <w:p>
      <w:pPr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023360" cy="2879725"/>
            <wp:effectExtent l="9525" t="9525" r="15240" b="15875"/>
            <wp:docPr id="24" name="图片 2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true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</w:t>
      </w:r>
      <w:r>
        <w:rPr>
          <w:rFonts w:ascii="微软雅黑" w:hAnsi="微软雅黑" w:eastAsia="微软雅黑"/>
          <w:b/>
          <w:bCs/>
        </w:rPr>
        <w:t>.10 等待面试</w:t>
      </w:r>
      <w:r>
        <w:rPr>
          <w:rFonts w:hint="eastAsia" w:ascii="微软雅黑" w:hAnsi="微软雅黑" w:eastAsia="微软雅黑"/>
          <w:b/>
          <w:bCs/>
        </w:rPr>
        <w:t>/开启副视角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在等待面试开始前，考生需要开启副视角。请按规定的时间提前开启副视角。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首先，考生点击“开启副视角”按钮，点击后显示如下图所示界面。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000500" cy="2604135"/>
            <wp:effectExtent l="9525" t="9525" r="22225" b="21590"/>
            <wp:docPr id="25" name="图片 2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true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60413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然后，如果考生使用苹果手机，需要使用系统中自带的“相机”应用扫描界面中显示的二维码。如果考生使用安卓手机，需要使用手机打开微信 </w:t>
      </w:r>
      <w:r>
        <w:rPr>
          <w:rFonts w:ascii="微软雅黑" w:hAnsi="微软雅黑" w:eastAsia="微软雅黑"/>
        </w:rPr>
        <w:t>7.0</w:t>
      </w:r>
      <w:r>
        <w:rPr>
          <w:rFonts w:hint="eastAsia" w:ascii="微软雅黑" w:hAnsi="微软雅黑" w:eastAsia="微软雅黑"/>
        </w:rPr>
        <w:t>（及以上），通过“扫一扫”功能扫描界面中显示的二维码。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扫码成功后，手机上会显示如下图所示页面，考生需要按照页面上的说明设置。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2098040" cy="2762250"/>
            <wp:effectExtent l="9525" t="9525" r="19685" b="22225"/>
            <wp:docPr id="26" name="图片 2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true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98040" cy="276225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考生开启副视角后，需要按照页面上的说明进一步进行设置。</w:t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首先需要点击“开启摄像头和麦克风”按钮，点击按钮会可能会询问是否允许使用摄像头和/或麦克风，请务必选择允许使用。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2089150" cy="3124200"/>
            <wp:effectExtent l="9525" t="9525" r="12700" b="9525"/>
            <wp:docPr id="27" name="图片 2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true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089150" cy="312420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接下来考生需要确认如上图所示的四个注意事项，并逐个点击确认，确认后每条事项后面的方框会被打上勾。如果需要帮助，可以点击每条事项中的问号图标，点击后将会显示具体说明和操作步骤。</w:t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需要特别注意是，通常情况下，在面试过程中考生不应当使用该手机。同时，手机应当按如下图所示进行摆放。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3206750</wp:posOffset>
            </wp:positionH>
            <wp:positionV relativeFrom="paragraph">
              <wp:posOffset>347980</wp:posOffset>
            </wp:positionV>
            <wp:extent cx="3065780" cy="2265045"/>
            <wp:effectExtent l="0" t="0" r="13970" b="5080"/>
            <wp:wrapSquare wrapText="bothSides"/>
            <wp:docPr id="28" name="图片 16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66"/>
                    <pic:cNvPicPr>
                      <a:picLocks noChangeAspect="true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6578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</w:t>
      </w:r>
      <w:r>
        <w:drawing>
          <wp:inline distT="0" distB="0" distL="114300" distR="114300">
            <wp:extent cx="3088005" cy="2472055"/>
            <wp:effectExtent l="0" t="0" r="7620" b="4445"/>
            <wp:docPr id="29" name="图片 2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true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88005" cy="247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完成以上事项确认和设置后，点击“我已完成以上系统设置”按钮。点击按钮会可能会询问是否允许使用摄像头和/或麦克风，请务必选择允许使用。</w:t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在新打开的页面中，考生可以点击“开启”按钮右侧的相机图标来切换手机的前置或后置摄像头，调整好摄像头并摆放好手机后，点击“开启”按钮。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2105025</wp:posOffset>
                </wp:positionH>
                <wp:positionV relativeFrom="paragraph">
                  <wp:posOffset>2133600</wp:posOffset>
                </wp:positionV>
                <wp:extent cx="257175" cy="390525"/>
                <wp:effectExtent l="12700" t="12700" r="15875" b="2540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39052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5400" cap="flat" cmpd="sng" algn="ctr">
                          <a:solidFill>
                            <a:srgbClr val="000000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false" anchor="ctr" anchorCtr="false" forceAA="false" compatLnSpc="tru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75pt;margin-top:168pt;height:30.75pt;width:20.25pt;z-index:251659264;v-text-anchor:middle;mso-width-relative:page;mso-height-relative:page;" fillcolor="#000000" filled="t" stroked="t" coordsize="21600,21600" o:gfxdata="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BYA&#10;AABkcnMvUEsBAhQAFAAAAAgAh07iQKmswaPYAAAACwEAAA8AAAAAAAAAAQAgAAAAOAAAAGRycy9k&#10;b3ducmV2LnhtbFBLAQIUABQAAAAIAIdO4kD1pYB9XgIAAM4EAAAOAAAAAAAAAAEAIAAAAD0BAABk&#10;cnMvZTJvRG9jLnhtbFBLBQYAAAAABgAGAFkBAAANBgAAAAA=&#10;">
                <v:fill on="t" focussize="0,0"/>
                <v:stroke weight="2pt" color="#000000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ascii="微软雅黑" w:hAnsi="微软雅黑" w:eastAsia="微软雅黑"/>
        </w:rPr>
        <w:drawing>
          <wp:inline distT="0" distB="0" distL="114300" distR="114300">
            <wp:extent cx="1732280" cy="2895600"/>
            <wp:effectExtent l="0" t="0" r="13970" b="9525"/>
            <wp:docPr id="30" name="图片 29" descr="Graphical user interface, text, application&#10;&#10;Description automatically generated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Graphical user interface, text, application&#10;&#10;Description automatically generated"/>
                    <pic:cNvPicPr>
                      <a:picLocks noChangeAspect="true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3228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开启后，页面底部的蓝色开启按钮会变成红色的“关闭”按钮，同时页面右上角会显示“监控开启中”。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1844040" cy="3029585"/>
            <wp:effectExtent l="0" t="0" r="13335" b="2540"/>
            <wp:docPr id="33" name="图片 30" descr="C:\Users\ATA\Desktop\88d9bb042be0cdd4186d8cf4f2da6ed.png88d9bb042be0cdd4186d8cf4f2da6ed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0" descr="C:\Users\ATA\Desktop\88d9bb042be0cdd4186d8cf4f2da6ed.png88d9bb042be0cdd4186d8cf4f2da6ed"/>
                    <pic:cNvPicPr>
                      <a:picLocks noChangeAspect="true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4404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2"/>
        </w:numPr>
        <w:spacing w:after="0" w:line="360" w:lineRule="auto"/>
        <w:ind w:firstLineChars="0"/>
        <w:contextualSpacing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此时，可以返回电脑端查看效果，如果不符合要求需要重新调整，直到符合摆放要求。完成后在电脑端点击“我已开启”按钮，至此，副视角已完成所有设置并开启。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3876675" cy="2489835"/>
            <wp:effectExtent l="9525" t="9525" r="19050" b="24765"/>
            <wp:docPr id="31" name="图片 3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true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48983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8）</w:t>
      </w:r>
      <w:r>
        <w:rPr>
          <w:rFonts w:hint="eastAsia" w:ascii="微软雅黑" w:hAnsi="微软雅黑" w:eastAsia="微软雅黑"/>
        </w:rPr>
        <w:t>面试结束后，考生可以点击“关闭”按钮结束。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9）在面试过程中，如果提示“副视角未开启，请开启副视角”请点击“未开启”或“开启副视角”，点击后会显示副视角的相关信息，根据页面提示即可完成副视角开启和设置。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</w:t>
      </w:r>
      <w:r>
        <w:rPr>
          <w:rFonts w:ascii="微软雅黑" w:hAnsi="微软雅黑" w:eastAsia="微软雅黑"/>
          <w:b/>
          <w:bCs/>
        </w:rPr>
        <w:t xml:space="preserve">.2.11 </w:t>
      </w:r>
      <w:r>
        <w:rPr>
          <w:rFonts w:hint="eastAsia" w:ascii="微软雅黑" w:hAnsi="微软雅黑" w:eastAsia="微软雅黑"/>
          <w:b/>
          <w:bCs/>
        </w:rPr>
        <w:t>进入面试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根据页面上显示面试时间（如下图所示），请候选人提前进入面试间等待。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4020185" cy="2879725"/>
            <wp:effectExtent l="9525" t="9525" r="18415" b="15875"/>
            <wp:docPr id="32" name="图片 3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true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020185" cy="287972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>2</w:t>
      </w:r>
      <w:r>
        <w:rPr>
          <w:rFonts w:hint="eastAsia" w:ascii="微软雅黑" w:hAnsi="微软雅黑" w:eastAsia="微软雅黑"/>
          <w:b/>
          <w:bCs/>
        </w:rPr>
        <w:t xml:space="preserve"> 等待面试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5478780" cy="3390900"/>
            <wp:effectExtent l="0" t="0" r="13970" b="6350"/>
            <wp:docPr id="34" name="图片 3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/>
                    <pic:cNvPicPr>
                      <a:picLocks noChangeAspect="true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候选人须认真阅读候界面的注意事项，待倒计时结束，候选人点击蓝色</w:t>
      </w:r>
      <w:r>
        <w:rPr>
          <w:rFonts w:ascii="微软雅黑" w:hAnsi="微软雅黑" w:eastAsia="微软雅黑"/>
        </w:rPr>
        <w:t>“</w:t>
      </w:r>
      <w:r>
        <w:rPr>
          <w:rFonts w:hint="eastAsia" w:ascii="微软雅黑" w:hAnsi="微软雅黑" w:eastAsia="微软雅黑"/>
        </w:rPr>
        <w:t>开始面试</w:t>
      </w:r>
      <w:r>
        <w:rPr>
          <w:rFonts w:ascii="微软雅黑" w:hAnsi="微软雅黑" w:eastAsia="微软雅黑"/>
        </w:rPr>
        <w:t>”</w:t>
      </w:r>
      <w:r>
        <w:rPr>
          <w:rFonts w:hint="eastAsia" w:ascii="微软雅黑" w:hAnsi="微软雅黑" w:eastAsia="微软雅黑"/>
        </w:rPr>
        <w:t>按钮进入作答页。</w:t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候选人进入等待页面后，请自行对着主视角摄像头展示空白草稿纸正反面，展示后候选人须认真阅读等待面试界面的注意事项，待倒计时结束，倒计时00：00（北京时间：9：30）时，请点击“开始面试”按钮，否则无法开始面试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2.2.1</w:t>
      </w:r>
      <w:r>
        <w:rPr>
          <w:rFonts w:ascii="微软雅黑" w:hAnsi="微软雅黑" w:eastAsia="微软雅黑"/>
          <w:b/>
          <w:bCs/>
        </w:rPr>
        <w:t>3</w:t>
      </w:r>
      <w:r>
        <w:rPr>
          <w:rFonts w:hint="eastAsia" w:ascii="微软雅黑" w:hAnsi="微软雅黑" w:eastAsia="微软雅黑"/>
          <w:b/>
          <w:bCs/>
        </w:rPr>
        <w:t xml:space="preserve"> 进行面试</w:t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开始面试后，根据面试试题要求，回答面试试题。</w:t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点击“开始答题”，根据题目要求回答问题（答题前有3秒钟倒计时），看题、思考后，可以开始答题。</w:t>
      </w:r>
    </w:p>
    <w:p>
      <w:pPr>
        <w:spacing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5463540" cy="3901440"/>
            <wp:effectExtent l="0" t="0" r="13335" b="3810"/>
            <wp:docPr id="35" name="图片 3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>
                      <a:picLocks noChangeAspect="true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63540" cy="39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每道试题回答完毕，点击“本题作答完毕”按钮，进入下一道试题页面继续作答。所有试题回答完毕，等待录制的答题结果回收（答题时间以右上角倒计时为准，如答题时间结束，自动结束答题）。</w:t>
      </w:r>
    </w:p>
    <w:p>
      <w:pPr>
        <w:spacing w:line="360" w:lineRule="auto"/>
        <w:rPr>
          <w:rFonts w:ascii="微软雅黑" w:hAnsi="微软雅黑" w:eastAsia="微软雅黑"/>
        </w:rPr>
      </w:pPr>
      <w:r>
        <w:drawing>
          <wp:inline distT="0" distB="0" distL="114300" distR="114300">
            <wp:extent cx="5539740" cy="3573780"/>
            <wp:effectExtent l="0" t="0" r="635" b="13970"/>
            <wp:docPr id="36" name="图片 3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5"/>
                    <pic:cNvPicPr>
                      <a:picLocks noChangeAspect="true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所有试题作答视频处理完成后，出现“您已完成本题”，点击“交卷”按钮，等待所有作答结果上传成功。</w:t>
      </w:r>
    </w:p>
    <w:p>
      <w:pPr>
        <w:spacing w:line="360" w:lineRule="auto"/>
        <w:jc w:val="center"/>
        <w:rPr>
          <w:rFonts w:ascii="微软雅黑" w:hAnsi="微软雅黑" w:eastAsia="微软雅黑"/>
        </w:rPr>
      </w:pPr>
      <w:r>
        <w:drawing>
          <wp:inline distT="0" distB="0" distL="114300" distR="114300">
            <wp:extent cx="5509260" cy="3451860"/>
            <wp:effectExtent l="0" t="0" r="15240" b="8890"/>
            <wp:docPr id="37" name="图片 3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6"/>
                    <pic:cNvPicPr>
                      <a:picLocks noChangeAspect="true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面试过程中，如果</w:t>
      </w:r>
      <w:r>
        <w:rPr>
          <w:rFonts w:hint="eastAsia" w:ascii="微软雅黑" w:hAnsi="微软雅黑" w:eastAsia="微软雅黑"/>
          <w:lang w:eastAsia="zh-Hans"/>
        </w:rPr>
        <w:t>因特殊</w:t>
      </w:r>
      <w:r>
        <w:rPr>
          <w:rFonts w:hint="eastAsia" w:ascii="微软雅黑" w:hAnsi="微软雅黑" w:eastAsia="微软雅黑"/>
        </w:rPr>
        <w:t>情况</w:t>
      </w:r>
      <w:r>
        <w:rPr>
          <w:rFonts w:hint="eastAsia" w:ascii="微软雅黑" w:hAnsi="微软雅黑" w:eastAsia="微软雅黑"/>
          <w:lang w:eastAsia="zh-Hans"/>
        </w:rPr>
        <w:t>导致</w:t>
      </w:r>
      <w:r>
        <w:rPr>
          <w:rFonts w:hint="eastAsia" w:ascii="微软雅黑" w:hAnsi="微软雅黑" w:eastAsia="微软雅黑"/>
        </w:rPr>
        <w:t>退出，可以重新登录并返回面试间（重新登录须做人脸核验）。</w:t>
      </w:r>
    </w:p>
    <w:p>
      <w:pPr>
        <w:keepNext/>
        <w:spacing w:after="0" w:line="360" w:lineRule="auto"/>
        <w:outlineLvl w:val="2"/>
        <w:rPr>
          <w:rFonts w:ascii="微软雅黑" w:hAnsi="微软雅黑" w:eastAsia="微软雅黑"/>
          <w:b/>
          <w:bCs/>
        </w:rPr>
      </w:pPr>
      <w:r>
        <w:drawing>
          <wp:inline distT="0" distB="0" distL="114300" distR="114300">
            <wp:extent cx="5486400" cy="559435"/>
            <wp:effectExtent l="0" t="0" r="6350" b="12065"/>
            <wp:docPr id="38" name="图片 3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7"/>
                    <pic:cNvPicPr>
                      <a:picLocks noChangeAspect="true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b/>
          <w:bCs/>
        </w:rPr>
        <w:t>2.2.</w:t>
      </w:r>
      <w:r>
        <w:rPr>
          <w:rFonts w:ascii="微软雅黑" w:hAnsi="微软雅黑" w:eastAsia="微软雅黑"/>
          <w:b/>
          <w:bCs/>
        </w:rPr>
        <w:t xml:space="preserve">14 </w:t>
      </w:r>
      <w:r>
        <w:rPr>
          <w:rFonts w:hint="eastAsia" w:ascii="微软雅黑" w:hAnsi="微软雅黑" w:eastAsia="微软雅黑"/>
          <w:b/>
          <w:bCs/>
        </w:rPr>
        <w:t>面试结束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面试结束，候选人作答结束交卷或作答时间结束将自动退出面试。此时，返回“我的面试”列表将看到刚才参加的面试状态已变更为“面试结束”，本次面试全部结束。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923155" cy="792480"/>
            <wp:effectExtent l="0" t="0" r="13970" b="1270"/>
            <wp:docPr id="39" name="图片 3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8"/>
                    <pic:cNvPicPr>
                      <a:picLocks noChangeAspect="true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923155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rPr>
          <w:rFonts w:ascii="微软雅黑" w:hAnsi="微软雅黑" w:eastAsia="微软雅黑"/>
        </w:rPr>
      </w:pPr>
    </w:p>
    <w:p>
      <w:pPr>
        <w:keepNext/>
        <w:pageBreakBefore/>
        <w:spacing w:before="240" w:beforeLines="100" w:after="120" w:afterLines="50" w:line="360" w:lineRule="auto"/>
        <w:outlineLvl w:val="0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三、常见问题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1、面试前，我需要准备什么？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答：面试前，需要准备好面试当天的设备，包括一台台式机 或 笔记本电脑，安装好最新版本的谷歌浏览器，电脑需要配有可以正常使用的扬声器、麦克风和摄像头。详细要求参见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节。同时，还需要做好设备调试工作，调试步骤具体参见 1.2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节。如果面试时需要实人认证，那还需要准备好相应的证件（仅针对港澳台通行证、境外护照等）。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2、能使用平板电脑或手机参加面试吗？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答：不能，本次面试只能使用台式机 或 笔记本电脑，并需要安装最新版谷歌浏览器。谷歌浏览器下载地址：h</w:t>
      </w:r>
      <w:r>
        <w:rPr>
          <w:rFonts w:ascii="微软雅黑" w:hAnsi="微软雅黑" w:eastAsia="微软雅黑"/>
        </w:rPr>
        <w:t>ttps://www.google.cn/chrome</w:t>
      </w:r>
      <w:r>
        <w:rPr>
          <w:rFonts w:hint="eastAsia" w:ascii="微软雅黑" w:hAnsi="微软雅黑" w:eastAsia="微软雅黑"/>
        </w:rPr>
        <w:t>，具体要求参见 1.1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3、</w:t>
      </w:r>
      <w:r>
        <w:rPr>
          <w:rFonts w:hint="eastAsia" w:ascii="微软雅黑" w:hAnsi="微软雅黑" w:eastAsia="微软雅黑"/>
          <w:b/>
          <w:bCs/>
        </w:rPr>
        <w:t>我能不能在面试前进行设备调试？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答：可以，可以使用谷歌浏览器打开面试系统，在登录页面上点击“调试设备”按钮进入设备调试界面，调试步骤具体参见 1.2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4</w:t>
      </w:r>
      <w:r>
        <w:rPr>
          <w:rFonts w:hint="eastAsia" w:ascii="微软雅黑" w:hAnsi="微软雅黑" w:eastAsia="微软雅黑"/>
          <w:b/>
          <w:bCs/>
        </w:rPr>
        <w:t>、调试环境与面试当天环境不一致可以吗？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答：不可以，必须确保调试环境与正式面试时的环境一致。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5</w:t>
      </w:r>
      <w:r>
        <w:rPr>
          <w:rFonts w:hint="eastAsia" w:ascii="微软雅黑" w:hAnsi="微软雅黑" w:eastAsia="微软雅黑"/>
          <w:b/>
          <w:bCs/>
        </w:rPr>
        <w:t>、如何对摄像头进行调试？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答：具体调试步骤参见 1.2.1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6</w:t>
      </w:r>
      <w:r>
        <w:rPr>
          <w:rFonts w:hint="eastAsia" w:ascii="微软雅黑" w:hAnsi="微软雅黑" w:eastAsia="微软雅黑"/>
          <w:b/>
          <w:bCs/>
        </w:rPr>
        <w:t>、打开了摄像头，但一直无法看到画面，如何解决？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答：首先，请确保摄像头已连接，不建议使用外接的 USB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摄像头。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在确保摄像头已连接后，若依然无法显示画面，可以使用 QQ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或视频会议软件中的视频功能进行测试，如果同样无法显示画面，则可能是摄像头坏了，或者摄像头未能正常安装，建议更换摄像头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或者 重新安装摄像头。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7</w:t>
      </w:r>
      <w:r>
        <w:rPr>
          <w:rFonts w:hint="eastAsia" w:ascii="微软雅黑" w:hAnsi="微软雅黑" w:eastAsia="微软雅黑"/>
          <w:b/>
          <w:bCs/>
        </w:rPr>
        <w:t>、打开网站时，拒绝使用摄像头和麦克风了，如何重新打开？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答：具体步骤参见 1.2.2.1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8</w:t>
      </w:r>
      <w:r>
        <w:rPr>
          <w:rFonts w:hint="eastAsia" w:ascii="微软雅黑" w:hAnsi="微软雅黑" w:eastAsia="微软雅黑"/>
          <w:b/>
          <w:bCs/>
        </w:rPr>
        <w:t>、允许使用摄像头和麦克风了，在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10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或 Windows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8/8.1</w:t>
      </w:r>
      <w:r>
        <w:rPr>
          <w:rFonts w:ascii="微软雅黑" w:hAnsi="微软雅黑" w:eastAsia="微软雅黑"/>
          <w:b/>
          <w:bCs/>
        </w:rPr>
        <w:t xml:space="preserve"> </w:t>
      </w:r>
      <w:r>
        <w:rPr>
          <w:rFonts w:hint="eastAsia" w:ascii="微软雅黑" w:hAnsi="微软雅黑" w:eastAsia="微软雅黑"/>
          <w:b/>
          <w:bCs/>
        </w:rPr>
        <w:t>中依然显示被屏蔽，如何解决？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答：具体步骤参见 1.2.2.2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9</w:t>
      </w:r>
      <w:r>
        <w:rPr>
          <w:rFonts w:hint="eastAsia" w:ascii="微软雅黑" w:hAnsi="微软雅黑" w:eastAsia="微软雅黑"/>
          <w:b/>
          <w:bCs/>
        </w:rPr>
        <w:t>、无法听到声音，如何解决？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答：首先需要确定已正确安装扬声器，如果未安装扬声器或声卡，请先安装或更换设备。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其次需要确定没有静音或者音量已开到最大，如果静音或音量较小，请解除静音或调节音量到最大。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如果依然无法听到声音，可以使用浏览器打开视频网站（如优酷、腾讯视频、爱奇艺等）观看视频，如果同样无法听到声音，则可能是扬声器坏了，建议更换扬声器。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10</w:t>
      </w:r>
      <w:r>
        <w:rPr>
          <w:rFonts w:hint="eastAsia" w:ascii="微软雅黑" w:hAnsi="微软雅黑" w:eastAsia="微软雅黑"/>
          <w:b/>
          <w:bCs/>
        </w:rPr>
        <w:t>、如何对麦克风和扬声器进行调试？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答：具体调试步骤参见 1.2.2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11、我的网络正常，能够打开网页，但网络检测结果是异常该如何解决？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答：能够使用浏览器打开网页，只能证明当前网络环境没有限制打开网页（80/443 端口），但视频面试时需要使用其它端口。具体解决步骤参见 1.2.3.2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12、视频面试对于网络有什么要求吗？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答：具体要求参见 1.2.3.1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节。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13、我的网络带宽不满足，能参加面试吗？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答：如果网络带宽无法满足，可能会影响面试，需要更换网络环境或使用 4G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热点来解决。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14、我的电脑屏幕分辨率已达到要求，但依然无法正常显示网站内容，怎么办？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答：面试系统要求屏幕分辨率达到 1200×600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象素及其以上。如果已达到要求，还无法正常显示时，请检查显示区的缩放是否设置超过 100%。如果屏幕为 2K</w:t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屏时，缩放不要超过 125%。设置缩放的步骤如下。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7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操作系统</w:t>
      </w:r>
    </w:p>
    <w:p>
      <w:pPr>
        <w:pStyle w:val="7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打开“控制面板”。</w:t>
      </w:r>
    </w:p>
    <w:p>
      <w:pPr>
        <w:pStyle w:val="7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点击“显示” 或者 点击“外观和个性化”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“</w:t>
      </w:r>
      <w:r>
        <w:rPr>
          <w:rFonts w:hint="eastAsia" w:ascii="微软雅黑" w:hAnsi="微软雅黑" w:eastAsia="微软雅黑"/>
        </w:rPr>
        <w:t>显示</w:t>
      </w:r>
      <w:r>
        <w:rPr>
          <w:rFonts w:ascii="微软雅黑" w:hAnsi="微软雅黑" w:eastAsia="微软雅黑"/>
        </w:rPr>
        <w:t>”</w:t>
      </w:r>
      <w:r>
        <w:rPr>
          <w:rFonts w:hint="eastAsia" w:ascii="微软雅黑" w:hAnsi="微软雅黑" w:eastAsia="微软雅黑"/>
        </w:rPr>
        <w:t>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3857625" cy="2531745"/>
            <wp:effectExtent l="9525" t="9525" r="22225" b="14605"/>
            <wp:docPr id="40" name="图片 3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9"/>
                    <pic:cNvPicPr>
                      <a:picLocks noChangeAspect="true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253174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13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将“放大或缩小文本和其他项目”-“使阅读屏幕上的内容更容易”设置为 较小-100%（默认）。</w:t>
      </w:r>
    </w:p>
    <w:p>
      <w:pPr>
        <w:spacing w:after="0" w:line="360" w:lineRule="auto"/>
        <w:rPr>
          <w:rFonts w:ascii="微软雅黑" w:hAnsi="微软雅黑" w:eastAsia="微软雅黑"/>
          <w:i/>
          <w:iCs/>
        </w:rPr>
      </w:pPr>
      <w:r>
        <w:rPr>
          <w:rFonts w:hint="eastAsia" w:ascii="微软雅黑" w:hAnsi="微软雅黑" w:eastAsia="微软雅黑"/>
          <w:i/>
          <w:iCs/>
        </w:rPr>
        <w:t>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10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或 Windows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8/8.1</w:t>
      </w:r>
      <w:r>
        <w:rPr>
          <w:rFonts w:ascii="微软雅黑" w:hAnsi="微软雅黑" w:eastAsia="微软雅黑"/>
          <w:i/>
          <w:iCs/>
        </w:rPr>
        <w:t xml:space="preserve"> </w:t>
      </w:r>
      <w:r>
        <w:rPr>
          <w:rFonts w:hint="eastAsia" w:ascii="微软雅黑" w:hAnsi="微软雅黑" w:eastAsia="微软雅黑"/>
          <w:i/>
          <w:iCs/>
        </w:rPr>
        <w:t>操作系统</w:t>
      </w:r>
    </w:p>
    <w:p>
      <w:pPr>
        <w:pStyle w:val="7"/>
        <w:numPr>
          <w:ilvl w:val="0"/>
          <w:numId w:val="1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点击“开始”菜单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打开“设置”。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076700" cy="2430145"/>
            <wp:effectExtent l="9525" t="9525" r="9525" b="20955"/>
            <wp:docPr id="41" name="图片 4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0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243014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1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点击“系统”</w:t>
      </w:r>
      <w:r>
        <w:rPr>
          <w:rFonts w:ascii="微软雅黑" w:hAnsi="微软雅黑" w:eastAsia="微软雅黑"/>
        </w:rPr>
        <w:t xml:space="preserve"> </w:t>
      </w:r>
      <w:r>
        <w:rPr>
          <w:rFonts w:ascii="微软雅黑" w:hAnsi="微软雅黑" w:eastAsia="微软雅黑"/>
        </w:rPr>
        <w:sym w:font="Wingdings" w:char="F0E0"/>
      </w:r>
      <w:r>
        <w:rPr>
          <w:rFonts w:ascii="微软雅黑" w:hAnsi="微软雅黑" w:eastAsia="微软雅黑"/>
        </w:rPr>
        <w:t xml:space="preserve"> </w:t>
      </w:r>
      <w:r>
        <w:rPr>
          <w:rFonts w:hint="eastAsia" w:ascii="微软雅黑" w:hAnsi="微软雅黑" w:eastAsia="微软雅黑"/>
        </w:rPr>
        <w:t>点击左侧菜单“显示”。</w:t>
      </w:r>
    </w:p>
    <w:p>
      <w:pPr>
        <w:spacing w:after="0" w:line="360" w:lineRule="auto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drawing>
          <wp:inline distT="0" distB="0" distL="114300" distR="114300">
            <wp:extent cx="4371975" cy="2606040"/>
            <wp:effectExtent l="9525" t="9525" r="15875" b="19685"/>
            <wp:docPr id="42" name="图片 4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1"/>
                    <pic:cNvPicPr>
                      <a:picLocks noChangeAspect="true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60604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DD9C3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14"/>
        </w:num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将“缩放与布局”-“更改文本、应用等项目的大小”设置为 100%。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15、登录时提示“请输入您本人报名时的证件号码”，怎么办？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请根据主办方通知上的要求选择对应的证件类型。通常，中国大陆考生需要使用自己的居民身份证作为登录依据，港澳地区考生需要使用港澳居民来往内地通行证，台湾地区考生需要使用台湾居民来往大陆通行证。如果主办方要求使用手机号码或其它诸如准考证号、驾照、学生证、军官证等登录的，则需要在证件类型中选择“其他”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hint="eastAsia" w:ascii="微软雅黑" w:hAnsi="微软雅黑" w:eastAsia="微软雅黑"/>
          <w:b/>
          <w:bCs/>
        </w:rPr>
        <w:t>16、我的个人信息不正确，会影响面试吗？</w:t>
      </w:r>
      <w:r>
        <w:rPr>
          <w:rFonts w:ascii="微软雅黑" w:hAnsi="微软雅黑" w:eastAsia="微软雅黑"/>
          <w:b/>
          <w:bCs/>
        </w:rPr>
        <w:br w:type="textWrapping"/>
      </w:r>
      <w:r>
        <w:rPr>
          <w:rFonts w:hint="eastAsia" w:ascii="微软雅黑" w:hAnsi="微软雅黑" w:eastAsia="微软雅黑"/>
        </w:rPr>
        <w:t>答：如果确定输入的证件类型和证件号码正确，但显示的姓名、性别等信息不正确时，请联系主办方。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17</w:t>
      </w:r>
      <w:r>
        <w:rPr>
          <w:rFonts w:hint="eastAsia" w:ascii="微软雅黑" w:hAnsi="微软雅黑" w:eastAsia="微软雅黑"/>
          <w:b/>
          <w:bCs/>
        </w:rPr>
        <w:t>、我无法进入面试，怎么办？</w:t>
      </w:r>
    </w:p>
    <w:p>
      <w:pPr>
        <w:spacing w:after="0"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答：请在面试开放时间进入面试，如果时间未到是无法进入面试的，请耐心等待。</w:t>
      </w:r>
    </w:p>
    <w:p>
      <w:pPr>
        <w:keepNext/>
        <w:spacing w:after="0" w:line="360" w:lineRule="auto"/>
        <w:outlineLvl w:val="1"/>
        <w:rPr>
          <w:rFonts w:ascii="微软雅黑" w:hAnsi="微软雅黑" w:eastAsia="微软雅黑"/>
          <w:b/>
          <w:bCs/>
        </w:rPr>
      </w:pPr>
      <w:r>
        <w:rPr>
          <w:rFonts w:ascii="微软雅黑" w:hAnsi="微软雅黑" w:eastAsia="微软雅黑"/>
          <w:b/>
          <w:bCs/>
        </w:rPr>
        <w:t>18</w:t>
      </w:r>
      <w:r>
        <w:rPr>
          <w:rFonts w:hint="eastAsia" w:ascii="微软雅黑" w:hAnsi="微软雅黑" w:eastAsia="微软雅黑"/>
          <w:b/>
          <w:bCs/>
        </w:rPr>
        <w:t>、多次人脸核验，都核验不通过？</w:t>
      </w:r>
    </w:p>
    <w:p>
      <w:pPr>
        <w:spacing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答：多次人脸核验不通过，请联系主办方。</w:t>
      </w:r>
    </w:p>
    <w:p>
      <w:pPr>
        <w:pStyle w:val="4"/>
        <w:wordWrap w:val="0"/>
        <w:spacing w:beforeAutospacing="0" w:afterAutospacing="0" w:line="580" w:lineRule="exact"/>
        <w:jc w:val="both"/>
        <w:rPr>
          <w:rFonts w:ascii="仿宋_GB2312" w:hAnsi="仿宋_GB2312" w:eastAsia="仿宋_GB2312" w:cs="仿宋_GB2312"/>
          <w:sz w:val="32"/>
          <w:szCs w:val="32"/>
          <w:shd w:val="clear" w:color="auto" w:fill="FFFFFF"/>
        </w:rPr>
      </w:pPr>
    </w:p>
    <w:p/>
    <w:sectPr>
      <w:footerReference r:id="rId3" w:type="default"/>
      <w:pgSz w:w="11906" w:h="16838"/>
      <w:pgMar w:top="1701" w:right="1417" w:bottom="1701" w:left="141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宋简"/>
    <w:panose1 w:val="02010600030101010101"/>
    <w:charset w:val="00"/>
    <w:family w:val="auto"/>
    <w:pitch w:val="default"/>
    <w:sig w:usb0="00000000" w:usb1="00000000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微软雅黑">
    <w:altName w:val="黑体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中宋简">
    <w:panose1 w:val="02010600000101010101"/>
    <w:charset w:val="86"/>
    <w:family w:val="auto"/>
    <w:pitch w:val="default"/>
    <w:sig w:usb0="00000001" w:usb1="080E0800" w:usb2="00000002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3" name="文本框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WAAAAZHJzL1BLAQIUABQAAAAI&#10;AIdO4kCzSVju0AAAAAUBAAAPAAAAAAAAAAEAIAAAADgAAABkcnMvZG93bnJldi54bWxQSwECFAAU&#10;AAAACACHTuJAzJiNAhwCAAApBAAADgAAAAAAAAABACAAAAA1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5D07D9"/>
    <w:multiLevelType w:val="multilevel"/>
    <w:tmpl w:val="175D07D9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1E8D3A15"/>
    <w:multiLevelType w:val="multilevel"/>
    <w:tmpl w:val="1E8D3A15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5847C07"/>
    <w:multiLevelType w:val="multilevel"/>
    <w:tmpl w:val="25847C0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2ACA53B8"/>
    <w:multiLevelType w:val="multilevel"/>
    <w:tmpl w:val="2ACA53B8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69A60FD"/>
    <w:multiLevelType w:val="multilevel"/>
    <w:tmpl w:val="369A60FD"/>
    <w:lvl w:ilvl="0" w:tentative="0">
      <w:start w:val="1"/>
      <w:numFmt w:val="decimal"/>
      <w:lvlText w:val="%1)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0F5414"/>
    <w:multiLevelType w:val="multilevel"/>
    <w:tmpl w:val="3C0F5414"/>
    <w:lvl w:ilvl="0" w:tentative="0">
      <w:start w:val="1"/>
      <w:numFmt w:val="decimal"/>
      <w:lvlText w:val="%1)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DC5217"/>
    <w:multiLevelType w:val="multilevel"/>
    <w:tmpl w:val="48DC521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4DA3241C"/>
    <w:multiLevelType w:val="multilevel"/>
    <w:tmpl w:val="4DA3241C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E1E220E"/>
    <w:multiLevelType w:val="multilevel"/>
    <w:tmpl w:val="4E1E220E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0864A7A"/>
    <w:multiLevelType w:val="multilevel"/>
    <w:tmpl w:val="60864A7A"/>
    <w:lvl w:ilvl="0" w:tentative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>
    <w:nsid w:val="670A4196"/>
    <w:multiLevelType w:val="multilevel"/>
    <w:tmpl w:val="670A4196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73A42B03"/>
    <w:multiLevelType w:val="multilevel"/>
    <w:tmpl w:val="73A42B03"/>
    <w:lvl w:ilvl="0" w:tentative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9726D4D"/>
    <w:multiLevelType w:val="multilevel"/>
    <w:tmpl w:val="79726D4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>
    <w:nsid w:val="7DAC11A9"/>
    <w:multiLevelType w:val="multilevel"/>
    <w:tmpl w:val="7DAC11A9"/>
    <w:lvl w:ilvl="0" w:tentative="0">
      <w:start w:val="1"/>
      <w:numFmt w:val="decimal"/>
      <w:lvlText w:val="%1)"/>
      <w:lvlJc w:val="left"/>
      <w:pPr>
        <w:ind w:left="360" w:hanging="360"/>
      </w:p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2"/>
  </w:num>
  <w:num w:numId="3">
    <w:abstractNumId w:val="2"/>
  </w:num>
  <w:num w:numId="4">
    <w:abstractNumId w:val="6"/>
  </w:num>
  <w:num w:numId="5">
    <w:abstractNumId w:val="9"/>
  </w:num>
  <w:num w:numId="6">
    <w:abstractNumId w:val="7"/>
  </w:num>
  <w:num w:numId="7">
    <w:abstractNumId w:val="13"/>
  </w:num>
  <w:num w:numId="8">
    <w:abstractNumId w:val="4"/>
  </w:num>
  <w:num w:numId="9">
    <w:abstractNumId w:val="3"/>
  </w:num>
  <w:num w:numId="10">
    <w:abstractNumId w:val="5"/>
  </w:num>
  <w:num w:numId="11">
    <w:abstractNumId w:val="10"/>
  </w:num>
  <w:num w:numId="12">
    <w:abstractNumId w:val="8"/>
  </w:num>
  <w:num w:numId="13">
    <w:abstractNumId w:val="1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4NzhkOTIzNWM4NmJlMmI5MjQ5YjhlZmNkNjZmNjkifQ=="/>
  </w:docVars>
  <w:rsids>
    <w:rsidRoot w:val="00000000"/>
    <w:rsid w:val="78487C96"/>
    <w:rsid w:val="FDFB2EF0"/>
    <w:rsid w:val="FFB56D1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iPriority="99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1"/>
    <w:unhideWhenUsed/>
    <w:qFormat/>
    <w:uiPriority w:val="99"/>
    <w:pPr>
      <w:spacing w:after="120" w:afterLines="0" w:afterAutospacing="0" w:line="480" w:lineRule="auto"/>
      <w:ind w:left="420" w:leftChars="200"/>
    </w:pPr>
  </w:style>
  <w:style w:type="paragraph" w:styleId="3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Normal (Web)"/>
    <w:basedOn w:val="1"/>
    <w:qFormat/>
    <w:uiPriority w:val="99"/>
    <w:pPr>
      <w:spacing w:beforeAutospacing="1" w:afterAutospacing="1"/>
      <w:jc w:val="left"/>
    </w:pPr>
    <w:rPr>
      <w:kern w:val="0"/>
      <w:sz w:val="24"/>
    </w:rPr>
  </w:style>
  <w:style w:type="paragraph" w:customStyle="1" w:styleId="7">
    <w:name w:val="列出段落1"/>
    <w:basedOn w:val="1"/>
    <w:qFormat/>
    <w:uiPriority w:val="34"/>
    <w:pPr>
      <w:ind w:left="720"/>
      <w:contextualSpacing/>
    </w:pPr>
  </w:style>
  <w:style w:type="paragraph" w:customStyle="1" w:styleId="8">
    <w:name w:val="列表段落1"/>
    <w:basedOn w:val="1"/>
    <w:qFormat/>
    <w:uiPriority w:val="99"/>
    <w:pPr>
      <w:widowControl/>
      <w:spacing w:after="160" w:line="259" w:lineRule="auto"/>
      <w:ind w:left="720"/>
      <w:contextualSpacing/>
      <w:jc w:val="left"/>
    </w:pPr>
    <w:rPr>
      <w:kern w:val="0"/>
      <w:sz w:val="22"/>
      <w:szCs w:val="22"/>
    </w:rPr>
  </w:style>
  <w:style w:type="paragraph" w:styleId="9">
    <w:name w:val="List Paragraph"/>
    <w:basedOn w:val="1"/>
    <w:qFormat/>
    <w:uiPriority w:val="99"/>
    <w:pPr>
      <w:ind w:firstLine="420" w:firstLineChars="200"/>
    </w:pPr>
    <w:rPr>
      <w:rFonts w:ascii="等线" w:hAnsi="等线" w:eastAsia="等线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1" Type="http://schemas.openxmlformats.org/officeDocument/2006/relationships/fontTable" Target="fontTable.xml"/><Relationship Id="rId50" Type="http://schemas.openxmlformats.org/officeDocument/2006/relationships/numbering" Target="numbering.xml"/><Relationship Id="rId5" Type="http://schemas.openxmlformats.org/officeDocument/2006/relationships/image" Target="media/image1.png"/><Relationship Id="rId49" Type="http://schemas.openxmlformats.org/officeDocument/2006/relationships/customXml" Target="../customXml/item1.xml"/><Relationship Id="rId48" Type="http://schemas.openxmlformats.org/officeDocument/2006/relationships/image" Target="media/image40.png"/><Relationship Id="rId47" Type="http://schemas.openxmlformats.org/officeDocument/2006/relationships/image" Target="media/image39.png"/><Relationship Id="rId46" Type="http://schemas.openxmlformats.org/officeDocument/2006/relationships/image" Target="media/image38.png"/><Relationship Id="rId45" Type="http://schemas.openxmlformats.org/officeDocument/2006/relationships/image" Target="media/image37.png"/><Relationship Id="rId44" Type="http://schemas.openxmlformats.org/officeDocument/2006/relationships/image" Target="media/image36.png"/><Relationship Id="rId43" Type="http://schemas.openxmlformats.org/officeDocument/2006/relationships/image" Target="media/image35.png"/><Relationship Id="rId42" Type="http://schemas.openxmlformats.org/officeDocument/2006/relationships/image" Target="media/image34.png"/><Relationship Id="rId41" Type="http://schemas.openxmlformats.org/officeDocument/2006/relationships/image" Target="media/image33.png"/><Relationship Id="rId40" Type="http://schemas.openxmlformats.org/officeDocument/2006/relationships/image" Target="media/image32.png"/><Relationship Id="rId4" Type="http://schemas.openxmlformats.org/officeDocument/2006/relationships/theme" Target="theme/theme1.xml"/><Relationship Id="rId39" Type="http://schemas.openxmlformats.org/officeDocument/2006/relationships/image" Target="media/image31.png"/><Relationship Id="rId38" Type="http://schemas.openxmlformats.org/officeDocument/2006/relationships/image" Target="media/image30.png"/><Relationship Id="rId37" Type="http://schemas.openxmlformats.org/officeDocument/2006/relationships/image" Target="media/image29.jpe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jpeg"/><Relationship Id="rId33" Type="http://schemas.openxmlformats.org/officeDocument/2006/relationships/image" Target="media/image25.jpe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er" Target="footer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jpeg"/><Relationship Id="rId25" Type="http://schemas.openxmlformats.org/officeDocument/2006/relationships/image" Target="media/image17.jpeg"/><Relationship Id="rId24" Type="http://schemas.openxmlformats.org/officeDocument/2006/relationships/image" Target="media/image16.jpeg"/><Relationship Id="rId23" Type="http://schemas.openxmlformats.org/officeDocument/2006/relationships/image" Target="media/image15.jpeg"/><Relationship Id="rId22" Type="http://schemas.openxmlformats.org/officeDocument/2006/relationships/image" Target="media/image14.jpe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diagramColors" Target="diagrams/colors1.xml"/><Relationship Id="rId18" Type="http://schemas.openxmlformats.org/officeDocument/2006/relationships/diagramQuickStyle" Target="diagrams/quickStyle1.xml"/><Relationship Id="rId17" Type="http://schemas.openxmlformats.org/officeDocument/2006/relationships/diagramLayout" Target="diagrams/layout1.xml"/><Relationship Id="rId16" Type="http://schemas.openxmlformats.org/officeDocument/2006/relationships/diagramData" Target="diagrams/data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3_1#1">
  <dgm:title val=""/>
  <dgm:desc val=""/>
  <dgm:catLst>
    <dgm:cat type="accent3" pri="11100"/>
  </dgm:catLst>
  <dgm:styleLbl name="alignAcc1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alignAccFollowNode1">
    <dgm:fillClrLst meth="repeat">
      <a:srgbClr val="FFFFFF">
        <a:alpha val="90000"/>
        <a:tint val="40000"/>
      </a:srgbClr>
    </dgm:fillClrLst>
    <dgm:linClrLst meth="repeat">
      <a:srgbClr val="9BBB59">
        <a:alpha val="90000"/>
      </a:srgbClr>
    </dgm:linClrLst>
    <dgm:effectClrLst/>
    <dgm:txLinClrLst/>
    <dgm:txFillClrLst meth="repeat">
      <a:srgbClr val="000000"/>
    </dgm:txFillClrLst>
    <dgm:txEffectClrLst/>
  </dgm:styleLbl>
  <dgm:styleLbl name="alignImgPlace1">
    <dgm:fillClrLst meth="repeat">
      <a:srgbClr val="DEE7D1">
        <a:tint val="40000"/>
      </a:srgbClr>
    </dgm:fillClrLst>
    <dgm:linClrLst meth="repeat">
      <a:srgbClr val="8CA950">
        <a:shade val="80000"/>
      </a:srgbClr>
    </dgm:linClrLst>
    <dgm:effectClrLst/>
    <dgm:txLinClrLst/>
    <dgm:txFillClrLst meth="repeat">
      <a:srgbClr val="FFFFFF"/>
    </dgm:txFillClrLst>
    <dgm:txEffectClrLst/>
  </dgm:styleLbl>
  <dgm:styleLbl name="alignNode1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asst0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asst1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asst2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asst3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asst4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bgAcc1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bgAccFollowNode1">
    <dgm:fillClrLst meth="repeat">
      <a:srgbClr val="FFFFFF">
        <a:alpha val="90000"/>
        <a:tint val="40000"/>
      </a:srgbClr>
    </dgm:fillClrLst>
    <dgm:linClrLst meth="repeat">
      <a:srgbClr val="9BBB59">
        <a:alpha val="90000"/>
      </a:srgbClr>
    </dgm:linClrLst>
    <dgm:effectClrLst/>
    <dgm:txLinClrLst/>
    <dgm:txFillClrLst meth="repeat">
      <a:srgbClr val="000000"/>
    </dgm:txFillClrLst>
    <dgm:txEffectClrLst/>
  </dgm:styleLbl>
  <dgm:styleLbl name="bgImgPlace1">
    <dgm:fillClrLst meth="repeat">
      <a:srgbClr val="DEE7D1">
        <a:tint val="40000"/>
      </a:srgbClr>
    </dgm:fillClrLst>
    <dgm:linClrLst meth="repeat">
      <a:srgbClr val="8CA950">
        <a:shade val="80000"/>
      </a:srgbClr>
    </dgm:linClrLst>
    <dgm:effectClrLst/>
    <dgm:txLinClrLst/>
    <dgm:txFillClrLst meth="repeat">
      <a:srgbClr val="FFFFFF"/>
    </dgm:txFillClrLst>
    <dgm:txEffectClrLst/>
  </dgm:styleLbl>
  <dgm:styleLbl name="bgShp">
    <dgm:fillClrLst meth="repeat">
      <a:srgbClr val="DEE7D1"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bgSibTrans2D1">
    <dgm:fillClrLst meth="repeat">
      <a:srgbClr val="CBDAB5">
        <a:tint val="60000"/>
      </a:srgbClr>
    </dgm:fillClrLst>
    <dgm:linClrLst meth="repeat">
      <a:srgbClr val="CBDAB5">
        <a:tint val="60000"/>
      </a:srgbClr>
    </dgm:linClrLst>
    <dgm:effectClrLst/>
    <dgm:txLinClrLst/>
    <dgm:txFillClrLst meth="repeat">
      <a:srgbClr val="000000"/>
    </dgm:txFillClrLst>
    <dgm:txEffectClrLst/>
  </dgm:styleLbl>
  <dgm:styleLbl name="callout">
    <dgm:fillClrLst meth="repeat">
      <a:srgbClr val="9BBB59"/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conFgAcc1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dkBgShp">
    <dgm:fillClrLst meth="repeat">
      <a:srgbClr val="8CA950">
        <a:shade val="80000"/>
      </a:srgbClr>
    </dgm:fillClrLst>
    <dgm:linClrLst meth="repeat">
      <a:srgbClr val="9BBB59"/>
    </dgm:linClrLst>
    <dgm:effectClrLst/>
    <dgm:txLinClrLst/>
    <dgm:txFillClrLst meth="repeat">
      <a:srgbClr val="FFFFFF"/>
    </dgm:txFillClrLst>
    <dgm:txEffectClrLst/>
  </dgm:styleLbl>
  <dgm:styleLbl name="fgAcc0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fgAcc1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fgAcc2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fgAcc3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fgAcc4">
    <dgm:fillClrLst meth="repeat">
      <a:srgbClr val="DEE7D1">
        <a:alpha val="9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fgAccFollowNode1">
    <dgm:fillClrLst meth="repeat">
      <a:srgbClr val="FFFFFF">
        <a:alpha val="90000"/>
        <a:tint val="40000"/>
      </a:srgbClr>
    </dgm:fillClrLst>
    <dgm:linClrLst meth="repeat">
      <a:srgbClr val="9BBB59">
        <a:alpha val="90000"/>
      </a:srgbClr>
    </dgm:linClrLst>
    <dgm:effectClrLst/>
    <dgm:txLinClrLst/>
    <dgm:txFillClrLst meth="repeat">
      <a:srgbClr val="000000"/>
    </dgm:txFillClrLst>
    <dgm:txEffectClrLst/>
  </dgm:styleLbl>
  <dgm:styleLbl name="fgImgPlace1">
    <dgm:fillClrLst meth="repeat">
      <a:srgbClr val="DEE7D1">
        <a:tint val="40000"/>
      </a:srgbClr>
    </dgm:fillClrLst>
    <dgm:linClrLst meth="repeat">
      <a:srgbClr val="8CA950">
        <a:shade val="80000"/>
      </a:srgbClr>
    </dgm:linClrLst>
    <dgm:effectClrLst/>
    <dgm:txLinClrLst/>
    <dgm:txFillClrLst meth="repeat">
      <a:srgbClr val="FFFFFF"/>
    </dgm:txFillClrLst>
    <dgm:txEffectClrLst/>
  </dgm:styleLbl>
  <dgm:styleLbl name="fgShp">
    <dgm:fillClrLst meth="repeat">
      <a:srgbClr val="CBDAB5">
        <a:tint val="60000"/>
      </a:srgbClr>
    </dgm:fillClrLst>
    <dgm:linClrLst meth="repeat">
      <a:srgbClr val="FFFFFF"/>
    </dgm:linClrLst>
    <dgm:effectClrLst/>
    <dgm:txLinClrLst/>
    <dgm:txFillClrLst meth="repeat">
      <a:srgbClr val="000000"/>
    </dgm:txFillClrLst>
    <dgm:txEffectClrLst/>
  </dgm:styleLbl>
  <dgm:styleLbl name="fgSibTrans2D1">
    <dgm:fillClrLst meth="repeat">
      <a:srgbClr val="CBDAB5">
        <a:tint val="60000"/>
      </a:srgbClr>
    </dgm:fillClrLst>
    <dgm:linClrLst meth="repeat">
      <a:srgbClr val="CBDAB5">
        <a:tint val="60000"/>
      </a:srgbClr>
    </dgm:linClrLst>
    <dgm:effectClrLst/>
    <dgm:txLinClrLst/>
    <dgm:txFillClrLst meth="repeat">
      <a:srgbClr val="000000"/>
    </dgm:txFillClrLst>
    <dgm:txEffectClrLst/>
  </dgm:styleLbl>
  <dgm:styleLbl name="lnNode1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node0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node1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node2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node3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node4">
    <dgm:fillClrLst meth="repeat">
      <a:srgbClr val="FFFFFF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parChTrans1D1">
    <dgm:fillClrLst meth="repeat">
      <a:srgbClr val="9BBB59"/>
    </dgm:fillClrLst>
    <dgm:linClrLst meth="repeat">
      <a:srgbClr val="7B9445">
        <a:shade val="60000"/>
      </a:srgbClr>
    </dgm:linClrLst>
    <dgm:effectClrLst/>
    <dgm:txLinClrLst/>
    <dgm:txFillClrLst meth="repeat">
      <a:srgbClr val="000000"/>
    </dgm:txFillClrLst>
    <dgm:txEffectClrLst/>
  </dgm:styleLbl>
  <dgm:styleLbl name="parChTrans1D2">
    <dgm:fillClrLst meth="repeat">
      <a:srgbClr val="9BBB59"/>
    </dgm:fillClrLst>
    <dgm:linClrLst meth="repeat">
      <a:srgbClr val="7B9445">
        <a:shade val="60000"/>
      </a:srgbClr>
    </dgm:linClrLst>
    <dgm:effectClrLst/>
    <dgm:txLinClrLst/>
    <dgm:txFillClrLst meth="repeat">
      <a:srgbClr val="000000"/>
    </dgm:txFillClrLst>
    <dgm:txEffectClrLst/>
  </dgm:styleLbl>
  <dgm:styleLbl name="parChTrans1D3">
    <dgm:fillClrLst meth="repeat">
      <a:srgbClr val="9BBB59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parChTrans1D4">
    <dgm:fillClrLst meth="repeat">
      <a:srgbClr val="9BBB59"/>
    </dgm:fillClrLst>
    <dgm:linClrLst meth="repeat">
      <a:srgbClr val="8CA950">
        <a:shade val="80000"/>
      </a:srgbClr>
    </dgm:linClrLst>
    <dgm:effectClrLst/>
    <dgm:txLinClrLst/>
    <dgm:txFillClrLst meth="repeat">
      <a:srgbClr val="000000"/>
    </dgm:txFillClrLst>
    <dgm:txEffectClrLst/>
  </dgm:styleLbl>
  <dgm:styleLbl name="parChTrans2D1">
    <dgm:fillClrLst meth="repeat">
      <a:srgbClr val="CBDAB5">
        <a:tint val="60000"/>
      </a:srgbClr>
    </dgm:fillClrLst>
    <dgm:linClrLst meth="repeat">
      <a:srgbClr val="CBDAB5">
        <a:tint val="60000"/>
      </a:srgbClr>
    </dgm:linClrLst>
    <dgm:effectClrLst/>
    <dgm:txLinClrLst/>
    <dgm:txFillClrLst/>
    <dgm:txEffectClrLst/>
  </dgm:styleLbl>
  <dgm:styleLbl name="parChTrans2D2">
    <dgm:fillClrLst meth="repeat">
      <a:srgbClr val="9BBB59"/>
    </dgm:fillClrLst>
    <dgm:linClrLst meth="repeat">
      <a:srgbClr val="9BBB59"/>
    </dgm:linClrLst>
    <dgm:effectClrLst/>
    <dgm:txLinClrLst/>
    <dgm:txFillClrLst/>
    <dgm:txEffectClrLst/>
  </dgm:styleLbl>
  <dgm:styleLbl name="parChTrans2D3">
    <dgm:fillClrLst meth="repeat">
      <a:srgbClr val="9BBB59"/>
    </dgm:fillClrLst>
    <dgm:linClrLst meth="repeat">
      <a:srgbClr val="9BBB59"/>
    </dgm:linClrLst>
    <dgm:effectClrLst/>
    <dgm:txLinClrLst/>
    <dgm:txFillClrLst/>
    <dgm:txEffectClrLst/>
  </dgm:styleLbl>
  <dgm:styleLbl name="parChTrans2D4">
    <dgm:fillClrLst meth="repeat">
      <a:srgbClr val="9BBB59"/>
    </dgm:fillClrLst>
    <dgm:linClrLst meth="repeat">
      <a:srgbClr val="9BBB59"/>
    </dgm:linClrLst>
    <dgm:effectClrLst/>
    <dgm:txLinClrLst/>
    <dgm:txFillClrLst meth="repeat">
      <a:srgbClr val="FFFFFF"/>
    </dgm:txFillClrLst>
    <dgm:txEffectClrLst/>
  </dgm:styleLbl>
  <dgm:styleLbl name="revTx">
    <dgm:fillClrLst meth="repeat">
      <a:srgbClr val="FFFFFF">
        <a:alpha val="0"/>
      </a:srgbClr>
    </dgm:fillClrLst>
    <dgm:linClrLst meth="repeat">
      <a:srgbClr val="000000">
        <a:alpha val="0"/>
      </a:srgbClr>
    </dgm:linClrLst>
    <dgm:effectClrLst/>
    <dgm:txLinClrLst/>
    <dgm:txFillClrLst meth="repeat">
      <a:srgbClr val="000000"/>
    </dgm:txFillClrLst>
    <dgm:txEffectClrLst/>
  </dgm:styleLbl>
  <dgm:styleLbl name="sibTrans1D1">
    <dgm:fillClrLst meth="repeat">
      <a:srgbClr val="9BBB59"/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sibTrans2D1">
    <dgm:fillClrLst meth="repeat">
      <a:srgbClr val="CBDAB5">
        <a:tint val="60000"/>
      </a:srgbClr>
    </dgm:fillClrLst>
    <dgm:linClrLst meth="repeat">
      <a:srgbClr val="CBDAB5">
        <a:tint val="60000"/>
      </a:srgbClr>
    </dgm:linClrLst>
    <dgm:effectClrLst/>
    <dgm:txLinClrLst/>
    <dgm:txFillClrLst meth="repeat">
      <a:srgbClr val="000000"/>
    </dgm:txFillClrLst>
    <dgm:txEffectClrLst/>
  </dgm:styleLbl>
  <dgm:styleLbl name="solidAlignAcc1">
    <dgm:fillClrLst meth="repeat">
      <a:srgbClr val="FFFFFF"/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solidBgAcc1">
    <dgm:fillClrLst meth="repeat">
      <a:srgbClr val="FFFFFF"/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solidFgAcc1">
    <dgm:fillClrLst meth="repeat">
      <a:srgbClr val="FFFFFF"/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trAlignAcc1">
    <dgm:fillClrLst meth="repeat">
      <a:srgbClr val="DEE7D1">
        <a:alpha val="40000"/>
        <a:tint val="40000"/>
      </a:srgbClr>
    </dgm:fillClrLst>
    <dgm:linClrLst meth="repeat">
      <a:srgbClr val="9BBB59"/>
    </dgm:linClrLst>
    <dgm:effectClrLst/>
    <dgm:txLinClrLst/>
    <dgm:txFillClrLst meth="repeat">
      <a:srgbClr val="000000"/>
    </dgm:txFillClrLst>
    <dgm:txEffectClrLst/>
  </dgm:styleLbl>
  <dgm:styleLbl name="trBgShp">
    <dgm:fillClrLst meth="repeat">
      <a:srgbClr val="D5E0C4">
        <a:tint val="50000"/>
        <a:alpha val="40000"/>
      </a:srgbClr>
    </dgm:fillClrLst>
    <dgm:linClrLst meth="repeat">
      <a:srgbClr val="9BBB59"/>
    </dgm:linClrLst>
    <dgm:effectClrLst/>
    <dgm:txLinClrLst/>
    <dgm:txFillClrLst meth="repeat">
      <a:srgbClr val="FFFFFF"/>
    </dgm:txFillClrLst>
    <dgm:txEffectClrLst/>
  </dgm:styleLbl>
  <dgm:styleLbl name="vennNode1">
    <dgm:fillClrLst meth="repeat">
      <a:srgbClr val="FFFFFF">
        <a:alpha val="50000"/>
      </a:srgbClr>
    </dgm:fillClrLst>
    <dgm:linClrLst meth="repeat">
      <a:srgbClr val="8CA950">
        <a:shade val="80000"/>
      </a:srgbClr>
    </dgm:linClrLst>
    <dgm:effectClrLst/>
    <dgm:txLinClrLst/>
    <dgm:txFillClrLst/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4F1C088-637E-4A91-88F2-4BE317B41FB8}" type="doc">
      <dgm:prSet loTypeId="urn:microsoft.com/office/officeart/2005/8/layout/process1" loCatId="process" qsTypeId="urn:microsoft.com/office/officeart/2005/8/quickstyle/simple1#1" qsCatId="simple" csTypeId="urn:microsoft.com/office/officeart/2005/8/colors/accent3_1#1" csCatId="accent3" phldr="true"/>
      <dgm:spPr/>
    </dgm:pt>
    <dgm:pt modelId="{43EF9109-3BBA-4327-AFA5-C15EFAD93BAE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登录</a:t>
          </a:r>
          <a:r>
            <a:rPr lang="zh-CN" altLang="en-US" sz="1000">
              <a:latin typeface="微软雅黑" panose="020B0503020204020204" charset="-122"/>
              <a:ea typeface="微软雅黑" panose="020B0503020204020204" charset="-122"/>
            </a:rPr>
            <a:t>系统</a:t>
          </a:r>
          <a:endParaRPr lang="en-US" sz="1000">
            <a:latin typeface="微软雅黑" panose="020B0503020204020204" charset="-122"/>
            <a:ea typeface="微软雅黑" panose="020B0503020204020204" charset="-122"/>
          </a:endParaRPr>
        </a:p>
      </dgm:t>
    </dgm:pt>
    <dgm:pt modelId="{6970007D-A251-45FB-9084-817D69CA8C20}" cxnId="{19825F4F-6BF1-42E1-B5F4-CD84A739BECE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D20FF952-23FD-4571-8F58-F46B8473738E}" cxnId="{19825F4F-6BF1-42E1-B5F4-CD84A739BECE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CCE87464-40B8-4D36-901B-AB46C5A43CC9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确认信息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F6AF99E6-99C9-445A-A2D6-C7A2A225EE2A}" cxnId="{86C19243-4948-4FF3-A560-D1C08982AE6A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E3F67F1D-F7FF-4216-88E9-302B68F9F5D0}" cxnId="{86C19243-4948-4FF3-A560-D1C08982AE6A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7E3723F3-D64E-40A1-9E39-316540EDC6F9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进入面试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213B6A57-063C-4FD0-80E0-FD484A93AEBD}" cxnId="{A8F631A8-1112-4060-B5A8-DEBBC48446B2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0BCEBB24-7951-43AE-9C40-C432CAFC1D74}" cxnId="{A8F631A8-1112-4060-B5A8-DEBBC48446B2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D53DA1C9-DF9B-47E8-8A2C-590DCF786B5E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阅读须知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474DAAE3-6770-43DA-8CA5-736B9C9093A2}" cxnId="{6334C3CD-77FD-4E32-BD9D-09FF3B25F29F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04E5A9DB-0989-45F3-98A4-F3C55A9B34F9}" cxnId="{6334C3CD-77FD-4E32-BD9D-09FF3B25F29F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5970A32C-5657-4488-8EBE-78B121F9C754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阅读承诺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B71B7EA2-2045-442D-B121-2D549F887A44}" cxnId="{14ADDB02-89DD-4609-BA7B-5B53098ADCEE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48EA0CD1-4A19-462B-AA94-6713576A6673}" cxnId="{14ADDB02-89DD-4609-BA7B-5B53098ADCEE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F8EF8607-5C5B-4169-AC4D-79AF580E6586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人脸核验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5E647CC0-0595-4D5E-81EE-5DDEC5EDB39D}" cxnId="{C2AB17B9-BF21-417F-90B9-6AC29F0B2F86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7934D339-AADD-498A-8BB5-E84A7D7B2BA4}" cxnId="{C2AB17B9-BF21-417F-90B9-6AC29F0B2F86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4909CAB4-BB7E-40BA-A00A-32970F677143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等候面试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D56A5E72-E93C-4FB2-9088-4FFB8BDF3699}" cxnId="{0684A7C2-E663-4D4D-8C42-467BC941AA39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96D09D57-325B-4D43-902B-7A675A3E7BC9}" cxnId="{0684A7C2-E663-4D4D-8C42-467BC941AA39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20347C84-3BAB-4C16-829E-FDC76BAC78BA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进行面试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A7139BD9-6925-4B67-873A-C6124CE2BB0A}" cxnId="{E0CC7C76-2434-428E-87F9-164DE5B5A228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C6A5E96C-C554-4267-A009-CB8C32C3CD30}" cxnId="{E0CC7C76-2434-428E-87F9-164DE5B5A228}" type="sibTrans">
      <dgm:prSet custT="true"/>
      <dgm:spPr/>
      <dgm:t>
        <a:bodyPr/>
        <a:p>
          <a:endParaRPr lang="en-US" sz="500">
            <a:latin typeface="微软雅黑" panose="020B0503020204020204" charset="-122"/>
            <a:ea typeface="微软雅黑" panose="020B0503020204020204" charset="-122"/>
          </a:endParaRPr>
        </a:p>
      </dgm:t>
    </dgm:pt>
    <dgm:pt modelId="{7D1068C8-26C6-4A1B-B317-FE20B67DF3BD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面试结束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3388CA87-C664-4F17-B0CD-CF4C389B0029}" cxnId="{B7C22760-8309-485F-B4F2-25A914710443}" type="par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4C13C55B-B324-465A-B495-ACD93E087D48}" cxnId="{B7C22760-8309-485F-B4F2-25A914710443}" type="sibTrans">
      <dgm:prSet/>
      <dgm:spPr/>
      <dgm:t>
        <a:bodyPr/>
        <a:p>
          <a:endParaRPr lang="en-US" sz="1800">
            <a:latin typeface="微软雅黑" panose="020B0503020204020204" charset="-122"/>
            <a:ea typeface="微软雅黑" panose="020B0503020204020204" charset="-122"/>
          </a:endParaRPr>
        </a:p>
      </dgm:t>
    </dgm:pt>
    <dgm:pt modelId="{A415D393-2FFE-4999-AB49-870B52A69D9E}">
      <dgm:prSet phldrT="[Text]" custT="true"/>
      <dgm:spPr/>
      <dgm:t>
        <a:bodyPr/>
        <a:p>
          <a:r>
            <a:rPr lang="zh-CN" altLang="en-US" sz="1000" baseline="0">
              <a:latin typeface="微软雅黑" panose="020B0503020204020204" charset="-122"/>
              <a:ea typeface="微软雅黑" panose="020B0503020204020204" charset="-122"/>
            </a:rPr>
            <a:t>实人认证</a:t>
          </a:r>
          <a:endParaRPr lang="en-US" sz="1000" baseline="0">
            <a:latin typeface="微软雅黑" panose="020B0503020204020204" charset="-122"/>
            <a:ea typeface="微软雅黑" panose="020B0503020204020204" charset="-122"/>
          </a:endParaRPr>
        </a:p>
      </dgm:t>
    </dgm:pt>
    <dgm:pt modelId="{347D0EF7-DD9F-412F-94FB-6D75C4BF9C6C}" cxnId="{6BBBF440-34AA-4B8E-AEDB-797D6FB93EE3}" type="parTrans">
      <dgm:prSet/>
      <dgm:spPr/>
      <dgm:t>
        <a:bodyPr/>
        <a:p>
          <a:endParaRPr lang="zh-CN" altLang="en-US"/>
        </a:p>
      </dgm:t>
    </dgm:pt>
    <dgm:pt modelId="{37CF1FB4-A0BB-42BE-B418-D44390C4EF15}" cxnId="{6BBBF440-34AA-4B8E-AEDB-797D6FB93EE3}" type="sibTrans">
      <dgm:prSet/>
      <dgm:spPr/>
      <dgm:t>
        <a:bodyPr/>
        <a:p>
          <a:endParaRPr lang="zh-CN" altLang="en-US"/>
        </a:p>
      </dgm:t>
    </dgm:pt>
    <dgm:pt modelId="{CBCAF778-A2AE-4D3E-8070-8471517975F4}">
      <dgm:prSet/>
      <dgm:spPr/>
      <dgm:t>
        <a:bodyPr/>
        <a:p>
          <a:r>
            <a:rPr lang="zh-CN" altLang="en-US">
              <a:latin typeface="微软雅黑" panose="020B0503020204020204" charset="-122"/>
              <a:ea typeface="微软雅黑" panose="020B0503020204020204" charset="-122"/>
            </a:rPr>
            <a:t>确认事项</a:t>
          </a:r>
        </a:p>
      </dgm:t>
    </dgm:pt>
    <dgm:pt modelId="{7036DAA2-EE0F-4A26-852D-31AB69AE1B11}" cxnId="{7CC06621-4A4F-4B7C-89ED-FF4E763E7AD8}" type="parTrans">
      <dgm:prSet/>
      <dgm:spPr/>
      <dgm:t>
        <a:bodyPr/>
        <a:p>
          <a:endParaRPr lang="zh-CN" altLang="en-US"/>
        </a:p>
      </dgm:t>
    </dgm:pt>
    <dgm:pt modelId="{CE4DF596-9C3C-460B-90C7-6E975E479D60}" cxnId="{7CC06621-4A4F-4B7C-89ED-FF4E763E7AD8}" type="sibTrans">
      <dgm:prSet/>
      <dgm:spPr/>
      <dgm:t>
        <a:bodyPr/>
        <a:p>
          <a:endParaRPr lang="zh-CN" altLang="en-US"/>
        </a:p>
      </dgm:t>
    </dgm:pt>
    <dgm:pt modelId="{EDD85BAF-14E4-4750-AB8C-5CAA2659411C}" type="pres">
      <dgm:prSet presAssocID="{64F1C088-637E-4A91-88F2-4BE317B41FB8}" presName="Name0" presStyleCnt="0">
        <dgm:presLayoutVars>
          <dgm:dir/>
          <dgm:resizeHandles val="exact"/>
        </dgm:presLayoutVars>
      </dgm:prSet>
      <dgm:spPr/>
    </dgm:pt>
    <dgm:pt modelId="{6131C10A-4930-40C0-9AEA-B04941F4D522}" type="pres">
      <dgm:prSet presAssocID="{43EF9109-3BBA-4327-AFA5-C15EFAD93BAE}" presName="node" presStyleLbl="node1" presStyleIdx="0" presStyleCnt="11">
        <dgm:presLayoutVars>
          <dgm:bulletEnabled val="true"/>
        </dgm:presLayoutVars>
      </dgm:prSet>
      <dgm:spPr/>
    </dgm:pt>
    <dgm:pt modelId="{9EDA6754-6740-4287-A550-D0D45361184B}" type="pres">
      <dgm:prSet presAssocID="{D20FF952-23FD-4571-8F58-F46B8473738E}" presName="sibTrans" presStyleLbl="sibTrans2D1" presStyleIdx="0" presStyleCnt="10"/>
      <dgm:spPr/>
    </dgm:pt>
    <dgm:pt modelId="{BA1A984C-7D24-4C36-8971-BF7DBECC3077}" type="pres">
      <dgm:prSet presAssocID="{D20FF952-23FD-4571-8F58-F46B8473738E}" presName="connectorText" presStyleLbl="sibTrans2D1" presStyleIdx="0" presStyleCnt="10"/>
      <dgm:spPr/>
    </dgm:pt>
    <dgm:pt modelId="{34C00CC1-214F-4709-9566-3E621C3B58BD}" type="pres">
      <dgm:prSet presAssocID="{CCE87464-40B8-4D36-901B-AB46C5A43CC9}" presName="node" presStyleLbl="node1" presStyleIdx="1" presStyleCnt="11">
        <dgm:presLayoutVars>
          <dgm:bulletEnabled val="true"/>
        </dgm:presLayoutVars>
      </dgm:prSet>
      <dgm:spPr/>
    </dgm:pt>
    <dgm:pt modelId="{20A03FD2-4283-48D4-B5E4-B4B0136462FE}" type="pres">
      <dgm:prSet presAssocID="{E3F67F1D-F7FF-4216-88E9-302B68F9F5D0}" presName="sibTrans" presStyleLbl="sibTrans2D1" presStyleIdx="1" presStyleCnt="10"/>
      <dgm:spPr/>
    </dgm:pt>
    <dgm:pt modelId="{44E1265E-256B-4019-82A5-793D9765F42A}" type="pres">
      <dgm:prSet presAssocID="{E3F67F1D-F7FF-4216-88E9-302B68F9F5D0}" presName="connectorText" presStyleLbl="sibTrans2D1" presStyleIdx="1" presStyleCnt="10"/>
      <dgm:spPr/>
    </dgm:pt>
    <dgm:pt modelId="{AD6378F3-59CE-4361-880D-3812DD0992A6}" type="pres">
      <dgm:prSet presAssocID="{A415D393-2FFE-4999-AB49-870B52A69D9E}" presName="node" presStyleLbl="node1" presStyleIdx="2" presStyleCnt="11">
        <dgm:presLayoutVars>
          <dgm:bulletEnabled val="true"/>
        </dgm:presLayoutVars>
      </dgm:prSet>
      <dgm:spPr/>
    </dgm:pt>
    <dgm:pt modelId="{9EF0623F-323D-436D-8307-ED8C9D727AD2}" type="pres">
      <dgm:prSet presAssocID="{37CF1FB4-A0BB-42BE-B418-D44390C4EF15}" presName="sibTrans" presStyleLbl="sibTrans2D1" presStyleIdx="2" presStyleCnt="10"/>
      <dgm:spPr/>
    </dgm:pt>
    <dgm:pt modelId="{C4CB492B-704E-457C-9CCC-1314F64C0DB8}" type="pres">
      <dgm:prSet presAssocID="{37CF1FB4-A0BB-42BE-B418-D44390C4EF15}" presName="connectorText" presStyleLbl="sibTrans2D1" presStyleIdx="2" presStyleCnt="10"/>
      <dgm:spPr/>
    </dgm:pt>
    <dgm:pt modelId="{A304E5BE-81EB-403B-8C68-4A9920F27249}" type="pres">
      <dgm:prSet presAssocID="{7E3723F3-D64E-40A1-9E39-316540EDC6F9}" presName="node" presStyleLbl="node1" presStyleIdx="3" presStyleCnt="11">
        <dgm:presLayoutVars>
          <dgm:bulletEnabled val="true"/>
        </dgm:presLayoutVars>
      </dgm:prSet>
      <dgm:spPr/>
    </dgm:pt>
    <dgm:pt modelId="{739D0653-20FD-45A7-83A7-5108E141F87F}" type="pres">
      <dgm:prSet presAssocID="{0BCEBB24-7951-43AE-9C40-C432CAFC1D74}" presName="sibTrans" presStyleLbl="sibTrans2D1" presStyleIdx="3" presStyleCnt="10"/>
      <dgm:spPr/>
    </dgm:pt>
    <dgm:pt modelId="{D4A59DA0-A29B-4A98-B6AC-E0A62150697B}" type="pres">
      <dgm:prSet presAssocID="{0BCEBB24-7951-43AE-9C40-C432CAFC1D74}" presName="connectorText" presStyleLbl="sibTrans2D1" presStyleIdx="3" presStyleCnt="10"/>
      <dgm:spPr/>
    </dgm:pt>
    <dgm:pt modelId="{9CF2950C-883F-4A51-99A4-F08232A5AA0F}" type="pres">
      <dgm:prSet presAssocID="{D53DA1C9-DF9B-47E8-8A2C-590DCF786B5E}" presName="node" presStyleLbl="node1" presStyleIdx="4" presStyleCnt="11">
        <dgm:presLayoutVars>
          <dgm:bulletEnabled val="true"/>
        </dgm:presLayoutVars>
      </dgm:prSet>
      <dgm:spPr/>
    </dgm:pt>
    <dgm:pt modelId="{4311C56D-44EA-49E7-807C-4D39FBA63E2C}" type="pres">
      <dgm:prSet presAssocID="{04E5A9DB-0989-45F3-98A4-F3C55A9B34F9}" presName="sibTrans" presStyleLbl="sibTrans2D1" presStyleIdx="4" presStyleCnt="10"/>
      <dgm:spPr/>
    </dgm:pt>
    <dgm:pt modelId="{A921315E-A95E-48D7-98F7-0CC6681B143B}" type="pres">
      <dgm:prSet presAssocID="{04E5A9DB-0989-45F3-98A4-F3C55A9B34F9}" presName="connectorText" presStyleLbl="sibTrans2D1" presStyleIdx="4" presStyleCnt="10"/>
      <dgm:spPr/>
    </dgm:pt>
    <dgm:pt modelId="{679B8A5E-D9E2-4065-8CBD-74F595F08F9D}" type="pres">
      <dgm:prSet presAssocID="{CBCAF778-A2AE-4D3E-8070-8471517975F4}" presName="node" presStyleLbl="node1" presStyleIdx="5" presStyleCnt="11">
        <dgm:presLayoutVars>
          <dgm:bulletEnabled val="true"/>
        </dgm:presLayoutVars>
      </dgm:prSet>
      <dgm:spPr/>
    </dgm:pt>
    <dgm:pt modelId="{9103F61E-0D50-4EA2-9B7A-669CDC10A54E}" type="pres">
      <dgm:prSet presAssocID="{CE4DF596-9C3C-460B-90C7-6E975E479D60}" presName="sibTrans" presStyleLbl="sibTrans2D1" presStyleIdx="5" presStyleCnt="10"/>
      <dgm:spPr/>
    </dgm:pt>
    <dgm:pt modelId="{563A30B9-FD63-4E05-A3C0-DB308F612A4E}" type="pres">
      <dgm:prSet presAssocID="{CE4DF596-9C3C-460B-90C7-6E975E479D60}" presName="connectorText" presStyleLbl="sibTrans2D1" presStyleIdx="5" presStyleCnt="10"/>
      <dgm:spPr/>
    </dgm:pt>
    <dgm:pt modelId="{256F4DCD-1889-4881-AF14-04170938AD0E}" type="pres">
      <dgm:prSet presAssocID="{5970A32C-5657-4488-8EBE-78B121F9C754}" presName="node" presStyleLbl="node1" presStyleIdx="6" presStyleCnt="11">
        <dgm:presLayoutVars>
          <dgm:bulletEnabled val="true"/>
        </dgm:presLayoutVars>
      </dgm:prSet>
      <dgm:spPr/>
    </dgm:pt>
    <dgm:pt modelId="{E611ED03-C0EB-4B93-B971-64F138F4CBD1}" type="pres">
      <dgm:prSet presAssocID="{48EA0CD1-4A19-462B-AA94-6713576A6673}" presName="sibTrans" presStyleLbl="sibTrans2D1" presStyleIdx="6" presStyleCnt="10"/>
      <dgm:spPr/>
    </dgm:pt>
    <dgm:pt modelId="{CA8CC347-67D0-4D63-ABF5-FFFD469978F0}" type="pres">
      <dgm:prSet presAssocID="{48EA0CD1-4A19-462B-AA94-6713576A6673}" presName="connectorText" presStyleLbl="sibTrans2D1" presStyleIdx="6" presStyleCnt="10"/>
      <dgm:spPr/>
    </dgm:pt>
    <dgm:pt modelId="{71581A57-2A92-4A6F-B524-BABA1AA2EBB0}" type="pres">
      <dgm:prSet presAssocID="{F8EF8607-5C5B-4169-AC4D-79AF580E6586}" presName="node" presStyleLbl="node1" presStyleIdx="7" presStyleCnt="11">
        <dgm:presLayoutVars>
          <dgm:bulletEnabled val="true"/>
        </dgm:presLayoutVars>
      </dgm:prSet>
      <dgm:spPr/>
    </dgm:pt>
    <dgm:pt modelId="{6ADA0175-9C5C-4204-968D-14AC9F43E870}" type="pres">
      <dgm:prSet presAssocID="{7934D339-AADD-498A-8BB5-E84A7D7B2BA4}" presName="sibTrans" presStyleLbl="sibTrans2D1" presStyleIdx="7" presStyleCnt="10"/>
      <dgm:spPr/>
    </dgm:pt>
    <dgm:pt modelId="{355AAA35-CBAB-4049-B268-EBFCC59935BE}" type="pres">
      <dgm:prSet presAssocID="{7934D339-AADD-498A-8BB5-E84A7D7B2BA4}" presName="connectorText" presStyleLbl="sibTrans2D1" presStyleIdx="7" presStyleCnt="10"/>
      <dgm:spPr/>
    </dgm:pt>
    <dgm:pt modelId="{2BC11641-21F3-4475-A939-DF92F6F42307}" type="pres">
      <dgm:prSet presAssocID="{4909CAB4-BB7E-40BA-A00A-32970F677143}" presName="node" presStyleLbl="node1" presStyleIdx="8" presStyleCnt="11">
        <dgm:presLayoutVars>
          <dgm:bulletEnabled val="true"/>
        </dgm:presLayoutVars>
      </dgm:prSet>
      <dgm:spPr/>
    </dgm:pt>
    <dgm:pt modelId="{AED585F8-CA68-49F8-ADA9-0E4765998D63}" type="pres">
      <dgm:prSet presAssocID="{96D09D57-325B-4D43-902B-7A675A3E7BC9}" presName="sibTrans" presStyleLbl="sibTrans2D1" presStyleIdx="8" presStyleCnt="10"/>
      <dgm:spPr/>
    </dgm:pt>
    <dgm:pt modelId="{17E9A837-E5E7-4D1B-A7AF-515500789798}" type="pres">
      <dgm:prSet presAssocID="{96D09D57-325B-4D43-902B-7A675A3E7BC9}" presName="connectorText" presStyleLbl="sibTrans2D1" presStyleIdx="8" presStyleCnt="10"/>
      <dgm:spPr/>
    </dgm:pt>
    <dgm:pt modelId="{57F858B9-14A8-44CB-BCFA-82935DBB041A}" type="pres">
      <dgm:prSet presAssocID="{20347C84-3BAB-4C16-829E-FDC76BAC78BA}" presName="node" presStyleLbl="node1" presStyleIdx="9" presStyleCnt="11">
        <dgm:presLayoutVars>
          <dgm:bulletEnabled val="true"/>
        </dgm:presLayoutVars>
      </dgm:prSet>
      <dgm:spPr/>
    </dgm:pt>
    <dgm:pt modelId="{88C59751-64D0-4CCA-AAE1-C8CCC0B7AF87}" type="pres">
      <dgm:prSet presAssocID="{C6A5E96C-C554-4267-A009-CB8C32C3CD30}" presName="sibTrans" presStyleLbl="sibTrans2D1" presStyleIdx="9" presStyleCnt="10"/>
      <dgm:spPr/>
    </dgm:pt>
    <dgm:pt modelId="{33AACFA3-FA26-4565-B372-6F758D4C7D38}" type="pres">
      <dgm:prSet presAssocID="{C6A5E96C-C554-4267-A009-CB8C32C3CD30}" presName="connectorText" presStyleLbl="sibTrans2D1" presStyleIdx="9" presStyleCnt="10"/>
      <dgm:spPr/>
    </dgm:pt>
    <dgm:pt modelId="{BE287DBF-DC99-442F-90AE-0B2DA01B1336}" type="pres">
      <dgm:prSet presAssocID="{7D1068C8-26C6-4A1B-B317-FE20B67DF3BD}" presName="node" presStyleLbl="node1" presStyleIdx="10" presStyleCnt="11">
        <dgm:presLayoutVars>
          <dgm:bulletEnabled val="true"/>
        </dgm:presLayoutVars>
      </dgm:prSet>
      <dgm:spPr/>
    </dgm:pt>
  </dgm:ptLst>
  <dgm:cxnLst>
    <dgm:cxn modelId="{14ADDB02-89DD-4609-BA7B-5B53098ADCEE}" srcId="{64F1C088-637E-4A91-88F2-4BE317B41FB8}" destId="{5970A32C-5657-4488-8EBE-78B121F9C754}" srcOrd="6" destOrd="0" parTransId="{B71B7EA2-2045-442D-B121-2D549F887A44}" sibTransId="{48EA0CD1-4A19-462B-AA94-6713576A6673}"/>
    <dgm:cxn modelId="{7EC74516-B2F5-4D50-9E10-5D3E9A973818}" type="presOf" srcId="{CCE87464-40B8-4D36-901B-AB46C5A43CC9}" destId="{34C00CC1-214F-4709-9566-3E621C3B58BD}" srcOrd="0" destOrd="0" presId="urn:microsoft.com/office/officeart/2005/8/layout/process1"/>
    <dgm:cxn modelId="{7CC06621-4A4F-4B7C-89ED-FF4E763E7AD8}" srcId="{64F1C088-637E-4A91-88F2-4BE317B41FB8}" destId="{CBCAF778-A2AE-4D3E-8070-8471517975F4}" srcOrd="5" destOrd="0" parTransId="{7036DAA2-EE0F-4A26-852D-31AB69AE1B11}" sibTransId="{CE4DF596-9C3C-460B-90C7-6E975E479D60}"/>
    <dgm:cxn modelId="{5DFB9439-E19F-4CDF-82C1-4501728FB782}" type="presOf" srcId="{7D1068C8-26C6-4A1B-B317-FE20B67DF3BD}" destId="{BE287DBF-DC99-442F-90AE-0B2DA01B1336}" srcOrd="0" destOrd="0" presId="urn:microsoft.com/office/officeart/2005/8/layout/process1"/>
    <dgm:cxn modelId="{B4D0A63E-8955-4AA5-87EE-7EF59FA95F7D}" type="presOf" srcId="{96D09D57-325B-4D43-902B-7A675A3E7BC9}" destId="{17E9A837-E5E7-4D1B-A7AF-515500789798}" srcOrd="1" destOrd="0" presId="urn:microsoft.com/office/officeart/2005/8/layout/process1"/>
    <dgm:cxn modelId="{6BBBF440-34AA-4B8E-AEDB-797D6FB93EE3}" srcId="{64F1C088-637E-4A91-88F2-4BE317B41FB8}" destId="{A415D393-2FFE-4999-AB49-870B52A69D9E}" srcOrd="2" destOrd="0" parTransId="{347D0EF7-DD9F-412F-94FB-6D75C4BF9C6C}" sibTransId="{37CF1FB4-A0BB-42BE-B418-D44390C4EF15}"/>
    <dgm:cxn modelId="{8DFF045D-B691-410A-80C9-4D8434882830}" type="presOf" srcId="{E3F67F1D-F7FF-4216-88E9-302B68F9F5D0}" destId="{20A03FD2-4283-48D4-B5E4-B4B0136462FE}" srcOrd="0" destOrd="0" presId="urn:microsoft.com/office/officeart/2005/8/layout/process1"/>
    <dgm:cxn modelId="{1B535F5E-5BC8-470C-B785-A6B6E1DE57D3}" type="presOf" srcId="{37CF1FB4-A0BB-42BE-B418-D44390C4EF15}" destId="{C4CB492B-704E-457C-9CCC-1314F64C0DB8}" srcOrd="1" destOrd="0" presId="urn:microsoft.com/office/officeart/2005/8/layout/process1"/>
    <dgm:cxn modelId="{B7C22760-8309-485F-B4F2-25A914710443}" srcId="{64F1C088-637E-4A91-88F2-4BE317B41FB8}" destId="{7D1068C8-26C6-4A1B-B317-FE20B67DF3BD}" srcOrd="10" destOrd="0" parTransId="{3388CA87-C664-4F17-B0CD-CF4C389B0029}" sibTransId="{4C13C55B-B324-465A-B495-ACD93E087D48}"/>
    <dgm:cxn modelId="{86C19243-4948-4FF3-A560-D1C08982AE6A}" srcId="{64F1C088-637E-4A91-88F2-4BE317B41FB8}" destId="{CCE87464-40B8-4D36-901B-AB46C5A43CC9}" srcOrd="1" destOrd="0" parTransId="{F6AF99E6-99C9-445A-A2D6-C7A2A225EE2A}" sibTransId="{E3F67F1D-F7FF-4216-88E9-302B68F9F5D0}"/>
    <dgm:cxn modelId="{AF1F4045-B12D-41A3-8EEB-6D5D7245AB41}" type="presOf" srcId="{CE4DF596-9C3C-460B-90C7-6E975E479D60}" destId="{563A30B9-FD63-4E05-A3C0-DB308F612A4E}" srcOrd="1" destOrd="0" presId="urn:microsoft.com/office/officeart/2005/8/layout/process1"/>
    <dgm:cxn modelId="{D7B69547-9704-4D13-8BCC-8BA9C12D34FE}" type="presOf" srcId="{4909CAB4-BB7E-40BA-A00A-32970F677143}" destId="{2BC11641-21F3-4475-A939-DF92F6F42307}" srcOrd="0" destOrd="0" presId="urn:microsoft.com/office/officeart/2005/8/layout/process1"/>
    <dgm:cxn modelId="{A48D3C68-A467-4B7C-9697-3F74D4775E5B}" type="presOf" srcId="{64F1C088-637E-4A91-88F2-4BE317B41FB8}" destId="{EDD85BAF-14E4-4750-AB8C-5CAA2659411C}" srcOrd="0" destOrd="0" presId="urn:microsoft.com/office/officeart/2005/8/layout/process1"/>
    <dgm:cxn modelId="{087B6B68-FD4F-4B09-8F45-CADF4B8CD01B}" type="presOf" srcId="{C6A5E96C-C554-4267-A009-CB8C32C3CD30}" destId="{88C59751-64D0-4CCA-AAE1-C8CCC0B7AF87}" srcOrd="0" destOrd="0" presId="urn:microsoft.com/office/officeart/2005/8/layout/process1"/>
    <dgm:cxn modelId="{1672996A-C4D4-4753-AD13-D19130DBDA60}" type="presOf" srcId="{5970A32C-5657-4488-8EBE-78B121F9C754}" destId="{256F4DCD-1889-4881-AF14-04170938AD0E}" srcOrd="0" destOrd="0" presId="urn:microsoft.com/office/officeart/2005/8/layout/process1"/>
    <dgm:cxn modelId="{7300AA6A-1CD2-4DB2-B57B-46AA3810CD9F}" type="presOf" srcId="{0BCEBB24-7951-43AE-9C40-C432CAFC1D74}" destId="{D4A59DA0-A29B-4A98-B6AC-E0A62150697B}" srcOrd="1" destOrd="0" presId="urn:microsoft.com/office/officeart/2005/8/layout/process1"/>
    <dgm:cxn modelId="{081DE44A-DE87-470D-9EF6-DC5371C972D2}" type="presOf" srcId="{43EF9109-3BBA-4327-AFA5-C15EFAD93BAE}" destId="{6131C10A-4930-40C0-9AEA-B04941F4D522}" srcOrd="0" destOrd="0" presId="urn:microsoft.com/office/officeart/2005/8/layout/process1"/>
    <dgm:cxn modelId="{D31B3B4F-6601-4B3A-9C36-BAC0038BF8D3}" type="presOf" srcId="{D53DA1C9-DF9B-47E8-8A2C-590DCF786B5E}" destId="{9CF2950C-883F-4A51-99A4-F08232A5AA0F}" srcOrd="0" destOrd="0" presId="urn:microsoft.com/office/officeart/2005/8/layout/process1"/>
    <dgm:cxn modelId="{19825F4F-6BF1-42E1-B5F4-CD84A739BECE}" srcId="{64F1C088-637E-4A91-88F2-4BE317B41FB8}" destId="{43EF9109-3BBA-4327-AFA5-C15EFAD93BAE}" srcOrd="0" destOrd="0" parTransId="{6970007D-A251-45FB-9084-817D69CA8C20}" sibTransId="{D20FF952-23FD-4571-8F58-F46B8473738E}"/>
    <dgm:cxn modelId="{9F0D9573-5883-42E7-A3DD-7D3596DBDB5D}" type="presOf" srcId="{D20FF952-23FD-4571-8F58-F46B8473738E}" destId="{9EDA6754-6740-4287-A550-D0D45361184B}" srcOrd="0" destOrd="0" presId="urn:microsoft.com/office/officeart/2005/8/layout/process1"/>
    <dgm:cxn modelId="{E0CC7C76-2434-428E-87F9-164DE5B5A228}" srcId="{64F1C088-637E-4A91-88F2-4BE317B41FB8}" destId="{20347C84-3BAB-4C16-829E-FDC76BAC78BA}" srcOrd="9" destOrd="0" parTransId="{A7139BD9-6925-4B67-873A-C6124CE2BB0A}" sibTransId="{C6A5E96C-C554-4267-A009-CB8C32C3CD30}"/>
    <dgm:cxn modelId="{226DD877-5CAA-4BB7-82F5-51660E558DBE}" type="presOf" srcId="{48EA0CD1-4A19-462B-AA94-6713576A6673}" destId="{CA8CC347-67D0-4D63-ABF5-FFFD469978F0}" srcOrd="1" destOrd="0" presId="urn:microsoft.com/office/officeart/2005/8/layout/process1"/>
    <dgm:cxn modelId="{96299185-6CB3-4173-82CC-B6D244502AD4}" type="presOf" srcId="{A415D393-2FFE-4999-AB49-870B52A69D9E}" destId="{AD6378F3-59CE-4361-880D-3812DD0992A6}" srcOrd="0" destOrd="0" presId="urn:microsoft.com/office/officeart/2005/8/layout/process1"/>
    <dgm:cxn modelId="{B205C78A-970B-4054-9D81-6536FD26D249}" type="presOf" srcId="{CBCAF778-A2AE-4D3E-8070-8471517975F4}" destId="{679B8A5E-D9E2-4065-8CBD-74F595F08F9D}" srcOrd="0" destOrd="0" presId="urn:microsoft.com/office/officeart/2005/8/layout/process1"/>
    <dgm:cxn modelId="{BDB73395-E291-4D47-8979-66A46E4F1515}" type="presOf" srcId="{37CF1FB4-A0BB-42BE-B418-D44390C4EF15}" destId="{9EF0623F-323D-436D-8307-ED8C9D727AD2}" srcOrd="0" destOrd="0" presId="urn:microsoft.com/office/officeart/2005/8/layout/process1"/>
    <dgm:cxn modelId="{E7E7789F-439D-4812-BB64-D4DB29217C8C}" type="presOf" srcId="{E3F67F1D-F7FF-4216-88E9-302B68F9F5D0}" destId="{44E1265E-256B-4019-82A5-793D9765F42A}" srcOrd="1" destOrd="0" presId="urn:microsoft.com/office/officeart/2005/8/layout/process1"/>
    <dgm:cxn modelId="{3AA6CAA2-77EC-4D63-B423-3FF068777D37}" type="presOf" srcId="{F8EF8607-5C5B-4169-AC4D-79AF580E6586}" destId="{71581A57-2A92-4A6F-B524-BABA1AA2EBB0}" srcOrd="0" destOrd="0" presId="urn:microsoft.com/office/officeart/2005/8/layout/process1"/>
    <dgm:cxn modelId="{A8F631A8-1112-4060-B5A8-DEBBC48446B2}" srcId="{64F1C088-637E-4A91-88F2-4BE317B41FB8}" destId="{7E3723F3-D64E-40A1-9E39-316540EDC6F9}" srcOrd="3" destOrd="0" parTransId="{213B6A57-063C-4FD0-80E0-FD484A93AEBD}" sibTransId="{0BCEBB24-7951-43AE-9C40-C432CAFC1D74}"/>
    <dgm:cxn modelId="{F06E73AC-88BD-4984-BB7C-DC4EAC397FC5}" type="presOf" srcId="{04E5A9DB-0989-45F3-98A4-F3C55A9B34F9}" destId="{A921315E-A95E-48D7-98F7-0CC6681B143B}" srcOrd="1" destOrd="0" presId="urn:microsoft.com/office/officeart/2005/8/layout/process1"/>
    <dgm:cxn modelId="{04D4B0AC-BF09-4C25-939E-68C36413C598}" type="presOf" srcId="{CE4DF596-9C3C-460B-90C7-6E975E479D60}" destId="{9103F61E-0D50-4EA2-9B7A-669CDC10A54E}" srcOrd="0" destOrd="0" presId="urn:microsoft.com/office/officeart/2005/8/layout/process1"/>
    <dgm:cxn modelId="{F627EFAE-C916-433D-A9E5-3F8778FE256A}" type="presOf" srcId="{C6A5E96C-C554-4267-A009-CB8C32C3CD30}" destId="{33AACFA3-FA26-4565-B372-6F758D4C7D38}" srcOrd="1" destOrd="0" presId="urn:microsoft.com/office/officeart/2005/8/layout/process1"/>
    <dgm:cxn modelId="{C2AB17B9-BF21-417F-90B9-6AC29F0B2F86}" srcId="{64F1C088-637E-4A91-88F2-4BE317B41FB8}" destId="{F8EF8607-5C5B-4169-AC4D-79AF580E6586}" srcOrd="7" destOrd="0" parTransId="{5E647CC0-0595-4D5E-81EE-5DDEC5EDB39D}" sibTransId="{7934D339-AADD-498A-8BB5-E84A7D7B2BA4}"/>
    <dgm:cxn modelId="{E8B517BB-E45B-4962-ADE5-2E636BEE3799}" type="presOf" srcId="{04E5A9DB-0989-45F3-98A4-F3C55A9B34F9}" destId="{4311C56D-44EA-49E7-807C-4D39FBA63E2C}" srcOrd="0" destOrd="0" presId="urn:microsoft.com/office/officeart/2005/8/layout/process1"/>
    <dgm:cxn modelId="{0684A7C2-E663-4D4D-8C42-467BC941AA39}" srcId="{64F1C088-637E-4A91-88F2-4BE317B41FB8}" destId="{4909CAB4-BB7E-40BA-A00A-32970F677143}" srcOrd="8" destOrd="0" parTransId="{D56A5E72-E93C-4FB2-9088-4FFB8BDF3699}" sibTransId="{96D09D57-325B-4D43-902B-7A675A3E7BC9}"/>
    <dgm:cxn modelId="{6334C3CD-77FD-4E32-BD9D-09FF3B25F29F}" srcId="{64F1C088-637E-4A91-88F2-4BE317B41FB8}" destId="{D53DA1C9-DF9B-47E8-8A2C-590DCF786B5E}" srcOrd="4" destOrd="0" parTransId="{474DAAE3-6770-43DA-8CA5-736B9C9093A2}" sibTransId="{04E5A9DB-0989-45F3-98A4-F3C55A9B34F9}"/>
    <dgm:cxn modelId="{49EF1FD8-711A-4E0B-8113-8160DBBBE2B4}" type="presOf" srcId="{20347C84-3BAB-4C16-829E-FDC76BAC78BA}" destId="{57F858B9-14A8-44CB-BCFA-82935DBB041A}" srcOrd="0" destOrd="0" presId="urn:microsoft.com/office/officeart/2005/8/layout/process1"/>
    <dgm:cxn modelId="{32FAA2D9-00FD-41DF-9460-D60B441C4C83}" type="presOf" srcId="{48EA0CD1-4A19-462B-AA94-6713576A6673}" destId="{E611ED03-C0EB-4B93-B971-64F138F4CBD1}" srcOrd="0" destOrd="0" presId="urn:microsoft.com/office/officeart/2005/8/layout/process1"/>
    <dgm:cxn modelId="{012674E0-9594-46A0-8EC6-00B67E5131D0}" type="presOf" srcId="{7934D339-AADD-498A-8BB5-E84A7D7B2BA4}" destId="{355AAA35-CBAB-4049-B268-EBFCC59935BE}" srcOrd="1" destOrd="0" presId="urn:microsoft.com/office/officeart/2005/8/layout/process1"/>
    <dgm:cxn modelId="{A0060AE5-E643-4243-87F0-75C8B4720F30}" type="presOf" srcId="{96D09D57-325B-4D43-902B-7A675A3E7BC9}" destId="{AED585F8-CA68-49F8-ADA9-0E4765998D63}" srcOrd="0" destOrd="0" presId="urn:microsoft.com/office/officeart/2005/8/layout/process1"/>
    <dgm:cxn modelId="{03881BE6-7B05-4A3A-805F-12B715006711}" type="presOf" srcId="{0BCEBB24-7951-43AE-9C40-C432CAFC1D74}" destId="{739D0653-20FD-45A7-83A7-5108E141F87F}" srcOrd="0" destOrd="0" presId="urn:microsoft.com/office/officeart/2005/8/layout/process1"/>
    <dgm:cxn modelId="{859A33E7-96DF-478E-80E4-E8240EF34BB1}" type="presOf" srcId="{7E3723F3-D64E-40A1-9E39-316540EDC6F9}" destId="{A304E5BE-81EB-403B-8C68-4A9920F27249}" srcOrd="0" destOrd="0" presId="urn:microsoft.com/office/officeart/2005/8/layout/process1"/>
    <dgm:cxn modelId="{4BD7AFE7-DD6F-46BA-A103-3E8252D72352}" type="presOf" srcId="{7934D339-AADD-498A-8BB5-E84A7D7B2BA4}" destId="{6ADA0175-9C5C-4204-968D-14AC9F43E870}" srcOrd="0" destOrd="0" presId="urn:microsoft.com/office/officeart/2005/8/layout/process1"/>
    <dgm:cxn modelId="{FDEBCFF2-09A8-448E-A807-4A9E9388C648}" type="presOf" srcId="{D20FF952-23FD-4571-8F58-F46B8473738E}" destId="{BA1A984C-7D24-4C36-8971-BF7DBECC3077}" srcOrd="1" destOrd="0" presId="urn:microsoft.com/office/officeart/2005/8/layout/process1"/>
    <dgm:cxn modelId="{B53EC95F-C300-4183-BA78-CCABDA9AD417}" type="presParOf" srcId="{EDD85BAF-14E4-4750-AB8C-5CAA2659411C}" destId="{6131C10A-4930-40C0-9AEA-B04941F4D522}" srcOrd="0" destOrd="0" presId="urn:microsoft.com/office/officeart/2005/8/layout/process1"/>
    <dgm:cxn modelId="{9575BCC6-76C5-497D-9918-4DFDB562A33B}" type="presParOf" srcId="{EDD85BAF-14E4-4750-AB8C-5CAA2659411C}" destId="{9EDA6754-6740-4287-A550-D0D45361184B}" srcOrd="1" destOrd="0" presId="urn:microsoft.com/office/officeart/2005/8/layout/process1"/>
    <dgm:cxn modelId="{AE931286-6579-4FFB-8038-F408CE2E2C8A}" type="presParOf" srcId="{9EDA6754-6740-4287-A550-D0D45361184B}" destId="{BA1A984C-7D24-4C36-8971-BF7DBECC3077}" srcOrd="0" destOrd="0" presId="urn:microsoft.com/office/officeart/2005/8/layout/process1"/>
    <dgm:cxn modelId="{6046F761-4E0A-4227-B0F7-E74864FE31AB}" type="presParOf" srcId="{EDD85BAF-14E4-4750-AB8C-5CAA2659411C}" destId="{34C00CC1-214F-4709-9566-3E621C3B58BD}" srcOrd="2" destOrd="0" presId="urn:microsoft.com/office/officeart/2005/8/layout/process1"/>
    <dgm:cxn modelId="{70096A43-AC38-473C-AB62-5B811BECCC57}" type="presParOf" srcId="{EDD85BAF-14E4-4750-AB8C-5CAA2659411C}" destId="{20A03FD2-4283-48D4-B5E4-B4B0136462FE}" srcOrd="3" destOrd="0" presId="urn:microsoft.com/office/officeart/2005/8/layout/process1"/>
    <dgm:cxn modelId="{BB13976D-243F-42C7-849B-0BD66C6B2B72}" type="presParOf" srcId="{20A03FD2-4283-48D4-B5E4-B4B0136462FE}" destId="{44E1265E-256B-4019-82A5-793D9765F42A}" srcOrd="0" destOrd="0" presId="urn:microsoft.com/office/officeart/2005/8/layout/process1"/>
    <dgm:cxn modelId="{982A5742-58C8-4EDF-8513-96CC9BAC4D6E}" type="presParOf" srcId="{EDD85BAF-14E4-4750-AB8C-5CAA2659411C}" destId="{AD6378F3-59CE-4361-880D-3812DD0992A6}" srcOrd="4" destOrd="0" presId="urn:microsoft.com/office/officeart/2005/8/layout/process1"/>
    <dgm:cxn modelId="{B2EE6C61-AAD2-4265-A83C-9948962DA26B}" type="presParOf" srcId="{EDD85BAF-14E4-4750-AB8C-5CAA2659411C}" destId="{9EF0623F-323D-436D-8307-ED8C9D727AD2}" srcOrd="5" destOrd="0" presId="urn:microsoft.com/office/officeart/2005/8/layout/process1"/>
    <dgm:cxn modelId="{0D78C429-1AAE-4F6A-B84F-17F177C85D8C}" type="presParOf" srcId="{9EF0623F-323D-436D-8307-ED8C9D727AD2}" destId="{C4CB492B-704E-457C-9CCC-1314F64C0DB8}" srcOrd="0" destOrd="0" presId="urn:microsoft.com/office/officeart/2005/8/layout/process1"/>
    <dgm:cxn modelId="{E48324A5-621F-42F4-BBE7-026243475890}" type="presParOf" srcId="{EDD85BAF-14E4-4750-AB8C-5CAA2659411C}" destId="{A304E5BE-81EB-403B-8C68-4A9920F27249}" srcOrd="6" destOrd="0" presId="urn:microsoft.com/office/officeart/2005/8/layout/process1"/>
    <dgm:cxn modelId="{967F9661-E5D1-4288-B33A-BB82E1F2E789}" type="presParOf" srcId="{EDD85BAF-14E4-4750-AB8C-5CAA2659411C}" destId="{739D0653-20FD-45A7-83A7-5108E141F87F}" srcOrd="7" destOrd="0" presId="urn:microsoft.com/office/officeart/2005/8/layout/process1"/>
    <dgm:cxn modelId="{0416E6D2-0071-4C79-86FB-698008E41E07}" type="presParOf" srcId="{739D0653-20FD-45A7-83A7-5108E141F87F}" destId="{D4A59DA0-A29B-4A98-B6AC-E0A62150697B}" srcOrd="0" destOrd="0" presId="urn:microsoft.com/office/officeart/2005/8/layout/process1"/>
    <dgm:cxn modelId="{36ABF869-5F54-4B83-88FF-AB4664A3091F}" type="presParOf" srcId="{EDD85BAF-14E4-4750-AB8C-5CAA2659411C}" destId="{9CF2950C-883F-4A51-99A4-F08232A5AA0F}" srcOrd="8" destOrd="0" presId="urn:microsoft.com/office/officeart/2005/8/layout/process1"/>
    <dgm:cxn modelId="{536224B7-61F8-4F8E-B82F-BEAFDB0A6C21}" type="presParOf" srcId="{EDD85BAF-14E4-4750-AB8C-5CAA2659411C}" destId="{4311C56D-44EA-49E7-807C-4D39FBA63E2C}" srcOrd="9" destOrd="0" presId="urn:microsoft.com/office/officeart/2005/8/layout/process1"/>
    <dgm:cxn modelId="{E46B88A0-8E1A-4333-8EDC-3F5660FB21AF}" type="presParOf" srcId="{4311C56D-44EA-49E7-807C-4D39FBA63E2C}" destId="{A921315E-A95E-48D7-98F7-0CC6681B143B}" srcOrd="0" destOrd="0" presId="urn:microsoft.com/office/officeart/2005/8/layout/process1"/>
    <dgm:cxn modelId="{A2108DF2-8CA3-4260-986B-285BC30C5A3A}" type="presParOf" srcId="{EDD85BAF-14E4-4750-AB8C-5CAA2659411C}" destId="{679B8A5E-D9E2-4065-8CBD-74F595F08F9D}" srcOrd="10" destOrd="0" presId="urn:microsoft.com/office/officeart/2005/8/layout/process1"/>
    <dgm:cxn modelId="{7B7D2AD1-3E58-4682-A6F7-D37697FB21B3}" type="presParOf" srcId="{EDD85BAF-14E4-4750-AB8C-5CAA2659411C}" destId="{9103F61E-0D50-4EA2-9B7A-669CDC10A54E}" srcOrd="11" destOrd="0" presId="urn:microsoft.com/office/officeart/2005/8/layout/process1"/>
    <dgm:cxn modelId="{2179A358-37F3-4493-83C9-901BD9CC249D}" type="presParOf" srcId="{9103F61E-0D50-4EA2-9B7A-669CDC10A54E}" destId="{563A30B9-FD63-4E05-A3C0-DB308F612A4E}" srcOrd="0" destOrd="0" presId="urn:microsoft.com/office/officeart/2005/8/layout/process1"/>
    <dgm:cxn modelId="{A10143A0-8634-46B0-9FCC-842BF37AA1F0}" type="presParOf" srcId="{EDD85BAF-14E4-4750-AB8C-5CAA2659411C}" destId="{256F4DCD-1889-4881-AF14-04170938AD0E}" srcOrd="12" destOrd="0" presId="urn:microsoft.com/office/officeart/2005/8/layout/process1"/>
    <dgm:cxn modelId="{BE3488DC-DBCD-4721-BD66-1ECF888255EA}" type="presParOf" srcId="{EDD85BAF-14E4-4750-AB8C-5CAA2659411C}" destId="{E611ED03-C0EB-4B93-B971-64F138F4CBD1}" srcOrd="13" destOrd="0" presId="urn:microsoft.com/office/officeart/2005/8/layout/process1"/>
    <dgm:cxn modelId="{92A56B14-70AA-4371-AEA6-8E2B8C2F198C}" type="presParOf" srcId="{E611ED03-C0EB-4B93-B971-64F138F4CBD1}" destId="{CA8CC347-67D0-4D63-ABF5-FFFD469978F0}" srcOrd="0" destOrd="0" presId="urn:microsoft.com/office/officeart/2005/8/layout/process1"/>
    <dgm:cxn modelId="{74016CFA-C54C-4CDC-B088-3340A3A4A101}" type="presParOf" srcId="{EDD85BAF-14E4-4750-AB8C-5CAA2659411C}" destId="{71581A57-2A92-4A6F-B524-BABA1AA2EBB0}" srcOrd="14" destOrd="0" presId="urn:microsoft.com/office/officeart/2005/8/layout/process1"/>
    <dgm:cxn modelId="{CE883B8A-145B-4B31-98B0-EC7B38F739CC}" type="presParOf" srcId="{EDD85BAF-14E4-4750-AB8C-5CAA2659411C}" destId="{6ADA0175-9C5C-4204-968D-14AC9F43E870}" srcOrd="15" destOrd="0" presId="urn:microsoft.com/office/officeart/2005/8/layout/process1"/>
    <dgm:cxn modelId="{04011896-6C59-48CF-9712-9FCE29730BDB}" type="presParOf" srcId="{6ADA0175-9C5C-4204-968D-14AC9F43E870}" destId="{355AAA35-CBAB-4049-B268-EBFCC59935BE}" srcOrd="0" destOrd="0" presId="urn:microsoft.com/office/officeart/2005/8/layout/process1"/>
    <dgm:cxn modelId="{27D93744-6186-475D-BCFB-48C0E60EC41C}" type="presParOf" srcId="{EDD85BAF-14E4-4750-AB8C-5CAA2659411C}" destId="{2BC11641-21F3-4475-A939-DF92F6F42307}" srcOrd="16" destOrd="0" presId="urn:microsoft.com/office/officeart/2005/8/layout/process1"/>
    <dgm:cxn modelId="{01394747-3DF5-46C7-AF50-9A97132D3F92}" type="presParOf" srcId="{EDD85BAF-14E4-4750-AB8C-5CAA2659411C}" destId="{AED585F8-CA68-49F8-ADA9-0E4765998D63}" srcOrd="17" destOrd="0" presId="urn:microsoft.com/office/officeart/2005/8/layout/process1"/>
    <dgm:cxn modelId="{5BEFD4F5-D6DC-463E-8325-993BFA1EAB16}" type="presParOf" srcId="{AED585F8-CA68-49F8-ADA9-0E4765998D63}" destId="{17E9A837-E5E7-4D1B-A7AF-515500789798}" srcOrd="0" destOrd="0" presId="urn:microsoft.com/office/officeart/2005/8/layout/process1"/>
    <dgm:cxn modelId="{53CCA0C7-005E-4238-8284-0A818B6C8944}" type="presParOf" srcId="{EDD85BAF-14E4-4750-AB8C-5CAA2659411C}" destId="{57F858B9-14A8-44CB-BCFA-82935DBB041A}" srcOrd="18" destOrd="0" presId="urn:microsoft.com/office/officeart/2005/8/layout/process1"/>
    <dgm:cxn modelId="{C6302572-864B-4DA9-80F5-A68A01EF8CA4}" type="presParOf" srcId="{EDD85BAF-14E4-4750-AB8C-5CAA2659411C}" destId="{88C59751-64D0-4CCA-AAE1-C8CCC0B7AF87}" srcOrd="19" destOrd="0" presId="urn:microsoft.com/office/officeart/2005/8/layout/process1"/>
    <dgm:cxn modelId="{20E6D063-0812-4F50-BFF4-9F8F95F4B979}" type="presParOf" srcId="{88C59751-64D0-4CCA-AAE1-C8CCC0B7AF87}" destId="{33AACFA3-FA26-4565-B372-6F758D4C7D38}" srcOrd="0" destOrd="0" presId="urn:microsoft.com/office/officeart/2005/8/layout/process1"/>
    <dgm:cxn modelId="{57048D5D-8F32-4810-B579-A0851E027B9C}" type="presParOf" srcId="{EDD85BAF-14E4-4750-AB8C-5CAA2659411C}" destId="{BE287DBF-DC99-442F-90AE-0B2DA01B1336}" srcOrd="20" destOrd="0" presId="urn:microsoft.com/office/officeart/2005/8/layout/process1"/>
  </dgm:cxnLst>
  <dgm:bg/>
  <dgm:whole/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 xmlns:r="http://schemas.openxmlformats.org/officeDocument/2006/relationships">
  <dsp:spTree>
    <dsp:nvGrpSpPr>
      <dsp:cNvPr id="2" name="组合 1"/>
      <dsp:cNvGrpSpPr/>
    </dsp:nvGrpSpPr>
    <dsp:grpSpPr>
      <a:xfrm>
        <a:off x="0" y="0"/>
        <a:ext cx="5772150" cy="698500"/>
        <a:chOff x="0" y="0"/>
        <a:chExt cx="5772150" cy="698500"/>
      </a:xfrm>
    </dsp:grpSpPr>
    <dsp:sp modelId="{6131C10A-4930-40C0-9AEA-B04941F4D522}">
      <dsp:nvSpPr>
        <dsp:cNvPr id="3" name="圆角矩形 2"/>
        <dsp:cNvSpPr/>
      </dsp:nvSpPr>
      <dsp:spPr bwMode="white">
        <a:xfrm>
          <a:off x="0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登录</a:t>
          </a:r>
          <a:r>
            <a:rPr lang="zh-CN" altLang="en-US" sz="100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系统</a:t>
          </a:r>
          <a:endParaRPr lang="en-US" sz="10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0" y="141605"/>
        <a:ext cx="384810" cy="415290"/>
      </dsp:txXfrm>
    </dsp:sp>
    <dsp:sp modelId="{9EDA6754-6740-4287-A550-D0D45361184B}">
      <dsp:nvSpPr>
        <dsp:cNvPr id="4" name="右箭头 3"/>
        <dsp:cNvSpPr/>
      </dsp:nvSpPr>
      <dsp:spPr bwMode="white">
        <a:xfrm>
          <a:off x="420982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420982" y="301534"/>
        <a:ext cx="81580" cy="95433"/>
      </dsp:txXfrm>
    </dsp:sp>
    <dsp:sp modelId="{34C00CC1-214F-4709-9566-3E621C3B58BD}">
      <dsp:nvSpPr>
        <dsp:cNvPr id="5" name="圆角矩形 4"/>
        <dsp:cNvSpPr/>
      </dsp:nvSpPr>
      <dsp:spPr bwMode="white">
        <a:xfrm>
          <a:off x="538734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确认信息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538734" y="141605"/>
        <a:ext cx="384810" cy="415290"/>
      </dsp:txXfrm>
    </dsp:sp>
    <dsp:sp modelId="{20A03FD2-4283-48D4-B5E4-B4B0136462FE}">
      <dsp:nvSpPr>
        <dsp:cNvPr id="6" name="右箭头 5"/>
        <dsp:cNvSpPr/>
      </dsp:nvSpPr>
      <dsp:spPr bwMode="white">
        <a:xfrm>
          <a:off x="959716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959716" y="301534"/>
        <a:ext cx="81580" cy="95433"/>
      </dsp:txXfrm>
    </dsp:sp>
    <dsp:sp modelId="{AD6378F3-59CE-4361-880D-3812DD0992A6}">
      <dsp:nvSpPr>
        <dsp:cNvPr id="7" name="圆角矩形 6"/>
        <dsp:cNvSpPr/>
      </dsp:nvSpPr>
      <dsp:spPr bwMode="white">
        <a:xfrm>
          <a:off x="1077468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实人认证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1077468" y="141605"/>
        <a:ext cx="384810" cy="415290"/>
      </dsp:txXfrm>
    </dsp:sp>
    <dsp:sp modelId="{9EF0623F-323D-436D-8307-ED8C9D727AD2}">
      <dsp:nvSpPr>
        <dsp:cNvPr id="8" name="右箭头 7"/>
        <dsp:cNvSpPr/>
      </dsp:nvSpPr>
      <dsp:spPr bwMode="white">
        <a:xfrm>
          <a:off x="1498450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00"/>
          </a:lvl1pPr>
          <a:lvl2pPr marL="57150" indent="-57150" algn="ctr">
            <a:defRPr sz="400"/>
          </a:lvl2pPr>
          <a:lvl3pPr marL="114300" indent="-57150" algn="ctr">
            <a:defRPr sz="400"/>
          </a:lvl3pPr>
          <a:lvl4pPr marL="171450" indent="-57150" algn="ctr">
            <a:defRPr sz="400"/>
          </a:lvl4pPr>
          <a:lvl5pPr marL="228600" indent="-57150" algn="ctr">
            <a:defRPr sz="400"/>
          </a:lvl5pPr>
          <a:lvl6pPr marL="285750" indent="-57150" algn="ctr">
            <a:defRPr sz="400"/>
          </a:lvl6pPr>
          <a:lvl7pPr marL="342900" indent="-57150" algn="ctr">
            <a:defRPr sz="400"/>
          </a:lvl7pPr>
          <a:lvl8pPr marL="400050" indent="-57150" algn="ctr">
            <a:defRPr sz="400"/>
          </a:lvl8pPr>
          <a:lvl9pPr marL="457200" indent="-57150" algn="ctr">
            <a:defRPr sz="4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zh-CN" altLang="en-US">
            <a:solidFill>
              <a:srgbClr val="000000"/>
            </a:solidFill>
          </a:endParaRPr>
        </a:p>
      </dsp:txBody>
      <dsp:txXfrm>
        <a:off x="1498450" y="301534"/>
        <a:ext cx="81580" cy="95433"/>
      </dsp:txXfrm>
    </dsp:sp>
    <dsp:sp modelId="{A304E5BE-81EB-403B-8C68-4A9920F27249}">
      <dsp:nvSpPr>
        <dsp:cNvPr id="9" name="圆角矩形 8"/>
        <dsp:cNvSpPr/>
      </dsp:nvSpPr>
      <dsp:spPr bwMode="white">
        <a:xfrm>
          <a:off x="1616202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进入面试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1616202" y="141605"/>
        <a:ext cx="384810" cy="415290"/>
      </dsp:txXfrm>
    </dsp:sp>
    <dsp:sp modelId="{739D0653-20FD-45A7-83A7-5108E141F87F}">
      <dsp:nvSpPr>
        <dsp:cNvPr id="10" name="右箭头 9"/>
        <dsp:cNvSpPr/>
      </dsp:nvSpPr>
      <dsp:spPr bwMode="white">
        <a:xfrm>
          <a:off x="2037184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2037184" y="301534"/>
        <a:ext cx="81580" cy="95433"/>
      </dsp:txXfrm>
    </dsp:sp>
    <dsp:sp modelId="{9CF2950C-883F-4A51-99A4-F08232A5AA0F}">
      <dsp:nvSpPr>
        <dsp:cNvPr id="11" name="圆角矩形 10"/>
        <dsp:cNvSpPr/>
      </dsp:nvSpPr>
      <dsp:spPr bwMode="white">
        <a:xfrm>
          <a:off x="2154936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阅读须知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2154936" y="141605"/>
        <a:ext cx="384810" cy="415290"/>
      </dsp:txXfrm>
    </dsp:sp>
    <dsp:sp modelId="{4311C56D-44EA-49E7-807C-4D39FBA63E2C}">
      <dsp:nvSpPr>
        <dsp:cNvPr id="12" name="右箭头 11"/>
        <dsp:cNvSpPr/>
      </dsp:nvSpPr>
      <dsp:spPr bwMode="white">
        <a:xfrm>
          <a:off x="2575918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2575918" y="301534"/>
        <a:ext cx="81580" cy="95433"/>
      </dsp:txXfrm>
    </dsp:sp>
    <dsp:sp modelId="{679B8A5E-D9E2-4065-8CBD-74F595F08F9D}">
      <dsp:nvSpPr>
        <dsp:cNvPr id="13" name="圆角矩形 12"/>
        <dsp:cNvSpPr/>
      </dsp:nvSpPr>
      <dsp:spPr bwMode="white">
        <a:xfrm>
          <a:off x="2693670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确认事项</a:t>
          </a:r>
          <a:endParaRPr>
            <a:solidFill>
              <a:srgbClr val="000000"/>
            </a:solidFill>
          </a:endParaRPr>
        </a:p>
      </dsp:txBody>
      <dsp:txXfrm>
        <a:off x="2693670" y="141605"/>
        <a:ext cx="384810" cy="415290"/>
      </dsp:txXfrm>
    </dsp:sp>
    <dsp:sp modelId="{9103F61E-0D50-4EA2-9B7A-669CDC10A54E}">
      <dsp:nvSpPr>
        <dsp:cNvPr id="14" name="右箭头 13"/>
        <dsp:cNvSpPr/>
      </dsp:nvSpPr>
      <dsp:spPr bwMode="white">
        <a:xfrm>
          <a:off x="3114652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00"/>
          </a:lvl1pPr>
          <a:lvl2pPr marL="57150" indent="-57150" algn="ctr">
            <a:defRPr sz="400"/>
          </a:lvl2pPr>
          <a:lvl3pPr marL="114300" indent="-57150" algn="ctr">
            <a:defRPr sz="400"/>
          </a:lvl3pPr>
          <a:lvl4pPr marL="171450" indent="-57150" algn="ctr">
            <a:defRPr sz="400"/>
          </a:lvl4pPr>
          <a:lvl5pPr marL="228600" indent="-57150" algn="ctr">
            <a:defRPr sz="400"/>
          </a:lvl5pPr>
          <a:lvl6pPr marL="285750" indent="-57150" algn="ctr">
            <a:defRPr sz="400"/>
          </a:lvl6pPr>
          <a:lvl7pPr marL="342900" indent="-57150" algn="ctr">
            <a:defRPr sz="400"/>
          </a:lvl7pPr>
          <a:lvl8pPr marL="400050" indent="-57150" algn="ctr">
            <a:defRPr sz="400"/>
          </a:lvl8pPr>
          <a:lvl9pPr marL="457200" indent="-57150" algn="ctr">
            <a:defRPr sz="4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zh-CN" altLang="en-US">
            <a:solidFill>
              <a:srgbClr val="000000"/>
            </a:solidFill>
          </a:endParaRPr>
        </a:p>
      </dsp:txBody>
      <dsp:txXfrm>
        <a:off x="3114652" y="301534"/>
        <a:ext cx="81580" cy="95433"/>
      </dsp:txXfrm>
    </dsp:sp>
    <dsp:sp modelId="{256F4DCD-1889-4881-AF14-04170938AD0E}">
      <dsp:nvSpPr>
        <dsp:cNvPr id="15" name="圆角矩形 14"/>
        <dsp:cNvSpPr/>
      </dsp:nvSpPr>
      <dsp:spPr bwMode="white">
        <a:xfrm>
          <a:off x="3232404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阅读承诺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3232404" y="141605"/>
        <a:ext cx="384810" cy="415290"/>
      </dsp:txXfrm>
    </dsp:sp>
    <dsp:sp modelId="{E611ED03-C0EB-4B93-B971-64F138F4CBD1}">
      <dsp:nvSpPr>
        <dsp:cNvPr id="16" name="右箭头 15"/>
        <dsp:cNvSpPr/>
      </dsp:nvSpPr>
      <dsp:spPr bwMode="white">
        <a:xfrm>
          <a:off x="3653386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3653386" y="301534"/>
        <a:ext cx="81580" cy="95433"/>
      </dsp:txXfrm>
    </dsp:sp>
    <dsp:sp modelId="{71581A57-2A92-4A6F-B524-BABA1AA2EBB0}">
      <dsp:nvSpPr>
        <dsp:cNvPr id="17" name="圆角矩形 16"/>
        <dsp:cNvSpPr/>
      </dsp:nvSpPr>
      <dsp:spPr bwMode="white">
        <a:xfrm>
          <a:off x="3771138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人脸核验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3771138" y="141605"/>
        <a:ext cx="384810" cy="415290"/>
      </dsp:txXfrm>
    </dsp:sp>
    <dsp:sp modelId="{6ADA0175-9C5C-4204-968D-14AC9F43E870}">
      <dsp:nvSpPr>
        <dsp:cNvPr id="18" name="右箭头 17"/>
        <dsp:cNvSpPr/>
      </dsp:nvSpPr>
      <dsp:spPr bwMode="white">
        <a:xfrm>
          <a:off x="4192120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4192120" y="301534"/>
        <a:ext cx="81580" cy="95433"/>
      </dsp:txXfrm>
    </dsp:sp>
    <dsp:sp modelId="{2BC11641-21F3-4475-A939-DF92F6F42307}">
      <dsp:nvSpPr>
        <dsp:cNvPr id="19" name="圆角矩形 18"/>
        <dsp:cNvSpPr/>
      </dsp:nvSpPr>
      <dsp:spPr bwMode="white">
        <a:xfrm>
          <a:off x="4309872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等候面试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4309872" y="141605"/>
        <a:ext cx="384810" cy="415290"/>
      </dsp:txXfrm>
    </dsp:sp>
    <dsp:sp modelId="{AED585F8-CA68-49F8-ADA9-0E4765998D63}">
      <dsp:nvSpPr>
        <dsp:cNvPr id="20" name="右箭头 19"/>
        <dsp:cNvSpPr/>
      </dsp:nvSpPr>
      <dsp:spPr bwMode="white">
        <a:xfrm>
          <a:off x="4730854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4730854" y="301534"/>
        <a:ext cx="81580" cy="95433"/>
      </dsp:txXfrm>
    </dsp:sp>
    <dsp:sp modelId="{57F858B9-14A8-44CB-BCFA-82935DBB041A}">
      <dsp:nvSpPr>
        <dsp:cNvPr id="21" name="圆角矩形 20"/>
        <dsp:cNvSpPr/>
      </dsp:nvSpPr>
      <dsp:spPr bwMode="white">
        <a:xfrm>
          <a:off x="4848606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进行面试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4848606" y="141605"/>
        <a:ext cx="384810" cy="415290"/>
      </dsp:txXfrm>
    </dsp:sp>
    <dsp:sp modelId="{88C59751-64D0-4CCA-AAE1-C8CCC0B7AF87}">
      <dsp:nvSpPr>
        <dsp:cNvPr id="22" name="右箭头 21"/>
        <dsp:cNvSpPr/>
      </dsp:nvSpPr>
      <dsp:spPr bwMode="white">
        <a:xfrm>
          <a:off x="5269588" y="301534"/>
          <a:ext cx="81580" cy="95433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rgbClr val="CBDAB5">
            <a:tint val="60000"/>
          </a:srgbClr>
        </a:lnRef>
        <a:fillRef idx="1">
          <a:srgbClr val="CBDAB5">
            <a:tint val="60000"/>
          </a:srgbClr>
        </a:fillRef>
        <a:effectRef idx="0">
          <a:scrgbClr r="0" g="0" b="0"/>
        </a:effectRef>
        <a:fontRef idx="minor">
          <a:srgbClr val="FFFFFF"/>
        </a:fontRef>
      </dsp:style>
      <dsp:txBody>
        <a:bodyPr lIns="0" tIns="0" rIns="0" bIns="0" anchor="ctr"/>
        <a:lstStyle>
          <a:lvl1pPr algn="ctr">
            <a:defRPr sz="5500"/>
          </a:lvl1pPr>
          <a:lvl2pPr marL="285750" indent="-285750" algn="ctr">
            <a:defRPr sz="4200"/>
          </a:lvl2pPr>
          <a:lvl3pPr marL="571500" indent="-285750" algn="ctr">
            <a:defRPr sz="4200"/>
          </a:lvl3pPr>
          <a:lvl4pPr marL="857250" indent="-285750" algn="ctr">
            <a:defRPr sz="4200"/>
          </a:lvl4pPr>
          <a:lvl5pPr marL="1143000" indent="-285750" algn="ctr">
            <a:defRPr sz="4200"/>
          </a:lvl5pPr>
          <a:lvl6pPr marL="1428750" indent="-285750" algn="ctr">
            <a:defRPr sz="4200"/>
          </a:lvl6pPr>
          <a:lvl7pPr marL="1714500" indent="-285750" algn="ctr">
            <a:defRPr sz="4200"/>
          </a:lvl7pPr>
          <a:lvl8pPr marL="2000250" indent="-285750" algn="ctr">
            <a:defRPr sz="4200"/>
          </a:lvl8pPr>
          <a:lvl9pPr marL="2286000" indent="-285750" algn="ctr">
            <a:defRPr sz="42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en-US" sz="50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5269588" y="301534"/>
        <a:ext cx="81580" cy="95433"/>
      </dsp:txXfrm>
    </dsp:sp>
    <dsp:sp modelId="{BE287DBF-DC99-442F-90AE-0B2DA01B1336}">
      <dsp:nvSpPr>
        <dsp:cNvPr id="23" name="圆角矩形 22"/>
        <dsp:cNvSpPr/>
      </dsp:nvSpPr>
      <dsp:spPr bwMode="white">
        <a:xfrm>
          <a:off x="5387340" y="141605"/>
          <a:ext cx="384810" cy="415290"/>
        </a:xfrm>
        <a:prstGeom prst="roundRect">
          <a:avLst>
            <a:gd name="adj" fmla="val 10000"/>
          </a:avLst>
        </a:prstGeom>
      </dsp:spPr>
      <dsp:style>
        <a:lnRef idx="2">
          <a:srgbClr val="8CA950">
            <a:shade val="80000"/>
          </a:srgbClr>
        </a:lnRef>
        <a:fillRef idx="1">
          <a:srgbClr val="FFFFFF"/>
        </a:fillRef>
        <a:effectRef idx="0">
          <a:scrgbClr r="0" g="0" b="0"/>
        </a:effectRef>
        <a:fontRef idx="minor">
          <a:srgbClr val="FFFFFF"/>
        </a:fontRef>
      </dsp:style>
      <dsp:txBody>
        <a:bodyPr lIns="38100" tIns="38100" rIns="38100" bIns="38100" anchor="ctr"/>
        <a:lstStyle>
          <a:lvl1pPr algn="ctr">
            <a:defRPr sz="1000"/>
          </a:lvl1pPr>
          <a:lvl2pPr marL="57150" indent="-57150" algn="ctr">
            <a:defRPr sz="700"/>
          </a:lvl2pPr>
          <a:lvl3pPr marL="114300" indent="-57150" algn="ctr">
            <a:defRPr sz="700"/>
          </a:lvl3pPr>
          <a:lvl4pPr marL="171450" indent="-57150" algn="ctr">
            <a:defRPr sz="700"/>
          </a:lvl4pPr>
          <a:lvl5pPr marL="228600" indent="-57150" algn="ctr">
            <a:defRPr sz="700"/>
          </a:lvl5pPr>
          <a:lvl6pPr marL="285750" indent="-57150" algn="ctr">
            <a:defRPr sz="700"/>
          </a:lvl6pPr>
          <a:lvl7pPr marL="342900" indent="-57150" algn="ctr">
            <a:defRPr sz="700"/>
          </a:lvl7pPr>
          <a:lvl8pPr marL="400050" indent="-57150" algn="ctr">
            <a:defRPr sz="700"/>
          </a:lvl8pPr>
          <a:lvl9pPr marL="457200" indent="-57150" algn="ctr">
            <a:defRPr sz="7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000" baseline="0">
              <a:solidFill>
                <a:srgbClr val="000000"/>
              </a:solidFill>
              <a:latin typeface="微软雅黑" panose="020B0503020204020204" charset="-122"/>
              <a:ea typeface="微软雅黑" panose="020B0503020204020204" charset="-122"/>
            </a:rPr>
            <a:t>面试结束</a:t>
          </a:r>
          <a:endParaRPr lang="en-US" sz="1000" baseline="0">
            <a:solidFill>
              <a:srgbClr val="000000"/>
            </a:solidFill>
            <a:latin typeface="微软雅黑" panose="020B0503020204020204" charset="-122"/>
            <a:ea typeface="微软雅黑" panose="020B0503020204020204" charset="-122"/>
          </a:endParaRPr>
        </a:p>
      </dsp:txBody>
      <dsp:txXfrm>
        <a:off x="5387340" y="141605"/>
        <a:ext cx="384810" cy="41529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true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true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true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#1">
  <dgm:title val=""/>
  <dgm:desc val=""/>
  <dgm:catLst>
    <dgm:cat type="simple" pri="10100"/>
  </dgm:catLst>
  <dgm:scene3d>
    <a:camera prst="orthographicFront"/>
    <a:lightRig rig="threePt" dir="t"/>
  </dgm:scene3d>
  <dgm:styleLbl name="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asst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asst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asst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asst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asst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callout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l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node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node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node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node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parChTrans1D1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2D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parChTrans2D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parChTrans2D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parChTrans2D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revTx">
    <dgm:scene3d>
      <a:camera prst="orthographicFront"/>
      <a:lightRig rig="threePt" dir="t"/>
    </dgm:scene3d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/>
      <a:lightRig rig="threePt" dir="t"/>
    </dgm:scene3d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FFFFFF"/>
      </a:fontRef>
    </dgm:style>
  </dgm:styleLbl>
  <dgm:styleLbl name="solid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ven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rgbClr val="000000"/>
      </a:fontRef>
    </dgm:style>
  </dgm:styleLbl>
</dgm:styleDef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2014-10-30T04:08:00Z</dcterms:created>
  <dc:creator>LUEX</dc:creator>
  <cp:lastModifiedBy>BDA</cp:lastModifiedBy>
  <cp:lastPrinted>2022-07-22T22:29:00Z</cp:lastPrinted>
  <dcterms:modified xsi:type="dcterms:W3CDTF">2022-07-22T14:48:39Z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ICV">
    <vt:lpwstr>790139403C1C4B9F916E149ED0BACF37</vt:lpwstr>
  </property>
</Properties>
</file>