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69" w:rsidRDefault="00CB0869" w:rsidP="00B41B40">
      <w:pPr>
        <w:kinsoku w:val="0"/>
        <w:autoSpaceDE w:val="0"/>
        <w:autoSpaceDN w:val="0"/>
        <w:spacing w:line="560" w:lineRule="exact"/>
        <w:rPr>
          <w:rFonts w:ascii="方正小标宋简体" w:eastAsia="方正小标宋简体" w:hAnsi="宋体" w:cs="宋体" w:hint="eastAsia"/>
          <w:bCs/>
          <w:color w:val="000000" w:themeColor="text1"/>
          <w:sz w:val="44"/>
          <w:szCs w:val="44"/>
        </w:rPr>
      </w:pPr>
    </w:p>
    <w:p w:rsidR="00CB0869" w:rsidRDefault="003B3E90" w:rsidP="00B41B40">
      <w:pPr>
        <w:kinsoku w:val="0"/>
        <w:autoSpaceDE w:val="0"/>
        <w:autoSpaceDN w:val="0"/>
        <w:spacing w:line="560" w:lineRule="exact"/>
        <w:jc w:val="center"/>
        <w:rPr>
          <w:rFonts w:ascii="方正小标宋简体" w:eastAsia="方正小标宋简体" w:hAnsi="宋体" w:cs="宋体"/>
          <w:bCs/>
          <w:color w:val="000000" w:themeColor="text1"/>
          <w:sz w:val="44"/>
          <w:szCs w:val="44"/>
        </w:rPr>
      </w:pPr>
      <w:r>
        <w:rPr>
          <w:rFonts w:ascii="方正小标宋简体" w:eastAsia="方正小标宋简体" w:hAnsi="宋体" w:cs="宋体" w:hint="eastAsia"/>
          <w:bCs/>
          <w:color w:val="000000" w:themeColor="text1"/>
          <w:sz w:val="44"/>
          <w:szCs w:val="44"/>
        </w:rPr>
        <w:t>北京经济技术开发区知识产权行动计划</w:t>
      </w:r>
    </w:p>
    <w:p w:rsidR="00CB0869" w:rsidRDefault="003B3E90" w:rsidP="00B41B40">
      <w:pPr>
        <w:kinsoku w:val="0"/>
        <w:autoSpaceDE w:val="0"/>
        <w:autoSpaceDN w:val="0"/>
        <w:spacing w:line="560" w:lineRule="exact"/>
        <w:jc w:val="center"/>
        <w:rPr>
          <w:rFonts w:ascii="方正小标宋简体" w:eastAsia="方正小标宋简体" w:hAnsi="微软雅黑" w:cs="宋体"/>
          <w:bCs/>
          <w:color w:val="000000" w:themeColor="text1"/>
          <w:sz w:val="44"/>
          <w:szCs w:val="44"/>
        </w:rPr>
      </w:pPr>
      <w:r>
        <w:rPr>
          <w:rFonts w:ascii="方正小标宋简体" w:eastAsia="方正小标宋简体" w:hAnsi="微软雅黑" w:cs="宋体" w:hint="eastAsia"/>
          <w:bCs/>
          <w:color w:val="000000" w:themeColor="text1"/>
          <w:sz w:val="44"/>
          <w:szCs w:val="44"/>
        </w:rPr>
        <w:t>（2021-20</w:t>
      </w:r>
      <w:bookmarkStart w:id="0" w:name="_GoBack"/>
      <w:bookmarkEnd w:id="0"/>
      <w:r>
        <w:rPr>
          <w:rFonts w:ascii="方正小标宋简体" w:eastAsia="方正小标宋简体" w:hAnsi="微软雅黑" w:cs="宋体" w:hint="eastAsia"/>
          <w:bCs/>
          <w:color w:val="000000" w:themeColor="text1"/>
          <w:sz w:val="44"/>
          <w:szCs w:val="44"/>
        </w:rPr>
        <w:t>23）</w:t>
      </w:r>
    </w:p>
    <w:p w:rsidR="00CB0869" w:rsidRDefault="00CB0869" w:rsidP="00B41B40">
      <w:pPr>
        <w:kinsoku w:val="0"/>
        <w:autoSpaceDE w:val="0"/>
        <w:autoSpaceDN w:val="0"/>
        <w:spacing w:line="560" w:lineRule="exact"/>
        <w:rPr>
          <w:rFonts w:ascii="仿宋_GB2312" w:eastAsia="仿宋_GB2312" w:hAnsi="宋体"/>
          <w:sz w:val="32"/>
          <w:szCs w:val="32"/>
        </w:rPr>
      </w:pPr>
    </w:p>
    <w:p w:rsidR="00CB0869" w:rsidRDefault="003B3E90" w:rsidP="00BB4007">
      <w:pPr>
        <w:kinsoku w:val="0"/>
        <w:autoSpaceDE w:val="0"/>
        <w:autoSpaceDN w:val="0"/>
        <w:spacing w:line="560" w:lineRule="exact"/>
        <w:ind w:rightChars="-41" w:right="-86" w:firstLine="556"/>
        <w:jc w:val="left"/>
        <w:rPr>
          <w:rFonts w:ascii="仿宋_GB2312" w:eastAsia="仿宋_GB2312" w:hAnsi="宋体"/>
          <w:sz w:val="32"/>
          <w:szCs w:val="32"/>
        </w:rPr>
      </w:pPr>
      <w:r>
        <w:rPr>
          <w:rFonts w:ascii="仿宋_GB2312" w:eastAsia="仿宋_GB2312" w:hAnsi="宋体" w:hint="eastAsia"/>
          <w:sz w:val="32"/>
          <w:szCs w:val="32"/>
        </w:rPr>
        <w:t>为深入实施国家知识产权战略，贯彻落实《国务院关于新形势下加快知识产权强国建设的若干意见》《北京市人民政府关于加快知识产权首善之区建设的实施意见》以及《北京市人民政府关于加快推进北京经济技术开发区和亦庄新城高质量发展的实施意见》，北京经济技术开发区管理</w:t>
      </w:r>
      <w:r>
        <w:rPr>
          <w:rFonts w:ascii="仿宋_GB2312" w:eastAsia="仿宋_GB2312" w:hAnsi="宋体"/>
          <w:sz w:val="32"/>
          <w:szCs w:val="32"/>
        </w:rPr>
        <w:t>委员会</w:t>
      </w:r>
      <w:r>
        <w:rPr>
          <w:rFonts w:ascii="仿宋_GB2312" w:eastAsia="仿宋_GB2312" w:hAnsi="宋体" w:hint="eastAsia"/>
          <w:sz w:val="32"/>
          <w:szCs w:val="32"/>
        </w:rPr>
        <w:t>和北京市知识产权局紧紧围绕经开</w:t>
      </w:r>
      <w:proofErr w:type="gramStart"/>
      <w:r>
        <w:rPr>
          <w:rFonts w:ascii="仿宋_GB2312" w:eastAsia="仿宋_GB2312" w:hAnsi="宋体" w:hint="eastAsia"/>
          <w:sz w:val="32"/>
          <w:szCs w:val="32"/>
        </w:rPr>
        <w:t>区特色</w:t>
      </w:r>
      <w:proofErr w:type="gramEnd"/>
      <w:r>
        <w:rPr>
          <w:rFonts w:ascii="仿宋_GB2312" w:eastAsia="仿宋_GB2312" w:hAnsi="宋体"/>
          <w:sz w:val="32"/>
          <w:szCs w:val="32"/>
        </w:rPr>
        <w:t>和发展定位，</w:t>
      </w:r>
      <w:r>
        <w:rPr>
          <w:rFonts w:ascii="仿宋_GB2312" w:eastAsia="仿宋_GB2312" w:hAnsi="宋体" w:hint="eastAsia"/>
          <w:sz w:val="32"/>
          <w:szCs w:val="32"/>
        </w:rPr>
        <w:t>以进一步提升企业自主创新能力、加强知识产权对高精尖产业的支撑作用、推动知识产权成果转化运用、营造良好的知识产权保护环境为</w:t>
      </w:r>
      <w:r>
        <w:rPr>
          <w:rFonts w:ascii="仿宋_GB2312" w:eastAsia="仿宋_GB2312" w:hAnsi="宋体"/>
          <w:sz w:val="32"/>
          <w:szCs w:val="32"/>
        </w:rPr>
        <w:t>主要目标</w:t>
      </w:r>
      <w:r>
        <w:rPr>
          <w:rFonts w:ascii="仿宋_GB2312" w:eastAsia="仿宋_GB2312" w:hAnsi="宋体" w:hint="eastAsia"/>
          <w:sz w:val="32"/>
          <w:szCs w:val="32"/>
        </w:rPr>
        <w:t>，进一步深化</w:t>
      </w:r>
      <w:r>
        <w:rPr>
          <w:rFonts w:ascii="仿宋_GB2312" w:eastAsia="仿宋_GB2312" w:hAnsi="宋体"/>
          <w:sz w:val="32"/>
          <w:szCs w:val="32"/>
        </w:rPr>
        <w:t>落实《</w:t>
      </w:r>
      <w:r>
        <w:rPr>
          <w:rFonts w:ascii="仿宋_GB2312" w:eastAsia="仿宋_GB2312" w:hAnsi="宋体" w:hint="eastAsia"/>
          <w:sz w:val="32"/>
          <w:szCs w:val="32"/>
        </w:rPr>
        <w:t>“三城一区”知识产权行动方案（</w:t>
      </w:r>
      <w:r>
        <w:rPr>
          <w:rFonts w:ascii="仿宋_GB2312" w:eastAsia="仿宋_GB2312" w:hAnsi="宋体"/>
          <w:sz w:val="32"/>
          <w:szCs w:val="32"/>
        </w:rPr>
        <w:t>2020-2022年）》，</w:t>
      </w:r>
      <w:r>
        <w:rPr>
          <w:rFonts w:ascii="仿宋_GB2312" w:eastAsia="仿宋_GB2312" w:hAnsi="宋体" w:hint="eastAsia"/>
          <w:sz w:val="32"/>
          <w:szCs w:val="32"/>
        </w:rPr>
        <w:t>制定本行动计划。</w:t>
      </w:r>
    </w:p>
    <w:p w:rsidR="00CB0869" w:rsidRDefault="003B3E90" w:rsidP="00B41B40">
      <w:pPr>
        <w:kinsoku w:val="0"/>
        <w:autoSpaceDE w:val="0"/>
        <w:autoSpaceDN w:val="0"/>
        <w:spacing w:line="560" w:lineRule="exact"/>
        <w:ind w:firstLine="556"/>
        <w:jc w:val="left"/>
        <w:rPr>
          <w:rFonts w:ascii="黑体" w:eastAsia="黑体" w:hAnsi="黑体"/>
          <w:bCs/>
          <w:sz w:val="32"/>
          <w:szCs w:val="32"/>
        </w:rPr>
      </w:pPr>
      <w:r>
        <w:rPr>
          <w:rFonts w:ascii="黑体" w:eastAsia="黑体" w:hAnsi="黑体" w:hint="eastAsia"/>
          <w:bCs/>
          <w:sz w:val="32"/>
          <w:szCs w:val="32"/>
        </w:rPr>
        <w:t>一、指导思想</w:t>
      </w:r>
    </w:p>
    <w:p w:rsidR="00CB0869" w:rsidRPr="00E71226" w:rsidRDefault="003B3E90" w:rsidP="000558B3">
      <w:pPr>
        <w:kinsoku w:val="0"/>
        <w:autoSpaceDE w:val="0"/>
        <w:autoSpaceDN w:val="0"/>
        <w:spacing w:line="560" w:lineRule="exact"/>
        <w:ind w:firstLine="556"/>
        <w:jc w:val="left"/>
        <w:rPr>
          <w:rFonts w:ascii="仿宋_GB2312" w:eastAsia="仿宋_GB2312" w:hAnsi="宋体"/>
          <w:color w:val="000000" w:themeColor="text1"/>
          <w:sz w:val="32"/>
          <w:szCs w:val="32"/>
        </w:rPr>
      </w:pPr>
      <w:r>
        <w:rPr>
          <w:rFonts w:ascii="仿宋_GB2312" w:eastAsia="仿宋_GB2312" w:hAnsi="宋体" w:hint="eastAsia"/>
          <w:sz w:val="32"/>
          <w:szCs w:val="32"/>
        </w:rPr>
        <w:t>以习近平新时代中国特色社会主义思想为指导，全面贯彻党</w:t>
      </w:r>
      <w:r>
        <w:rPr>
          <w:rFonts w:ascii="仿宋_GB2312" w:eastAsia="仿宋_GB2312" w:hAnsi="宋体" w:hint="eastAsia"/>
          <w:color w:val="000000" w:themeColor="text1"/>
          <w:sz w:val="32"/>
          <w:szCs w:val="32"/>
        </w:rPr>
        <w:t>的十九大和十九届二中、三中、四中、五中全会精神，认真落实党中央、国务院关于加强知识产权保护的决策部署，全面加强知识产权保护工作，激发</w:t>
      </w:r>
      <w:r>
        <w:rPr>
          <w:rFonts w:ascii="仿宋_GB2312" w:eastAsia="仿宋_GB2312" w:hAnsi="宋体"/>
          <w:color w:val="000000" w:themeColor="text1"/>
          <w:sz w:val="32"/>
          <w:szCs w:val="32"/>
        </w:rPr>
        <w:t>创新活力推动构建新发展格局，</w:t>
      </w:r>
      <w:r>
        <w:rPr>
          <w:rFonts w:ascii="仿宋_GB2312" w:eastAsia="仿宋_GB2312" w:hAnsi="宋体" w:hint="eastAsia"/>
          <w:color w:val="000000" w:themeColor="text1"/>
          <w:sz w:val="32"/>
          <w:szCs w:val="32"/>
        </w:rPr>
        <w:t>紧紧围绕北京市确定的经开区“四区一阵地”的战略定位，全面实施国家和首都知识产权战略，以知识产权示范园区建设为契机，以知识产</w:t>
      </w:r>
      <w:r w:rsidR="000558B3">
        <w:rPr>
          <w:rFonts w:ascii="仿宋_GB2312" w:eastAsia="仿宋_GB2312" w:hAnsi="宋体" w:hint="eastAsia"/>
          <w:color w:val="000000" w:themeColor="text1"/>
          <w:sz w:val="32"/>
          <w:szCs w:val="32"/>
        </w:rPr>
        <w:t>权推动产业发展为主线，加快建立与三大科学城知识产权运营对接机制</w:t>
      </w:r>
      <w:r>
        <w:rPr>
          <w:rFonts w:ascii="仿宋_GB2312" w:eastAsia="仿宋_GB2312" w:hAnsi="宋体" w:hint="eastAsia"/>
          <w:color w:val="000000" w:themeColor="text1"/>
          <w:sz w:val="32"/>
          <w:szCs w:val="32"/>
        </w:rPr>
        <w:t>，</w:t>
      </w:r>
      <w:r w:rsidR="000558B3">
        <w:rPr>
          <w:rFonts w:ascii="仿宋_GB2312" w:eastAsia="仿宋_GB2312" w:hAnsi="宋体" w:hint="eastAsia"/>
          <w:color w:val="000000" w:themeColor="text1"/>
          <w:sz w:val="32"/>
          <w:szCs w:val="32"/>
        </w:rPr>
        <w:t>打造技术创新和成果转化示范区，</w:t>
      </w:r>
      <w:r>
        <w:rPr>
          <w:rFonts w:ascii="仿宋_GB2312" w:eastAsia="仿宋_GB2312" w:hAnsi="Arial" w:cs="Arial" w:hint="eastAsia"/>
          <w:color w:val="000000" w:themeColor="text1"/>
          <w:sz w:val="32"/>
          <w:szCs w:val="32"/>
        </w:rPr>
        <w:t>打通知识产权创造、运用、保护、管理、服务全链条，</w:t>
      </w:r>
      <w:r>
        <w:rPr>
          <w:rFonts w:ascii="仿宋_GB2312" w:eastAsia="仿宋_GB2312" w:hAnsi="宋体" w:hint="eastAsia"/>
          <w:color w:val="000000" w:themeColor="text1"/>
          <w:sz w:val="32"/>
          <w:szCs w:val="32"/>
        </w:rPr>
        <w:t>有力促进经开区高质量发展。</w:t>
      </w:r>
    </w:p>
    <w:p w:rsidR="00CB0869" w:rsidRDefault="003B3E90" w:rsidP="00B41B40">
      <w:pPr>
        <w:kinsoku w:val="0"/>
        <w:autoSpaceDE w:val="0"/>
        <w:autoSpaceDN w:val="0"/>
        <w:spacing w:line="560" w:lineRule="exact"/>
        <w:jc w:val="left"/>
        <w:rPr>
          <w:rFonts w:ascii="黑体" w:eastAsia="黑体" w:hAnsi="黑体"/>
          <w:bCs/>
          <w:sz w:val="32"/>
          <w:szCs w:val="32"/>
        </w:rPr>
      </w:pPr>
      <w:r>
        <w:rPr>
          <w:rFonts w:ascii="黑体" w:eastAsia="黑体" w:hAnsi="黑体" w:hint="eastAsia"/>
          <w:bCs/>
          <w:sz w:val="32"/>
          <w:szCs w:val="32"/>
        </w:rPr>
        <w:t xml:space="preserve">    二、工作目标</w:t>
      </w:r>
    </w:p>
    <w:p w:rsidR="00CB0869" w:rsidRDefault="003B3E90" w:rsidP="00BB4007">
      <w:pPr>
        <w:kinsoku w:val="0"/>
        <w:autoSpaceDE w:val="0"/>
        <w:autoSpaceDN w:val="0"/>
        <w:spacing w:line="560" w:lineRule="exact"/>
        <w:ind w:rightChars="-13" w:right="-27" w:firstLine="556"/>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到</w:t>
      </w:r>
      <w:r>
        <w:rPr>
          <w:rFonts w:ascii="仿宋_GB2312" w:eastAsia="仿宋_GB2312" w:hAnsi="宋体"/>
          <w:color w:val="000000" w:themeColor="text1"/>
          <w:sz w:val="32"/>
          <w:szCs w:val="32"/>
        </w:rPr>
        <w:t>2023</w:t>
      </w:r>
      <w:r>
        <w:rPr>
          <w:rFonts w:ascii="仿宋_GB2312" w:eastAsia="仿宋_GB2312" w:hAnsi="宋体" w:hint="eastAsia"/>
          <w:color w:val="000000" w:themeColor="text1"/>
          <w:sz w:val="32"/>
          <w:szCs w:val="32"/>
        </w:rPr>
        <w:t>年，围绕经开区总体发展战略，大力推进经开区知识产权创新发展，提升经开区知识产权创造、运用、保护、管理和服务整体水平。建立知识产权运营服务平台，培养一批具有丰富知识产权运营经验的人才队伍，</w:t>
      </w:r>
      <w:r>
        <w:rPr>
          <w:rFonts w:ascii="仿宋_GB2312" w:eastAsia="仿宋_GB2312" w:hAnsi="宋体" w:cs="宋体" w:hint="eastAsia"/>
          <w:color w:val="000000" w:themeColor="text1"/>
          <w:kern w:val="0"/>
          <w:sz w:val="32"/>
          <w:szCs w:val="32"/>
        </w:rPr>
        <w:t>打造驰名全球的商标品牌优势企业</w:t>
      </w:r>
      <w:r>
        <w:rPr>
          <w:rFonts w:ascii="仿宋_GB2312" w:eastAsia="仿宋_GB2312" w:hAnsi="宋体" w:hint="eastAsia"/>
          <w:color w:val="000000" w:themeColor="text1"/>
          <w:sz w:val="32"/>
          <w:szCs w:val="32"/>
        </w:rPr>
        <w:t>和知识产权示范、优势企业，用</w:t>
      </w:r>
      <w:r>
        <w:rPr>
          <w:rFonts w:ascii="仿宋_GB2312" w:eastAsia="仿宋_GB2312" w:hAnsi="宋体"/>
          <w:color w:val="000000" w:themeColor="text1"/>
          <w:sz w:val="32"/>
          <w:szCs w:val="32"/>
        </w:rPr>
        <w:t>科技创新</w:t>
      </w:r>
      <w:r>
        <w:rPr>
          <w:rFonts w:ascii="仿宋_GB2312" w:eastAsia="仿宋_GB2312" w:hAnsi="fzbiaoysk" w:cs="宋体" w:hint="eastAsia"/>
          <w:color w:val="000000" w:themeColor="text1"/>
          <w:spacing w:val="14"/>
          <w:kern w:val="0"/>
          <w:sz w:val="32"/>
          <w:szCs w:val="32"/>
        </w:rPr>
        <w:t>培育新产业新</w:t>
      </w:r>
      <w:proofErr w:type="gramStart"/>
      <w:r>
        <w:rPr>
          <w:rFonts w:ascii="仿宋_GB2312" w:eastAsia="仿宋_GB2312" w:hAnsi="fzbiaoysk" w:cs="宋体" w:hint="eastAsia"/>
          <w:color w:val="000000" w:themeColor="text1"/>
          <w:spacing w:val="14"/>
          <w:kern w:val="0"/>
          <w:sz w:val="32"/>
          <w:szCs w:val="32"/>
        </w:rPr>
        <w:t>业态新模式</w:t>
      </w:r>
      <w:proofErr w:type="gramEnd"/>
      <w:r>
        <w:rPr>
          <w:rFonts w:ascii="仿宋_GB2312" w:eastAsia="仿宋_GB2312" w:hAnsi="fzbiaoysk" w:cs="宋体" w:hint="eastAsia"/>
          <w:color w:val="000000" w:themeColor="text1"/>
          <w:spacing w:val="14"/>
          <w:kern w:val="0"/>
          <w:sz w:val="32"/>
          <w:szCs w:val="32"/>
        </w:rPr>
        <w:t>，提高经开区经济质量效益和核心竞争力。</w:t>
      </w:r>
      <w:r>
        <w:rPr>
          <w:rFonts w:ascii="仿宋_GB2312" w:eastAsia="仿宋_GB2312" w:hAnsi="宋体" w:hint="eastAsia"/>
          <w:color w:val="000000" w:themeColor="text1"/>
          <w:sz w:val="32"/>
          <w:szCs w:val="32"/>
        </w:rPr>
        <w:t>推进</w:t>
      </w:r>
      <w:r>
        <w:rPr>
          <w:rFonts w:ascii="仿宋_GB2312" w:eastAsia="仿宋_GB2312" w:hAnsi="宋体"/>
          <w:color w:val="000000" w:themeColor="text1"/>
          <w:sz w:val="32"/>
          <w:szCs w:val="32"/>
        </w:rPr>
        <w:t>国际科技创新中心建设</w:t>
      </w:r>
      <w:r>
        <w:rPr>
          <w:rFonts w:ascii="仿宋_GB2312" w:eastAsia="仿宋_GB2312" w:hAnsi="宋体" w:hint="eastAsia"/>
          <w:color w:val="000000" w:themeColor="text1"/>
          <w:sz w:val="32"/>
          <w:szCs w:val="32"/>
        </w:rPr>
        <w:t>，在知识产权促进高质量</w:t>
      </w:r>
      <w:r>
        <w:rPr>
          <w:rFonts w:ascii="仿宋_GB2312" w:eastAsia="仿宋_GB2312" w:hAnsi="宋体"/>
          <w:color w:val="000000" w:themeColor="text1"/>
          <w:sz w:val="32"/>
          <w:szCs w:val="32"/>
        </w:rPr>
        <w:t>发展</w:t>
      </w:r>
      <w:r>
        <w:rPr>
          <w:rFonts w:ascii="仿宋_GB2312" w:eastAsia="仿宋_GB2312" w:hAnsi="宋体" w:hint="eastAsia"/>
          <w:color w:val="000000" w:themeColor="text1"/>
          <w:sz w:val="32"/>
          <w:szCs w:val="32"/>
        </w:rPr>
        <w:t>工作中发挥示范引领作用。</w:t>
      </w:r>
    </w:p>
    <w:p w:rsidR="00CB0869" w:rsidRDefault="003B3E90" w:rsidP="0063611D">
      <w:pPr>
        <w:kinsoku w:val="0"/>
        <w:autoSpaceDE w:val="0"/>
        <w:autoSpaceDN w:val="0"/>
        <w:spacing w:line="560" w:lineRule="exact"/>
        <w:ind w:firstLine="556"/>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到2023年，经开</w:t>
      </w:r>
      <w:proofErr w:type="gramStart"/>
      <w:r>
        <w:rPr>
          <w:rFonts w:ascii="仿宋_GB2312" w:eastAsia="仿宋_GB2312" w:hAnsi="宋体" w:hint="eastAsia"/>
          <w:color w:val="000000" w:themeColor="text1"/>
          <w:sz w:val="32"/>
          <w:szCs w:val="32"/>
        </w:rPr>
        <w:t>区有效</w:t>
      </w:r>
      <w:proofErr w:type="gramEnd"/>
      <w:r>
        <w:rPr>
          <w:rFonts w:ascii="仿宋_GB2312" w:eastAsia="仿宋_GB2312" w:hAnsi="宋体" w:hint="eastAsia"/>
          <w:color w:val="000000" w:themeColor="text1"/>
          <w:sz w:val="32"/>
          <w:szCs w:val="32"/>
        </w:rPr>
        <w:t>发明专利拥有量超过10000件，万人发明专利拥有量达到500件以上，年度PCT专利申请量达到2</w:t>
      </w:r>
      <w:r w:rsidR="0023338D">
        <w:rPr>
          <w:rFonts w:ascii="仿宋_GB2312" w:eastAsia="仿宋_GB2312" w:hAnsi="宋体" w:hint="eastAsia"/>
          <w:color w:val="000000" w:themeColor="text1"/>
          <w:sz w:val="32"/>
          <w:szCs w:val="32"/>
        </w:rPr>
        <w:t>5</w:t>
      </w:r>
      <w:r>
        <w:rPr>
          <w:rFonts w:ascii="仿宋_GB2312" w:eastAsia="仿宋_GB2312" w:hAnsi="宋体" w:hint="eastAsia"/>
          <w:color w:val="000000" w:themeColor="text1"/>
          <w:sz w:val="32"/>
          <w:szCs w:val="32"/>
        </w:rPr>
        <w:t>00件（</w:t>
      </w:r>
      <w:proofErr w:type="gramStart"/>
      <w:r>
        <w:rPr>
          <w:rFonts w:ascii="仿宋_GB2312" w:eastAsia="仿宋_GB2312" w:hAnsi="宋体" w:hint="eastAsia"/>
          <w:color w:val="000000" w:themeColor="text1"/>
          <w:sz w:val="32"/>
          <w:szCs w:val="32"/>
        </w:rPr>
        <w:t>含京东方</w:t>
      </w:r>
      <w:proofErr w:type="gramEnd"/>
      <w:r>
        <w:rPr>
          <w:rFonts w:ascii="仿宋_GB2312" w:eastAsia="仿宋_GB2312" w:hAnsi="宋体" w:hint="eastAsia"/>
          <w:color w:val="000000" w:themeColor="text1"/>
          <w:sz w:val="32"/>
          <w:szCs w:val="32"/>
        </w:rPr>
        <w:t>），北京市知识产权示范企业达到70家</w:t>
      </w:r>
      <w:r w:rsidR="004C039D">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新引入</w:t>
      </w:r>
      <w:r w:rsidR="0063611D">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5-10家知识产权服务机构或组织，开展企业知识产权培训10000人次。</w:t>
      </w:r>
    </w:p>
    <w:p w:rsidR="00CB0869" w:rsidRDefault="003B3E90" w:rsidP="00B41B40">
      <w:pPr>
        <w:kinsoku w:val="0"/>
        <w:autoSpaceDE w:val="0"/>
        <w:autoSpaceDN w:val="0"/>
        <w:spacing w:line="560" w:lineRule="exact"/>
        <w:ind w:firstLine="556"/>
        <w:jc w:val="left"/>
        <w:rPr>
          <w:rFonts w:ascii="黑体" w:eastAsia="黑体" w:hAnsi="黑体"/>
          <w:bCs/>
          <w:sz w:val="32"/>
          <w:szCs w:val="32"/>
        </w:rPr>
      </w:pPr>
      <w:r>
        <w:rPr>
          <w:rFonts w:ascii="黑体" w:eastAsia="黑体" w:hAnsi="黑体" w:hint="eastAsia"/>
          <w:bCs/>
          <w:sz w:val="32"/>
          <w:szCs w:val="32"/>
        </w:rPr>
        <w:t>三、主要任务</w:t>
      </w:r>
    </w:p>
    <w:p w:rsidR="00CB0869" w:rsidRDefault="003B3E90" w:rsidP="00B41B40">
      <w:pPr>
        <w:tabs>
          <w:tab w:val="left" w:pos="3828"/>
        </w:tabs>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（一）构建公共政策服务体系，完善知识产权工作机制</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1.完善知识产权政策体系</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proofErr w:type="gramStart"/>
      <w:r>
        <w:rPr>
          <w:rFonts w:ascii="仿宋_GB2312" w:eastAsia="仿宋_GB2312" w:hAnsi="宋体" w:hint="eastAsia"/>
          <w:sz w:val="32"/>
          <w:szCs w:val="32"/>
        </w:rPr>
        <w:t>完善经</w:t>
      </w:r>
      <w:proofErr w:type="gramEnd"/>
      <w:r>
        <w:rPr>
          <w:rFonts w:ascii="仿宋_GB2312" w:eastAsia="仿宋_GB2312" w:hAnsi="宋体" w:hint="eastAsia"/>
          <w:sz w:val="32"/>
          <w:szCs w:val="32"/>
        </w:rPr>
        <w:t>开区知识产权政策体系，出台知识产权促进创新发展支持政策。重点在提升创新主体的知识产权水平、构建知识产权转化运用支撑体系、加强重点产业知识产权布局规划、构建良好的营商环境、引进高端知识产权服务机构和对外交流合作等方面加大政策力度，提升区域核心竞争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2.建立知识产权公共服务体系</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深化知识产权“放管服”改革，建立任务明确、责任落实、运转有序、高效便捷的知识产权公共服务体系，在符合条件的产业园、创业园、科技孵化器、</w:t>
      </w:r>
      <w:proofErr w:type="gramStart"/>
      <w:r>
        <w:rPr>
          <w:rFonts w:ascii="仿宋_GB2312" w:eastAsia="仿宋_GB2312" w:hAnsi="宋体" w:hint="eastAsia"/>
          <w:sz w:val="32"/>
          <w:szCs w:val="32"/>
        </w:rPr>
        <w:t>众创空间</w:t>
      </w:r>
      <w:proofErr w:type="gramEnd"/>
      <w:r>
        <w:rPr>
          <w:rFonts w:ascii="仿宋_GB2312" w:eastAsia="仿宋_GB2312" w:hAnsi="宋体" w:hint="eastAsia"/>
          <w:sz w:val="32"/>
          <w:szCs w:val="32"/>
        </w:rPr>
        <w:t>等创新创业载体，由市、区知识产权</w:t>
      </w:r>
      <w:r>
        <w:rPr>
          <w:rFonts w:ascii="仿宋_GB2312" w:eastAsia="仿宋_GB2312" w:hAnsi="宋体"/>
          <w:sz w:val="32"/>
          <w:szCs w:val="32"/>
        </w:rPr>
        <w:t>管理部门</w:t>
      </w:r>
      <w:r>
        <w:rPr>
          <w:rFonts w:ascii="仿宋_GB2312" w:eastAsia="仿宋_GB2312" w:hAnsi="宋体" w:hint="eastAsia"/>
          <w:sz w:val="32"/>
          <w:szCs w:val="32"/>
        </w:rPr>
        <w:t>及创新创业载体三方共建知识产权服务工作</w:t>
      </w:r>
      <w:r>
        <w:rPr>
          <w:rFonts w:ascii="仿宋_GB2312" w:eastAsia="仿宋_GB2312" w:hAnsi="宋体" w:hint="eastAsia"/>
          <w:sz w:val="32"/>
          <w:szCs w:val="32"/>
        </w:rPr>
        <w:lastRenderedPageBreak/>
        <w:t>站和联络点，为创新创业主体提供知识产权创造、运用、保护、管理和服务全链条运转有序、高效便捷的知识产权</w:t>
      </w:r>
      <w:r>
        <w:rPr>
          <w:rFonts w:ascii="仿宋_GB2312" w:eastAsia="仿宋_GB2312" w:hAnsi="宋体"/>
          <w:sz w:val="32"/>
          <w:szCs w:val="32"/>
        </w:rPr>
        <w:t>公共服务</w:t>
      </w:r>
      <w:r>
        <w:rPr>
          <w:rFonts w:ascii="仿宋_GB2312" w:eastAsia="仿宋_GB2312" w:hAnsi="宋体" w:hint="eastAsia"/>
          <w:sz w:val="32"/>
          <w:szCs w:val="32"/>
        </w:rPr>
        <w:t>，帮助企业增强知识产权保护意识、提高知识产权综合能力。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3.建立知识产权数据动态监测机制</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定期编制发布知识产权统计报告，及时掌握经开区知识产权动态变化及企业知识产权创新发展趋势，为制定和调整相关政策提供支持，同时为企业掌握产业发展水平提供指引。</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建立</w:t>
      </w:r>
      <w:r>
        <w:rPr>
          <w:rFonts w:ascii="仿宋_GB2312" w:eastAsia="仿宋_GB2312" w:hAnsi="宋体"/>
          <w:sz w:val="32"/>
          <w:szCs w:val="32"/>
        </w:rPr>
        <w:t>审查</w:t>
      </w:r>
      <w:proofErr w:type="gramStart"/>
      <w:r>
        <w:rPr>
          <w:rFonts w:ascii="仿宋_GB2312" w:eastAsia="仿宋_GB2312" w:hAnsi="宋体"/>
          <w:sz w:val="32"/>
          <w:szCs w:val="32"/>
        </w:rPr>
        <w:t>员实践</w:t>
      </w:r>
      <w:proofErr w:type="gramEnd"/>
      <w:r>
        <w:rPr>
          <w:rFonts w:ascii="仿宋_GB2312" w:eastAsia="仿宋_GB2312" w:hAnsi="宋体"/>
          <w:sz w:val="32"/>
          <w:szCs w:val="32"/>
        </w:rPr>
        <w:t>基地</w:t>
      </w:r>
      <w:r>
        <w:rPr>
          <w:rFonts w:ascii="仿宋_GB2312" w:eastAsia="仿宋_GB2312" w:hAnsi="宋体" w:hint="eastAsia"/>
          <w:sz w:val="32"/>
          <w:szCs w:val="32"/>
        </w:rPr>
        <w:t>长效机制</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sz w:val="32"/>
          <w:szCs w:val="32"/>
        </w:rPr>
        <w:t>扩大国家知识产权局北京（中关村）审查</w:t>
      </w:r>
      <w:proofErr w:type="gramStart"/>
      <w:r>
        <w:rPr>
          <w:rFonts w:ascii="仿宋_GB2312" w:eastAsia="仿宋_GB2312" w:hAnsi="宋体"/>
          <w:sz w:val="32"/>
          <w:szCs w:val="32"/>
        </w:rPr>
        <w:t>员实践</w:t>
      </w:r>
      <w:proofErr w:type="gramEnd"/>
      <w:r>
        <w:rPr>
          <w:rFonts w:ascii="仿宋_GB2312" w:eastAsia="仿宋_GB2312" w:hAnsi="宋体"/>
          <w:sz w:val="32"/>
          <w:szCs w:val="32"/>
        </w:rPr>
        <w:t>基地辐射范围和服务规模，建立国家知识产权局商标品牌调研联系点，</w:t>
      </w:r>
      <w:r>
        <w:rPr>
          <w:rFonts w:ascii="仿宋_GB2312" w:eastAsia="仿宋_GB2312" w:hAnsi="宋体" w:hint="eastAsia"/>
          <w:sz w:val="32"/>
          <w:szCs w:val="32"/>
        </w:rPr>
        <w:t>通过</w:t>
      </w:r>
      <w:r>
        <w:rPr>
          <w:rFonts w:ascii="仿宋_GB2312" w:eastAsia="仿宋_GB2312" w:hAnsi="宋体"/>
          <w:sz w:val="32"/>
          <w:szCs w:val="32"/>
        </w:rPr>
        <w:t>审查</w:t>
      </w:r>
      <w:r>
        <w:rPr>
          <w:rFonts w:ascii="仿宋_GB2312" w:eastAsia="仿宋_GB2312" w:hAnsi="宋体" w:hint="eastAsia"/>
          <w:sz w:val="32"/>
          <w:szCs w:val="32"/>
        </w:rPr>
        <w:t>专</w:t>
      </w:r>
      <w:r>
        <w:rPr>
          <w:rFonts w:ascii="仿宋_GB2312" w:eastAsia="仿宋_GB2312" w:hAnsi="宋体"/>
          <w:sz w:val="32"/>
          <w:szCs w:val="32"/>
        </w:rPr>
        <w:t>家到经开区企业挂职工作等方式，指导企业提高专利质量，协调解决企业商标注册和管理中的问题，推进企业商标品牌战略实施。</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5.建立专利审查绿色通道联系机制</w:t>
      </w:r>
    </w:p>
    <w:p w:rsidR="00CB0869" w:rsidRDefault="00CE02E9"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探索建立北京市知识产权保护中心经开区分中心，</w:t>
      </w:r>
      <w:r w:rsidR="003B3E90">
        <w:rPr>
          <w:rFonts w:ascii="仿宋_GB2312" w:eastAsia="仿宋_GB2312" w:hAnsi="宋体" w:hint="eastAsia"/>
          <w:sz w:val="32"/>
          <w:szCs w:val="32"/>
        </w:rPr>
        <w:t>充分利用专利审查绿色通道，在专利预审、专利优先审查等方面提供工作指导，根据实际需求试行现场办公、集中办理、政策宣讲等绿色通道服务，加快经开区企业专利授权进程。</w:t>
      </w:r>
    </w:p>
    <w:p w:rsidR="00CB0869" w:rsidRDefault="003B3E90" w:rsidP="00B41B40">
      <w:pPr>
        <w:kinsoku w:val="0"/>
        <w:autoSpaceDE w:val="0"/>
        <w:autoSpaceDN w:val="0"/>
        <w:spacing w:line="560" w:lineRule="exact"/>
        <w:ind w:firstLine="556"/>
        <w:jc w:val="left"/>
        <w:rPr>
          <w:rFonts w:ascii="楷体" w:eastAsia="楷体" w:hAnsi="楷体"/>
          <w:bCs/>
          <w:sz w:val="32"/>
          <w:szCs w:val="32"/>
        </w:rPr>
      </w:pPr>
      <w:bookmarkStart w:id="1" w:name="_Toc2837"/>
      <w:r>
        <w:rPr>
          <w:rFonts w:ascii="Times New Roman" w:eastAsia="楷体_GB2312" w:hAnsi="Times New Roman" w:cs="Times New Roman" w:hint="eastAsia"/>
          <w:bCs/>
          <w:sz w:val="32"/>
          <w:szCs w:val="32"/>
        </w:rPr>
        <w:t>（二）加强自主创新能力建设，提升创新主体知识产权</w:t>
      </w:r>
      <w:r>
        <w:rPr>
          <w:rFonts w:ascii="楷体" w:eastAsia="楷体" w:hAnsi="楷体" w:hint="eastAsia"/>
          <w:bCs/>
          <w:sz w:val="32"/>
          <w:szCs w:val="32"/>
        </w:rPr>
        <w:t>水平</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6.推进企业高价值专利培育</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推进高价值专利培育工作，提高专利布局水平，提升企业核心知识产权全球竞争力，提升发明专利的申请质量和授权率，提高发明专利占比和有效发明专利拥有量以及向国外申请发明专利的授权率，采用“龙头企业+服务机构”的培育模式，打造高价值专利培育中心，提升专利密集型产业增加值，加强知识产权对</w:t>
      </w:r>
      <w:r>
        <w:rPr>
          <w:rFonts w:ascii="仿宋_GB2312" w:eastAsia="仿宋_GB2312" w:hAnsi="宋体" w:hint="eastAsia"/>
          <w:sz w:val="32"/>
          <w:szCs w:val="32"/>
        </w:rPr>
        <w:lastRenderedPageBreak/>
        <w:t>高精尖产业的支撑作用。</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7.开展企业商标品牌培育</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提升企业商标意识和商标运用能力，坚持以创新为抓手，积极培育特色品牌，</w:t>
      </w:r>
      <w:r>
        <w:rPr>
          <w:rFonts w:ascii="仿宋_GB2312" w:eastAsia="仿宋_GB2312" w:hAnsi="宋体"/>
          <w:sz w:val="32"/>
          <w:szCs w:val="32"/>
        </w:rPr>
        <w:t>支持区域商标品牌做大做强，鼓励优势企业打造全球知名商标品牌，</w:t>
      </w:r>
      <w:r>
        <w:rPr>
          <w:rFonts w:ascii="仿宋_GB2312" w:eastAsia="仿宋_GB2312" w:hAnsi="宋体" w:hint="eastAsia"/>
          <w:sz w:val="32"/>
          <w:szCs w:val="32"/>
        </w:rPr>
        <w:t>提升区域经济发展品质和影响力。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8.推行知识产权管理规范国家标准</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引导企业参与知识产权管理贯标工作，有序推动国家知识产权示范和优势企业、北京知识产权示范和试点企业开展知识产权标准化管理，持续提升企业的知识产权管理能力。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9.加强</w:t>
      </w:r>
      <w:proofErr w:type="gramStart"/>
      <w:r>
        <w:rPr>
          <w:rFonts w:ascii="仿宋_GB2312" w:eastAsia="仿宋_GB2312" w:hAnsi="宋体" w:hint="eastAsia"/>
          <w:sz w:val="32"/>
          <w:szCs w:val="32"/>
        </w:rPr>
        <w:t>知识产权强企培育</w:t>
      </w:r>
      <w:proofErr w:type="gramEnd"/>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积极培育各级知识产权示范、优势、试点企业，全面开展“专精特新”行动，构建形成“独角兽—隐形冠军—瞪</w:t>
      </w:r>
      <w:proofErr w:type="gramStart"/>
      <w:r>
        <w:rPr>
          <w:rFonts w:ascii="仿宋_GB2312" w:eastAsia="仿宋_GB2312" w:hAnsi="宋体" w:hint="eastAsia"/>
          <w:sz w:val="32"/>
          <w:szCs w:val="32"/>
        </w:rPr>
        <w:t>羚</w:t>
      </w:r>
      <w:proofErr w:type="gramEnd"/>
      <w:r>
        <w:rPr>
          <w:rFonts w:ascii="仿宋_GB2312" w:eastAsia="仿宋_GB2312" w:hAnsi="宋体" w:hint="eastAsia"/>
          <w:sz w:val="32"/>
          <w:szCs w:val="32"/>
        </w:rPr>
        <w:t>—金种子科技型企业”的成长梯队</w:t>
      </w:r>
      <w:r>
        <w:rPr>
          <w:rFonts w:ascii="仿宋_GB2312" w:eastAsia="仿宋_GB2312" w:hAnsi="宋体"/>
          <w:sz w:val="32"/>
          <w:szCs w:val="32"/>
        </w:rPr>
        <w:t>，支持企业实施转化专利技术、培育自主商标品牌，提升生产效率、产品质量和品牌价值。</w:t>
      </w:r>
    </w:p>
    <w:p w:rsidR="00CB0869" w:rsidRDefault="003B3E90" w:rsidP="00B41B40">
      <w:pPr>
        <w:kinsoku w:val="0"/>
        <w:autoSpaceDE w:val="0"/>
        <w:autoSpaceDN w:val="0"/>
        <w:spacing w:line="560" w:lineRule="exact"/>
        <w:ind w:firstLine="556"/>
        <w:jc w:val="left"/>
        <w:rPr>
          <w:rFonts w:ascii="楷体" w:eastAsia="楷体" w:hAnsi="楷体"/>
          <w:bCs/>
          <w:sz w:val="32"/>
          <w:szCs w:val="32"/>
        </w:rPr>
      </w:pPr>
      <w:r>
        <w:rPr>
          <w:rFonts w:ascii="Times New Roman" w:eastAsia="楷体_GB2312" w:hAnsi="Times New Roman" w:cs="Times New Roman" w:hint="eastAsia"/>
          <w:bCs/>
          <w:sz w:val="32"/>
          <w:szCs w:val="32"/>
        </w:rPr>
        <w:t>（三）构建知识产权转化运用</w:t>
      </w:r>
      <w:bookmarkEnd w:id="1"/>
      <w:r>
        <w:rPr>
          <w:rFonts w:ascii="Times New Roman" w:eastAsia="楷体_GB2312" w:hAnsi="Times New Roman" w:cs="Times New Roman" w:hint="eastAsia"/>
          <w:bCs/>
          <w:sz w:val="32"/>
          <w:szCs w:val="32"/>
        </w:rPr>
        <w:t>支撑体系，服务创新主体</w:t>
      </w:r>
      <w:r>
        <w:rPr>
          <w:rFonts w:ascii="楷体" w:eastAsia="楷体" w:hAnsi="楷体" w:hint="eastAsia"/>
          <w:bCs/>
          <w:sz w:val="32"/>
          <w:szCs w:val="32"/>
        </w:rPr>
        <w:t>知识产权运营</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10.</w:t>
      </w:r>
      <w:r>
        <w:rPr>
          <w:rFonts w:ascii="仿宋_GB2312" w:eastAsia="仿宋_GB2312" w:hAnsi="宋体"/>
          <w:sz w:val="32"/>
          <w:szCs w:val="32"/>
        </w:rPr>
        <w:t>搭建知识产权运营服务平台</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依托经开区“三城一区”科技创新运营平台，建立知识产权运营服务平台，探索建设知识产权成果转移转化中心，加快建立与三大科学城知识产权运营对接机制，引入一批知识产权服务运营品牌机构，</w:t>
      </w:r>
      <w:r>
        <w:rPr>
          <w:rFonts w:ascii="仿宋_GB2312" w:eastAsia="仿宋_GB2312" w:hAnsi="宋体"/>
          <w:sz w:val="32"/>
          <w:szCs w:val="32"/>
        </w:rPr>
        <w:t>形成专业化、体系化服务网络</w:t>
      </w:r>
      <w:r>
        <w:rPr>
          <w:rFonts w:ascii="仿宋_GB2312" w:eastAsia="仿宋_GB2312" w:hAnsi="宋体" w:hint="eastAsia"/>
          <w:sz w:val="32"/>
          <w:szCs w:val="32"/>
        </w:rPr>
        <w:t>，服务创新主体知识产权运营。</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11.促进企业知识产权融资运用</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sz w:val="32"/>
          <w:szCs w:val="32"/>
        </w:rPr>
        <w:t>支持金融机构与知识产权密集型产业园区开展合作，</w:t>
      </w:r>
      <w:r>
        <w:rPr>
          <w:rFonts w:ascii="仿宋_GB2312" w:eastAsia="仿宋_GB2312" w:hAnsi="宋体" w:hint="eastAsia"/>
          <w:sz w:val="32"/>
          <w:szCs w:val="32"/>
        </w:rPr>
        <w:t>针对</w:t>
      </w:r>
      <w:r>
        <w:rPr>
          <w:rFonts w:ascii="仿宋_GB2312" w:eastAsia="仿宋_GB2312" w:hAnsi="宋体"/>
          <w:sz w:val="32"/>
          <w:szCs w:val="32"/>
        </w:rPr>
        <w:t>产业专利集群、区域商标品牌探索园区知识产权质押融资集合授信</w:t>
      </w:r>
      <w:r>
        <w:rPr>
          <w:rFonts w:ascii="仿宋_GB2312" w:eastAsia="仿宋_GB2312" w:hAnsi="宋体"/>
          <w:sz w:val="32"/>
          <w:szCs w:val="32"/>
        </w:rPr>
        <w:lastRenderedPageBreak/>
        <w:t>政策</w:t>
      </w:r>
      <w:r>
        <w:rPr>
          <w:rFonts w:ascii="仿宋_GB2312" w:eastAsia="仿宋_GB2312" w:hAnsi="宋体" w:hint="eastAsia"/>
          <w:sz w:val="32"/>
          <w:szCs w:val="32"/>
        </w:rPr>
        <w:t>。</w:t>
      </w:r>
      <w:bookmarkStart w:id="2" w:name="_Toc3581"/>
      <w:r>
        <w:rPr>
          <w:rFonts w:ascii="仿宋_GB2312" w:eastAsia="仿宋_GB2312" w:hAnsi="宋体" w:hint="eastAsia"/>
          <w:sz w:val="32"/>
          <w:szCs w:val="32"/>
        </w:rPr>
        <w:t>探索知识产权质押融资风险分担机制以及质物处置机制，引导企业与金融机构、知识产权专业机构加强对接，提升企业运用高价值专利进行融资的意识和能力，通过融资租赁、专利证券化、质押融资等多种方式探索知识产权融资。</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12.探索知识产权运营新模式</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引导企业构建重点产业知识产权联盟，支持产业联盟构建专利池，建立和完善专利</w:t>
      </w:r>
      <w:proofErr w:type="gramStart"/>
      <w:r>
        <w:rPr>
          <w:rFonts w:ascii="仿宋_GB2312" w:eastAsia="仿宋_GB2312" w:hAnsi="宋体" w:hint="eastAsia"/>
          <w:sz w:val="32"/>
          <w:szCs w:val="32"/>
        </w:rPr>
        <w:t>池运作</w:t>
      </w:r>
      <w:proofErr w:type="gramEnd"/>
      <w:r>
        <w:rPr>
          <w:rFonts w:ascii="仿宋_GB2312" w:eastAsia="仿宋_GB2312" w:hAnsi="宋体" w:hint="eastAsia"/>
          <w:sz w:val="32"/>
          <w:szCs w:val="32"/>
        </w:rPr>
        <w:t>机制、专利预警机制和利益共享机制，通过专利购买收储、协同运用、共享专利等方式，开发形成具有较高市场化价值的专利组合。探索构建集成电路专利池，开展知识产权合作运营，提升产业话语权。同时联合高校院所的高端研发团队和资源，与高校共建专利运营支撑体系。</w:t>
      </w:r>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（四）</w:t>
      </w:r>
      <w:bookmarkEnd w:id="2"/>
      <w:r>
        <w:rPr>
          <w:rFonts w:ascii="Times New Roman" w:eastAsia="楷体_GB2312" w:hAnsi="Times New Roman" w:cs="Times New Roman" w:hint="eastAsia"/>
          <w:bCs/>
          <w:sz w:val="32"/>
          <w:szCs w:val="32"/>
        </w:rPr>
        <w:t>加强知识产权保护力度，营造良好营商环境</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13.加强知识产权保护力度</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加强与市级知识产权保护工作统筹协调，开展经开区知识产权行政执法工作。结合区域特色，在专利预审、快速确权、快速维权工作方面与北京市相关单位建立沟通协调机制,在知识产权确权、用权、维权中为各</w:t>
      </w:r>
      <w:proofErr w:type="gramStart"/>
      <w:r>
        <w:rPr>
          <w:rFonts w:ascii="仿宋_GB2312" w:eastAsia="仿宋_GB2312" w:hAnsi="宋体" w:hint="eastAsia"/>
          <w:sz w:val="32"/>
          <w:szCs w:val="32"/>
        </w:rPr>
        <w:t>类创新</w:t>
      </w:r>
      <w:proofErr w:type="gramEnd"/>
      <w:r>
        <w:rPr>
          <w:rFonts w:ascii="仿宋_GB2312" w:eastAsia="仿宋_GB2312" w:hAnsi="宋体" w:hint="eastAsia"/>
          <w:sz w:val="32"/>
          <w:szCs w:val="32"/>
        </w:rPr>
        <w:t>主体提供咨询服务及维权援助服务。为区域招商引资、中小企业创新发展构建良好的营商环境。</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bookmarkStart w:id="3" w:name="_Toc24160"/>
      <w:r>
        <w:rPr>
          <w:rFonts w:ascii="仿宋_GB2312" w:eastAsia="仿宋_GB2312" w:hAnsi="宋体" w:hint="eastAsia"/>
          <w:sz w:val="32"/>
          <w:szCs w:val="32"/>
        </w:rPr>
        <w:t>14.建立知识产权维权援助服务体系</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依托北京市知识产权公共服务经开区中心和工作站，推进知识产权维权援助服务工作向创新主体延伸，积极探索社会共治维权援助模式，充分发挥知识产权维权援助专家库和首都保护知识产权志愿服务总队作用，持续做好咨询指导服务，不断</w:t>
      </w:r>
      <w:proofErr w:type="gramStart"/>
      <w:r>
        <w:rPr>
          <w:rFonts w:ascii="仿宋_GB2312" w:eastAsia="仿宋_GB2312" w:hAnsi="宋体" w:hint="eastAsia"/>
          <w:sz w:val="32"/>
          <w:szCs w:val="32"/>
        </w:rPr>
        <w:t>完善维</w:t>
      </w:r>
      <w:proofErr w:type="gramEnd"/>
      <w:r>
        <w:rPr>
          <w:rFonts w:ascii="仿宋_GB2312" w:eastAsia="仿宋_GB2312" w:hAnsi="宋体" w:hint="eastAsia"/>
          <w:sz w:val="32"/>
          <w:szCs w:val="32"/>
        </w:rPr>
        <w:t>权指引、培训课程等维权援助服务产品，指导企业加强知识产权风险防范机制建设、提高纠纷应对能力。对接知识产权纠纷调解委</w:t>
      </w:r>
      <w:r>
        <w:rPr>
          <w:rFonts w:ascii="仿宋_GB2312" w:eastAsia="仿宋_GB2312" w:hAnsi="宋体" w:hint="eastAsia"/>
          <w:sz w:val="32"/>
          <w:szCs w:val="32"/>
        </w:rPr>
        <w:lastRenderedPageBreak/>
        <w:t>员会和调解工作室，引导创新主体优先通过调解方式化解知识产权纠纷。</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15.提高企业知识产权风险预警能力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支持企业开展知识产权布局规划，鼓励企业开展涉及知识产权风险预警的专利导航、专利分析评议、专利布局、专利战略等专利信息分析利用等工作。推进知识产权保险试点，提升企业重点专利技术的抗风险能力。面向重点环节，推动海外知识产权风险防控，针对人才引进、国际参展、产品和技术进出口等活动开展知识产权风险评估，提高企业对</w:t>
      </w:r>
      <w:r>
        <w:rPr>
          <w:rFonts w:ascii="仿宋_GB2312" w:eastAsia="仿宋_GB2312" w:hAnsi="宋体"/>
          <w:sz w:val="32"/>
          <w:szCs w:val="32"/>
        </w:rPr>
        <w:t>知识产权风险的识别和应对能力。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16.提升企业商业秘密保护能力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sz w:val="32"/>
          <w:szCs w:val="32"/>
        </w:rPr>
        <w:t>加强企业商业秘密保护，制止侵犯商业秘密不正当竞争行为，</w:t>
      </w:r>
      <w:r>
        <w:rPr>
          <w:rFonts w:ascii="仿宋_GB2312" w:eastAsia="仿宋_GB2312" w:hAnsi="宋体" w:hint="eastAsia"/>
          <w:sz w:val="32"/>
          <w:szCs w:val="32"/>
        </w:rPr>
        <w:t>通过举办以商业秘密为主题的培训和研讨会，提高企业对商业秘密保护的能力，提升企业人员的商业秘密保护意识，</w:t>
      </w:r>
      <w:r>
        <w:rPr>
          <w:rFonts w:ascii="仿宋_GB2312" w:eastAsia="仿宋_GB2312" w:hAnsi="宋体"/>
          <w:sz w:val="32"/>
          <w:szCs w:val="32"/>
        </w:rPr>
        <w:t>维护公平竞争的市场秩序</w:t>
      </w:r>
      <w:r>
        <w:rPr>
          <w:rFonts w:ascii="仿宋_GB2312" w:eastAsia="仿宋_GB2312" w:hAnsi="宋体" w:hint="eastAsia"/>
          <w:sz w:val="32"/>
          <w:szCs w:val="32"/>
        </w:rPr>
        <w:t>。</w:t>
      </w:r>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（五）</w:t>
      </w:r>
      <w:bookmarkEnd w:id="3"/>
      <w:r>
        <w:rPr>
          <w:rFonts w:ascii="Times New Roman" w:eastAsia="楷体_GB2312" w:hAnsi="Times New Roman" w:cs="Times New Roman" w:hint="eastAsia"/>
          <w:bCs/>
          <w:sz w:val="32"/>
          <w:szCs w:val="32"/>
        </w:rPr>
        <w:t>加强知识产权人才队伍建设，支持服务业集聚发展</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17.建立知识产权人才培养体系</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依托高校、研究机构及重点企业，实施经开区知识产权实务人才培养计划，通过研修培训、学术交流、课题研究、项目资助等方式，加大知识产权人才培养力度，同时建立经开区知识产权领军人才、知识产权法院人民陪审员选拔机制以及培养机制。</w:t>
      </w:r>
      <w:bookmarkStart w:id="4" w:name="_Toc20945"/>
    </w:p>
    <w:bookmarkEnd w:id="4"/>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18.</w:t>
      </w:r>
      <w:r>
        <w:rPr>
          <w:rFonts w:ascii="仿宋_GB2312" w:eastAsia="仿宋_GB2312" w:hAnsi="宋体"/>
          <w:sz w:val="32"/>
          <w:szCs w:val="32"/>
        </w:rPr>
        <w:t>打造知识产权市场化服务生态</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sz w:val="32"/>
          <w:szCs w:val="32"/>
        </w:rPr>
        <w:t>加强服务业集聚载体建设和政策供给，</w:t>
      </w:r>
      <w:r>
        <w:rPr>
          <w:rFonts w:ascii="仿宋_GB2312" w:eastAsia="仿宋_GB2312" w:hAnsi="宋体" w:hint="eastAsia"/>
          <w:sz w:val="32"/>
          <w:szCs w:val="32"/>
        </w:rPr>
        <w:t>制定经开区知识产权服务业发展规划，根据知识产权服务体系、服务链条分解知识产权服务业的各环节，按照经开区企业实际需求，引进知识产权服</w:t>
      </w:r>
      <w:r>
        <w:rPr>
          <w:rFonts w:ascii="仿宋_GB2312" w:eastAsia="仿宋_GB2312" w:hAnsi="宋体" w:hint="eastAsia"/>
          <w:sz w:val="32"/>
          <w:szCs w:val="32"/>
        </w:rPr>
        <w:lastRenderedPageBreak/>
        <w:t>务机构，构建适应经开区发展的服务体系，</w:t>
      </w:r>
      <w:r>
        <w:rPr>
          <w:rFonts w:ascii="仿宋_GB2312" w:eastAsia="仿宋_GB2312" w:hAnsi="宋体"/>
          <w:sz w:val="32"/>
          <w:szCs w:val="32"/>
        </w:rPr>
        <w:t>营造公平、竞争、有序的知识产权服务业发展环境。</w:t>
      </w:r>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（六）拓展国际合作，提升知识产权竞争实力</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19.拓宽知识产权对外合作渠道</w:t>
      </w:r>
    </w:p>
    <w:p w:rsidR="00CB0869" w:rsidRDefault="003B3E90" w:rsidP="00B41B40">
      <w:pPr>
        <w:kinsoku w:val="0"/>
        <w:autoSpaceDE w:val="0"/>
        <w:autoSpaceDN w:val="0"/>
        <w:spacing w:line="560" w:lineRule="exact"/>
        <w:ind w:firstLine="556"/>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积极开展具有国际影响力的知识产权研讨交流活动，争取港澳台和国际资源支持</w:t>
      </w:r>
      <w:r>
        <w:rPr>
          <w:rFonts w:ascii="仿宋_GB2312" w:eastAsia="仿宋_GB2312" w:hAnsi="宋体" w:cs="宋体" w:hint="eastAsia"/>
          <w:kern w:val="0"/>
          <w:sz w:val="32"/>
          <w:szCs w:val="32"/>
        </w:rPr>
        <w:t>，</w:t>
      </w:r>
      <w:r>
        <w:rPr>
          <w:rFonts w:ascii="仿宋_GB2312" w:eastAsia="仿宋_GB2312" w:hAnsi="宋体" w:hint="eastAsia"/>
          <w:sz w:val="32"/>
          <w:szCs w:val="32"/>
        </w:rPr>
        <w:t>引导</w:t>
      </w:r>
      <w:r>
        <w:rPr>
          <w:rFonts w:ascii="仿宋_GB2312" w:eastAsia="仿宋_GB2312" w:hAnsi="宋体"/>
          <w:sz w:val="32"/>
          <w:szCs w:val="32"/>
        </w:rPr>
        <w:t>和</w:t>
      </w:r>
      <w:r>
        <w:rPr>
          <w:rFonts w:ascii="仿宋_GB2312" w:eastAsia="仿宋_GB2312" w:hAnsi="宋体" w:hint="eastAsia"/>
          <w:sz w:val="32"/>
          <w:szCs w:val="32"/>
        </w:rPr>
        <w:t>支持全市设立</w:t>
      </w:r>
      <w:r>
        <w:rPr>
          <w:rFonts w:ascii="仿宋_GB2312" w:eastAsia="仿宋_GB2312" w:hAnsi="宋体"/>
          <w:sz w:val="32"/>
          <w:szCs w:val="32"/>
        </w:rPr>
        <w:t>的</w:t>
      </w:r>
      <w:r>
        <w:rPr>
          <w:rFonts w:ascii="仿宋_GB2312" w:eastAsia="仿宋_GB2312" w:hAnsi="宋体" w:hint="eastAsia"/>
          <w:sz w:val="32"/>
          <w:szCs w:val="32"/>
        </w:rPr>
        <w:t>世界知识产权组织技术与创新支持中心（</w:t>
      </w:r>
      <w:r>
        <w:rPr>
          <w:rFonts w:ascii="仿宋_GB2312" w:eastAsia="仿宋_GB2312" w:hAnsi="宋体"/>
          <w:sz w:val="32"/>
          <w:szCs w:val="32"/>
        </w:rPr>
        <w:t>TISC）为亦庄新城企业提供</w:t>
      </w:r>
      <w:r>
        <w:rPr>
          <w:rFonts w:ascii="仿宋_GB2312" w:eastAsia="仿宋_GB2312" w:hAnsi="宋体" w:hint="eastAsia"/>
          <w:sz w:val="32"/>
          <w:szCs w:val="32"/>
        </w:rPr>
        <w:t>优质知识产权服务</w:t>
      </w:r>
      <w:r>
        <w:rPr>
          <w:rFonts w:ascii="仿宋_GB2312" w:eastAsia="仿宋_GB2312" w:hAnsi="宋体"/>
          <w:sz w:val="32"/>
          <w:szCs w:val="32"/>
        </w:rPr>
        <w:t>，</w:t>
      </w:r>
      <w:r>
        <w:rPr>
          <w:rFonts w:ascii="仿宋_GB2312" w:eastAsia="仿宋_GB2312" w:hAnsi="宋体" w:cs="宋体" w:hint="eastAsia"/>
          <w:color w:val="000000"/>
          <w:kern w:val="0"/>
          <w:sz w:val="32"/>
          <w:szCs w:val="32"/>
        </w:rPr>
        <w:t>助力亦庄新城企业创新发展。</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20.支持企业国际化</w:t>
      </w:r>
      <w:r>
        <w:rPr>
          <w:rFonts w:ascii="仿宋_GB2312" w:eastAsia="仿宋_GB2312" w:hAnsi="宋体"/>
          <w:sz w:val="32"/>
          <w:szCs w:val="32"/>
        </w:rPr>
        <w:t>发展</w:t>
      </w:r>
    </w:p>
    <w:p w:rsidR="00CB0869" w:rsidRPr="00A54FC3" w:rsidRDefault="003B3E90" w:rsidP="00A54FC3">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借助“一带一路”发展契机，组织国外知识产权制度</w:t>
      </w:r>
      <w:r>
        <w:rPr>
          <w:rFonts w:ascii="仿宋_GB2312" w:eastAsia="仿宋_GB2312" w:hAnsi="宋体" w:cs="宋体" w:hint="eastAsia"/>
          <w:color w:val="000000"/>
          <w:kern w:val="0"/>
          <w:sz w:val="32"/>
          <w:szCs w:val="32"/>
        </w:rPr>
        <w:t>培训</w:t>
      </w:r>
      <w:r>
        <w:rPr>
          <w:rFonts w:ascii="仿宋_GB2312" w:eastAsia="仿宋_GB2312" w:hAnsi="宋体" w:hint="eastAsia"/>
          <w:sz w:val="32"/>
          <w:szCs w:val="32"/>
        </w:rPr>
        <w:t>和研讨，支持企业联合“走出去”,鼓励向国外申请专利。加强对企业海外知识产权纠纷等重大事项的应对指导，充分发挥北京市海外知识产权公共服务信息库和专家顾问机制的作用，为“走出去”企业提供维权服务，提升企业海外知识产权风险防控意识和纠纷应对能力。</w:t>
      </w:r>
    </w:p>
    <w:p w:rsidR="00CB0869" w:rsidRDefault="003B3E90" w:rsidP="00B41B40">
      <w:pPr>
        <w:kinsoku w:val="0"/>
        <w:autoSpaceDE w:val="0"/>
        <w:autoSpaceDN w:val="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四、保障措施</w:t>
      </w:r>
      <w:bookmarkStart w:id="5" w:name="_Toc466279930"/>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（一）加强组织领导</w:t>
      </w:r>
      <w:bookmarkEnd w:id="5"/>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bookmarkStart w:id="6" w:name="_Toc466279932"/>
      <w:r>
        <w:rPr>
          <w:rFonts w:ascii="仿宋_GB2312" w:eastAsia="仿宋_GB2312" w:hAnsi="宋体" w:hint="eastAsia"/>
          <w:sz w:val="32"/>
          <w:szCs w:val="32"/>
        </w:rPr>
        <w:t>北京市知识产权局和北京经济技术开发区管理</w:t>
      </w:r>
      <w:r>
        <w:rPr>
          <w:rFonts w:ascii="仿宋_GB2312" w:eastAsia="仿宋_GB2312" w:hAnsi="宋体"/>
          <w:sz w:val="32"/>
          <w:szCs w:val="32"/>
        </w:rPr>
        <w:t>委员会</w:t>
      </w:r>
      <w:r>
        <w:rPr>
          <w:rFonts w:ascii="仿宋_GB2312" w:eastAsia="仿宋_GB2312" w:hAnsi="宋体" w:hint="eastAsia"/>
          <w:sz w:val="32"/>
          <w:szCs w:val="32"/>
        </w:rPr>
        <w:t>加强全方位对接合作，统筹推动经开区知识产权行动计划的落实，对行动计划的重点任务进行明确分工。</w:t>
      </w:r>
      <w:bookmarkStart w:id="7" w:name="_Toc466279934"/>
      <w:bookmarkEnd w:id="6"/>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w:t>
      </w:r>
      <w:r>
        <w:rPr>
          <w:rFonts w:ascii="Times New Roman" w:eastAsia="楷体_GB2312" w:hAnsi="Times New Roman" w:cs="Times New Roman" w:hint="eastAsia"/>
          <w:bCs/>
          <w:sz w:val="32"/>
          <w:szCs w:val="32"/>
        </w:rPr>
        <w:t>加强评估考核</w:t>
      </w:r>
    </w:p>
    <w:p w:rsidR="00CB0869" w:rsidRDefault="003B3E90" w:rsidP="00B41B40">
      <w:pPr>
        <w:kinsoku w:val="0"/>
        <w:autoSpaceDE w:val="0"/>
        <w:autoSpaceDN w:val="0"/>
        <w:spacing w:line="560" w:lineRule="exact"/>
        <w:ind w:firstLine="556"/>
        <w:jc w:val="left"/>
        <w:rPr>
          <w:rFonts w:ascii="仿宋_GB2312" w:eastAsia="仿宋_GB2312" w:hAnsi="宋体"/>
          <w:sz w:val="32"/>
          <w:szCs w:val="32"/>
        </w:rPr>
      </w:pPr>
      <w:r>
        <w:rPr>
          <w:rFonts w:ascii="仿宋_GB2312" w:eastAsia="仿宋_GB2312" w:hAnsi="宋体" w:hint="eastAsia"/>
          <w:sz w:val="32"/>
          <w:szCs w:val="32"/>
        </w:rPr>
        <w:t>根据行动计划，编制年度工作计划，分解细化任务，明确年度目标、具体任务、工作进度和责任主体，推进工作扎实有序开展。</w:t>
      </w:r>
      <w:r>
        <w:rPr>
          <w:rFonts w:ascii="仿宋_GB2312" w:eastAsia="仿宋_GB2312" w:hAnsi="宋体"/>
          <w:sz w:val="32"/>
          <w:szCs w:val="32"/>
        </w:rPr>
        <w:t>定期对</w:t>
      </w:r>
      <w:r>
        <w:rPr>
          <w:rFonts w:ascii="仿宋_GB2312" w:eastAsia="仿宋_GB2312" w:hAnsi="宋体" w:hint="eastAsia"/>
          <w:sz w:val="32"/>
          <w:szCs w:val="32"/>
        </w:rPr>
        <w:t>工作</w:t>
      </w:r>
      <w:r>
        <w:rPr>
          <w:rFonts w:ascii="仿宋_GB2312" w:eastAsia="仿宋_GB2312" w:hAnsi="宋体"/>
          <w:sz w:val="32"/>
          <w:szCs w:val="32"/>
        </w:rPr>
        <w:t>落实情况进行跟踪评价，依据评价结果及时调整完善相关政策</w:t>
      </w:r>
      <w:r>
        <w:rPr>
          <w:rFonts w:ascii="仿宋_GB2312" w:eastAsia="仿宋_GB2312" w:hAnsi="宋体" w:hint="eastAsia"/>
          <w:sz w:val="32"/>
          <w:szCs w:val="32"/>
        </w:rPr>
        <w:t>，确保各项目标任务顺利完成。</w:t>
      </w:r>
    </w:p>
    <w:p w:rsidR="00CB0869" w:rsidRDefault="003B3E90" w:rsidP="00B41B40">
      <w:pPr>
        <w:kinsoku w:val="0"/>
        <w:autoSpaceDE w:val="0"/>
        <w:autoSpaceDN w:val="0"/>
        <w:spacing w:line="560" w:lineRule="exact"/>
        <w:ind w:firstLine="556"/>
        <w:jc w:val="left"/>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lastRenderedPageBreak/>
        <w:t>（三）</w:t>
      </w:r>
      <w:bookmarkEnd w:id="7"/>
      <w:r>
        <w:rPr>
          <w:rFonts w:ascii="Times New Roman" w:eastAsia="楷体_GB2312" w:hAnsi="Times New Roman" w:cs="Times New Roman" w:hint="eastAsia"/>
          <w:bCs/>
          <w:sz w:val="32"/>
          <w:szCs w:val="32"/>
        </w:rPr>
        <w:t>加强</w:t>
      </w:r>
      <w:r>
        <w:rPr>
          <w:rFonts w:ascii="Times New Roman" w:eastAsia="楷体_GB2312" w:hAnsi="Times New Roman" w:cs="Times New Roman"/>
          <w:bCs/>
          <w:sz w:val="32"/>
          <w:szCs w:val="32"/>
        </w:rPr>
        <w:t>知识产权文化建设</w:t>
      </w:r>
    </w:p>
    <w:p w:rsidR="00CB0869" w:rsidRDefault="003B3E90" w:rsidP="00B41B40">
      <w:pPr>
        <w:kinsoku w:val="0"/>
        <w:autoSpaceDE w:val="0"/>
        <w:autoSpaceDN w:val="0"/>
        <w:spacing w:line="560" w:lineRule="exact"/>
        <w:ind w:firstLine="556"/>
        <w:jc w:val="left"/>
      </w:pPr>
      <w:r>
        <w:rPr>
          <w:rFonts w:ascii="仿宋_GB2312" w:eastAsia="仿宋_GB2312" w:hAnsi="宋体" w:hint="eastAsia"/>
          <w:sz w:val="32"/>
          <w:szCs w:val="32"/>
        </w:rPr>
        <w:t>充分</w:t>
      </w:r>
      <w:r>
        <w:rPr>
          <w:rFonts w:ascii="仿宋_GB2312" w:eastAsia="仿宋_GB2312" w:hAnsi="宋体"/>
          <w:sz w:val="32"/>
          <w:szCs w:val="32"/>
        </w:rPr>
        <w:t>发挥区域文化发展优势，</w:t>
      </w:r>
      <w:r>
        <w:rPr>
          <w:rFonts w:ascii="仿宋_GB2312" w:eastAsia="仿宋_GB2312" w:hAnsi="宋体" w:hint="eastAsia"/>
          <w:sz w:val="32"/>
          <w:szCs w:val="32"/>
        </w:rPr>
        <w:t>大力倡导以知识产权文化为重要内容的创新文化。广泛开展知识产权普及教育工作，</w:t>
      </w:r>
      <w:r>
        <w:rPr>
          <w:rFonts w:ascii="仿宋_GB2312" w:eastAsia="仿宋_GB2312" w:hAnsi="宋体" w:cs="宋体" w:hint="eastAsia"/>
          <w:color w:val="000000"/>
          <w:kern w:val="0"/>
          <w:sz w:val="32"/>
          <w:szCs w:val="32"/>
        </w:rPr>
        <w:t>提高创新主体知识产权保护意识，</w:t>
      </w:r>
      <w:r>
        <w:rPr>
          <w:rFonts w:ascii="仿宋_GB2312" w:eastAsia="仿宋_GB2312" w:hAnsi="宋体" w:hint="eastAsia"/>
          <w:sz w:val="32"/>
          <w:szCs w:val="32"/>
        </w:rPr>
        <w:t>全面构建知识产权“大宣传”工作格局，</w:t>
      </w:r>
      <w:r>
        <w:rPr>
          <w:rFonts w:ascii="仿宋_GB2312" w:eastAsia="仿宋_GB2312" w:hAnsi="宋体" w:cs="宋体" w:hint="eastAsia"/>
          <w:color w:val="000000"/>
          <w:kern w:val="0"/>
          <w:sz w:val="32"/>
          <w:szCs w:val="32"/>
        </w:rPr>
        <w:t>办好世界知识产权日等重要时间节点的主题宣传活动。</w:t>
      </w:r>
      <w:r>
        <w:rPr>
          <w:rFonts w:ascii="仿宋_GB2312" w:eastAsia="仿宋_GB2312" w:hAnsi="宋体" w:hint="eastAsia"/>
          <w:sz w:val="32"/>
          <w:szCs w:val="32"/>
        </w:rPr>
        <w:t>创新</w:t>
      </w:r>
      <w:r>
        <w:rPr>
          <w:rFonts w:ascii="仿宋_GB2312" w:eastAsia="仿宋_GB2312" w:hAnsi="宋体"/>
          <w:sz w:val="32"/>
          <w:szCs w:val="32"/>
        </w:rPr>
        <w:t>宣传方式，</w:t>
      </w:r>
      <w:r>
        <w:rPr>
          <w:rFonts w:ascii="仿宋_GB2312" w:eastAsia="仿宋_GB2312" w:hAnsi="宋体" w:cs="宋体" w:hint="eastAsia"/>
          <w:color w:val="000000"/>
          <w:kern w:val="0"/>
          <w:sz w:val="32"/>
          <w:szCs w:val="32"/>
        </w:rPr>
        <w:t>充分运用传统媒体和新媒体开展知识产权宣传</w:t>
      </w:r>
      <w:r>
        <w:rPr>
          <w:rFonts w:ascii="仿宋_GB2312" w:eastAsia="仿宋_GB2312" w:hAnsi="宋体" w:hint="eastAsia"/>
          <w:sz w:val="32"/>
          <w:szCs w:val="32"/>
        </w:rPr>
        <w:t>，营造经开区良好的知识产权文化氛围。</w:t>
      </w:r>
    </w:p>
    <w:sectPr w:rsidR="00CB0869" w:rsidSect="00BB4007">
      <w:footerReference w:type="default" r:id="rId8"/>
      <w:pgSz w:w="11906" w:h="16838"/>
      <w:pgMar w:top="1361" w:right="1361"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C5" w:rsidRDefault="00FA37C5">
      <w:r>
        <w:separator/>
      </w:r>
    </w:p>
  </w:endnote>
  <w:endnote w:type="continuationSeparator" w:id="0">
    <w:p w:rsidR="00FA37C5" w:rsidRDefault="00FA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biaoysk">
    <w:altName w:val="Times New Roman"/>
    <w:panose1 w:val="00000000000000000000"/>
    <w:charset w:val="00"/>
    <w:family w:val="roman"/>
    <w:notTrueType/>
    <w:pitch w:val="default"/>
  </w:font>
  <w:font w:name="楷体_GB2312">
    <w:altName w:val="楷体"/>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570463"/>
    </w:sdtPr>
    <w:sdtEndPr/>
    <w:sdtContent>
      <w:p w:rsidR="00CB0869" w:rsidRDefault="003B3E90">
        <w:pPr>
          <w:pStyle w:val="a3"/>
          <w:jc w:val="center"/>
        </w:pPr>
        <w:r>
          <w:fldChar w:fldCharType="begin"/>
        </w:r>
        <w:r>
          <w:instrText>PAGE   \* MERGEFORMAT</w:instrText>
        </w:r>
        <w:r>
          <w:fldChar w:fldCharType="separate"/>
        </w:r>
        <w:r w:rsidR="00323D5A" w:rsidRPr="00323D5A">
          <w:rPr>
            <w:noProof/>
            <w:lang w:val="zh-CN"/>
          </w:rPr>
          <w:t>7</w:t>
        </w:r>
        <w:r>
          <w:fldChar w:fldCharType="end"/>
        </w:r>
      </w:p>
    </w:sdtContent>
  </w:sdt>
  <w:p w:rsidR="00CB0869" w:rsidRDefault="00CB08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C5" w:rsidRDefault="00FA37C5">
      <w:r>
        <w:separator/>
      </w:r>
    </w:p>
  </w:footnote>
  <w:footnote w:type="continuationSeparator" w:id="0">
    <w:p w:rsidR="00FA37C5" w:rsidRDefault="00FA3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26"/>
    <w:rsid w:val="000558B3"/>
    <w:rsid w:val="00117164"/>
    <w:rsid w:val="001B6F39"/>
    <w:rsid w:val="0023338D"/>
    <w:rsid w:val="00276ED7"/>
    <w:rsid w:val="00323D5A"/>
    <w:rsid w:val="003B3E90"/>
    <w:rsid w:val="004C039D"/>
    <w:rsid w:val="0063611D"/>
    <w:rsid w:val="00890793"/>
    <w:rsid w:val="008F355C"/>
    <w:rsid w:val="00976330"/>
    <w:rsid w:val="00A54FC3"/>
    <w:rsid w:val="00B31DDD"/>
    <w:rsid w:val="00B41B40"/>
    <w:rsid w:val="00BB4007"/>
    <w:rsid w:val="00BC6931"/>
    <w:rsid w:val="00C6219B"/>
    <w:rsid w:val="00CB0869"/>
    <w:rsid w:val="00CC38CF"/>
    <w:rsid w:val="00CE02E9"/>
    <w:rsid w:val="00E71226"/>
    <w:rsid w:val="00EB5704"/>
    <w:rsid w:val="00EE0826"/>
    <w:rsid w:val="00FA37C5"/>
    <w:rsid w:val="03C83336"/>
    <w:rsid w:val="19363977"/>
    <w:rsid w:val="37901226"/>
    <w:rsid w:val="402A4A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CE02E9"/>
    <w:rPr>
      <w:sz w:val="18"/>
      <w:szCs w:val="18"/>
    </w:rPr>
  </w:style>
  <w:style w:type="character" w:customStyle="1" w:styleId="Char1">
    <w:name w:val="批注框文本 Char"/>
    <w:basedOn w:val="a0"/>
    <w:link w:val="a5"/>
    <w:uiPriority w:val="99"/>
    <w:semiHidden/>
    <w:rsid w:val="00CE02E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CE02E9"/>
    <w:rPr>
      <w:sz w:val="18"/>
      <w:szCs w:val="18"/>
    </w:rPr>
  </w:style>
  <w:style w:type="character" w:customStyle="1" w:styleId="Char1">
    <w:name w:val="批注框文本 Char"/>
    <w:basedOn w:val="a0"/>
    <w:link w:val="a5"/>
    <w:uiPriority w:val="99"/>
    <w:semiHidden/>
    <w:rsid w:val="00CE02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12</cp:revision>
  <cp:lastPrinted>2020-12-24T05:59:00Z</cp:lastPrinted>
  <dcterms:created xsi:type="dcterms:W3CDTF">2020-12-03T08:48:00Z</dcterms:created>
  <dcterms:modified xsi:type="dcterms:W3CDTF">2021-01-18T09:30:00Z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