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28C71F">
      <w:pPr>
        <w:spacing w:line="560" w:lineRule="exact"/>
        <w:jc w:val="both"/>
        <w:rPr>
          <w:rFonts w:ascii="黑体;汉仪中黑KW" w:hAnsi="黑体;汉仪中黑KW" w:eastAsia="黑体;汉仪中黑KW" w:cs="方正小标宋简体"/>
          <w:kern w:val="0"/>
          <w:sz w:val="32"/>
          <w:szCs w:val="32"/>
          <w:highlight w:val="none"/>
          <w:lang w:bidi="ar"/>
        </w:rPr>
      </w:pPr>
      <w:r>
        <w:rPr>
          <w:rFonts w:ascii="黑体;汉仪中黑KW" w:hAnsi="黑体;汉仪中黑KW" w:eastAsia="黑体;汉仪中黑KW" w:cs="方正小标宋简体"/>
          <w:kern w:val="0"/>
          <w:sz w:val="32"/>
          <w:szCs w:val="32"/>
          <w:lang w:bidi="ar"/>
        </w:rPr>
        <w:t>附件</w:t>
      </w:r>
    </w:p>
    <w:p w14:paraId="6C12AF82">
      <w:pPr>
        <w:spacing w:line="560" w:lineRule="exact"/>
        <w:jc w:val="center"/>
        <w:rPr>
          <w:rFonts w:ascii="方正小标宋简体" w:hAnsi="方正小标宋简体" w:eastAsia="方正小标宋简体" w:cs="方正小标宋简体"/>
          <w:sz w:val="44"/>
          <w:szCs w:val="44"/>
          <w:highlight w:val="none"/>
        </w:rPr>
      </w:pPr>
      <w:r>
        <w:rPr>
          <w:rFonts w:ascii="方正小标宋简体" w:hAnsi="方正小标宋简体" w:eastAsia="方正小标宋简体" w:cs="方正小标宋简体"/>
          <w:sz w:val="44"/>
          <w:szCs w:val="44"/>
        </w:rPr>
        <w:t>2026年“OPC券”</w:t>
      </w:r>
      <w:r>
        <w:rPr>
          <w:rFonts w:hint="eastAsia" w:ascii="方正小标宋简体" w:hAnsi="方正小标宋简体" w:eastAsia="方正小标宋简体" w:cs="方正小标宋简体"/>
          <w:sz w:val="44"/>
          <w:szCs w:val="44"/>
          <w:lang w:eastAsia="zh-CN"/>
        </w:rPr>
        <w:t>专项奖励</w:t>
      </w:r>
      <w:r>
        <w:rPr>
          <w:rFonts w:ascii="方正小标宋简体" w:hAnsi="方正小标宋简体" w:eastAsia="方正小标宋简体" w:cs="方正小标宋简体"/>
          <w:sz w:val="44"/>
          <w:szCs w:val="44"/>
        </w:rPr>
        <w:t>办事指南</w:t>
      </w:r>
    </w:p>
    <w:p w14:paraId="708743F9">
      <w:pPr>
        <w:spacing w:line="560" w:lineRule="exact"/>
        <w:rPr>
          <w:rFonts w:ascii="仿宋_GB2312" w:hAnsi="仿宋_GB2312" w:eastAsia="仿宋_GB2312" w:cs="仿宋_GB2312"/>
          <w:sz w:val="32"/>
          <w:szCs w:val="32"/>
          <w:highlight w:val="none"/>
        </w:rPr>
      </w:pPr>
    </w:p>
    <w:p w14:paraId="1A43BF02">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color w:val="000000"/>
          <w:kern w:val="0"/>
          <w:sz w:val="32"/>
          <w:szCs w:val="32"/>
          <w:highlight w:val="none"/>
        </w:rPr>
      </w:pPr>
      <w:r>
        <w:rPr>
          <w:rFonts w:ascii="黑体;汉仪中黑KW" w:hAnsi="黑体;汉仪中黑KW" w:eastAsia="黑体;汉仪中黑KW" w:cs="黑体;汉仪中黑KW"/>
          <w:sz w:val="32"/>
          <w:szCs w:val="32"/>
        </w:rPr>
        <w:t>一、政策依据</w:t>
      </w:r>
    </w:p>
    <w:p w14:paraId="39B2DEB5">
      <w:pPr>
        <w:keepNext w:val="0"/>
        <w:keepLines w:val="0"/>
        <w:pageBreakBefore w:val="0"/>
        <w:numPr>
          <w:ilvl w:val="0"/>
          <w:numId w:val="0"/>
        </w:numPr>
        <w:kinsoku/>
        <w:overflowPunct/>
        <w:autoSpaceDE/>
        <w:bidi w:val="0"/>
        <w:snapToGrid/>
        <w:spacing w:line="560" w:lineRule="exact"/>
        <w:ind w:firstLine="640"/>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《北京经济技术开发区关于支持词元驱动智能经济高质量发展的若干措施（试行）》（京技管发〔2026〕9号）第九条“激发OPC创新生命力”。</w:t>
      </w:r>
    </w:p>
    <w:p w14:paraId="32E96C0F">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color w:val="000000"/>
          <w:sz w:val="32"/>
          <w:szCs w:val="32"/>
          <w:highlight w:val="none"/>
        </w:rPr>
      </w:pPr>
      <w:r>
        <w:rPr>
          <w:rFonts w:ascii="黑体;汉仪中黑KW" w:hAnsi="黑体;汉仪中黑KW" w:eastAsia="黑体;汉仪中黑KW" w:cs="黑体;汉仪中黑KW"/>
          <w:color w:val="000000"/>
          <w:sz w:val="32"/>
          <w:szCs w:val="32"/>
        </w:rPr>
        <w:t>二、申报事项</w:t>
      </w:r>
    </w:p>
    <w:p w14:paraId="3EADF673">
      <w:pPr>
        <w:keepNext w:val="0"/>
        <w:keepLines w:val="0"/>
        <w:pageBreakBefore w:val="0"/>
        <w:numPr>
          <w:ilvl w:val="0"/>
          <w:numId w:val="0"/>
        </w:numPr>
        <w:kinsoku/>
        <w:overflowPunct/>
        <w:autoSpaceDE/>
        <w:bidi w:val="0"/>
        <w:snapToGrid/>
        <w:spacing w:line="560" w:lineRule="exact"/>
        <w:ind w:firstLine="640"/>
        <w:textAlignment w:val="auto"/>
        <w:outlineLvl w:val="0"/>
        <w:rPr>
          <w:rFonts w:hint="eastAsia" w:ascii="仿宋_GB2312" w:hAnsi="仿宋_GB2312" w:eastAsia="仿宋_GB2312" w:cs="仿宋_GB2312"/>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pPr>
      <w:r>
        <w:rPr>
          <w:rFonts w:hint="eastAsia" w:ascii="仿宋_GB2312" w:hAnsi="仿宋_GB2312" w:eastAsia="仿宋_GB2312" w:cs="仿宋_GB2312"/>
          <w:b w:val="0"/>
          <w:bCs w:val="0"/>
          <w:i w:val="0"/>
          <w:iCs w:val="0"/>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t>2026年“OPC券”专项奖励</w:t>
      </w:r>
    </w:p>
    <w:p w14:paraId="1EC9EDF7">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bCs/>
          <w:color w:val="000000"/>
          <w:kern w:val="0"/>
          <w:sz w:val="32"/>
          <w:szCs w:val="32"/>
          <w:highlight w:val="none"/>
        </w:rPr>
      </w:pPr>
      <w:r>
        <w:rPr>
          <w:rFonts w:ascii="黑体;汉仪中黑KW" w:hAnsi="黑体;汉仪中黑KW" w:eastAsia="黑体;汉仪中黑KW" w:cs="黑体;汉仪中黑KW"/>
          <w:bCs/>
          <w:color w:val="000000"/>
          <w:kern w:val="0"/>
          <w:sz w:val="32"/>
          <w:szCs w:val="32"/>
        </w:rPr>
        <w:t>三、申报条件</w:t>
      </w:r>
    </w:p>
    <w:p w14:paraId="57ACC305">
      <w:pPr>
        <w:keepNext w:val="0"/>
        <w:keepLines w:val="0"/>
        <w:pageBreakBefore w:val="0"/>
        <w:numPr>
          <w:ilvl w:val="0"/>
          <w:numId w:val="0"/>
        </w:numPr>
        <w:kinsoku/>
        <w:overflowPunct/>
        <w:autoSpaceDE/>
        <w:bidi w:val="0"/>
        <w:snapToGrid/>
        <w:spacing w:line="560" w:lineRule="exact"/>
        <w:ind w:firstLine="640"/>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（一）申报企业为在亦庄新城225平方公里范围内依法经营的小微企业并具有固定经营场所，近3年无重大行政处罚记录和刑事犯罪记录，未列入严重违法失信主体名单。</w:t>
      </w:r>
    </w:p>
    <w:p w14:paraId="1A2E5141">
      <w:pPr>
        <w:keepNext w:val="0"/>
        <w:keepLines w:val="0"/>
        <w:pageBreakBefore w:val="0"/>
        <w:numPr>
          <w:ilvl w:val="0"/>
          <w:numId w:val="0"/>
        </w:numPr>
        <w:kinsoku/>
        <w:overflowPunct/>
        <w:autoSpaceDE/>
        <w:bidi w:val="0"/>
        <w:snapToGrid/>
        <w:spacing w:line="560" w:lineRule="exact"/>
        <w:ind w:firstLine="640"/>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申报企业属于人工智能领域创新创业小微主体，聚焦词元应用、智能硬件、原生模型等方向开展技术研发与产品创新，拥有自主研发或迭代优化的人工智能相关产品/原型，具备持续技术创新能力，相关业务与人工智能创新评价方向相契合。</w:t>
      </w:r>
    </w:p>
    <w:p w14:paraId="0F2EB504">
      <w:pPr>
        <w:keepNext w:val="0"/>
        <w:keepLines w:val="0"/>
        <w:pageBreakBefore w:val="0"/>
        <w:numPr>
          <w:ilvl w:val="0"/>
          <w:numId w:val="0"/>
        </w:numPr>
        <w:kinsoku/>
        <w:overflowPunct/>
        <w:autoSpaceDE/>
        <w:bidi w:val="0"/>
        <w:snapToGrid/>
        <w:spacing w:line="560" w:lineRule="exact"/>
        <w:ind w:firstLine="640"/>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（三）申报事项为企业开展产品打样、软硬适配、品牌传播、版权交易等业务产生的实际费用支出；相关服务须于2026年1月1日（含）至2026年9月30日区间内真实发生。</w:t>
      </w:r>
    </w:p>
    <w:p w14:paraId="7A9E3FE0">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bCs/>
          <w:color w:val="000000"/>
          <w:kern w:val="0"/>
          <w:sz w:val="32"/>
          <w:szCs w:val="32"/>
        </w:rPr>
      </w:pPr>
      <w:r>
        <w:rPr>
          <w:rFonts w:ascii="黑体;汉仪中黑KW" w:hAnsi="黑体;汉仪中黑KW" w:eastAsia="黑体;汉仪中黑KW" w:cs="黑体;汉仪中黑KW"/>
          <w:bCs/>
          <w:color w:val="000000"/>
          <w:kern w:val="0"/>
          <w:sz w:val="32"/>
          <w:szCs w:val="32"/>
        </w:rPr>
        <w:t>四、支持</w:t>
      </w:r>
      <w:r>
        <w:rPr>
          <w:rFonts w:hint="eastAsia" w:ascii="黑体;汉仪中黑KW" w:hAnsi="黑体;汉仪中黑KW" w:eastAsia="黑体;汉仪中黑KW" w:cs="黑体;汉仪中黑KW"/>
          <w:bCs/>
          <w:color w:val="000000"/>
          <w:kern w:val="0"/>
          <w:sz w:val="32"/>
          <w:szCs w:val="32"/>
          <w:lang w:eastAsia="zh-CN"/>
        </w:rPr>
        <w:t>内容及</w:t>
      </w:r>
      <w:r>
        <w:rPr>
          <w:rFonts w:ascii="黑体;汉仪中黑KW" w:hAnsi="黑体;汉仪中黑KW" w:eastAsia="黑体;汉仪中黑KW" w:cs="黑体;汉仪中黑KW"/>
          <w:bCs/>
          <w:color w:val="000000"/>
          <w:kern w:val="0"/>
          <w:sz w:val="32"/>
          <w:szCs w:val="32"/>
        </w:rPr>
        <w:t>标准</w:t>
      </w:r>
      <w:bookmarkStart w:id="0" w:name="_GoBack"/>
      <w:bookmarkEnd w:id="0"/>
    </w:p>
    <w:p w14:paraId="1F3939A4">
      <w:pPr>
        <w:keepNext w:val="0"/>
        <w:keepLines w:val="0"/>
        <w:pageBreakBefore w:val="0"/>
        <w:numPr>
          <w:ilvl w:val="0"/>
          <w:numId w:val="0"/>
        </w:numPr>
        <w:kinsoku/>
        <w:overflowPunct/>
        <w:autoSpaceDE/>
        <w:bidi w:val="0"/>
        <w:snapToGrid/>
        <w:spacing w:line="560" w:lineRule="exact"/>
        <w:ind w:firstLine="640"/>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申报项目实际发生费用的30%给予资金支持，单个项目补助最高20万元，企业年度累计补助最高100万元。可按不同产品、不同创新环节（产品打样、小试开发等）分别支持；对将同一项目拆分形成多份合同、短期内订立内容高度相似合同的情形，不予支持。</w:t>
      </w:r>
    </w:p>
    <w:p w14:paraId="480F4D2C">
      <w:pPr>
        <w:keepNext w:val="0"/>
        <w:keepLines w:val="0"/>
        <w:pageBreakBefore w:val="0"/>
        <w:numPr>
          <w:ilvl w:val="0"/>
          <w:numId w:val="0"/>
        </w:numPr>
        <w:kinsoku/>
        <w:overflowPunct/>
        <w:autoSpaceDE/>
        <w:bidi w:val="0"/>
        <w:snapToGrid/>
        <w:spacing w:line="560" w:lineRule="exact"/>
        <w:ind w:firstLine="640"/>
        <w:textAlignment w:val="auto"/>
        <w:outlineLvl w:val="1"/>
        <w:rPr>
          <w:rFonts w:ascii="仿宋_GB2312" w:hAnsi="仿宋_GB2312" w:eastAsia="仿宋_GB2312" w:cs="仿宋_GB2312"/>
          <w:spacing w:val="6"/>
          <w:sz w:val="32"/>
          <w:szCs w:val="32"/>
          <w:highlight w:val="none"/>
        </w:rPr>
      </w:pPr>
      <w:r>
        <w:rPr>
          <w:rFonts w:ascii="黑体;汉仪中黑KW" w:hAnsi="黑体;汉仪中黑KW" w:eastAsia="黑体;汉仪中黑KW" w:cs="黑体;汉仪中黑KW"/>
          <w:bCs/>
          <w:color w:val="000000"/>
          <w:kern w:val="0"/>
          <w:sz w:val="32"/>
          <w:szCs w:val="32"/>
        </w:rPr>
        <w:t>五、申报材料及要求</w:t>
      </w:r>
    </w:p>
    <w:p w14:paraId="110116F6">
      <w:pPr>
        <w:keepNext w:val="0"/>
        <w:keepLines w:val="0"/>
        <w:pageBreakBefore w:val="0"/>
        <w:numPr>
          <w:ilvl w:val="0"/>
          <w:numId w:val="0"/>
        </w:numPr>
        <w:kinsoku/>
        <w:overflowPunct/>
        <w:autoSpaceDE/>
        <w:bidi w:val="0"/>
        <w:snapToGrid/>
        <w:spacing w:line="560" w:lineRule="exact"/>
        <w:ind w:firstLine="640"/>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1.2026年“OPC券”专项奖励申报表，在线填写；</w:t>
      </w:r>
    </w:p>
    <w:p w14:paraId="7AE9723D">
      <w:pPr>
        <w:keepNext w:val="0"/>
        <w:keepLines w:val="0"/>
        <w:pageBreakBefore w:val="0"/>
        <w:numPr>
          <w:ilvl w:val="0"/>
          <w:numId w:val="0"/>
        </w:numPr>
        <w:kinsoku/>
        <w:overflowPunct/>
        <w:autoSpaceDE/>
        <w:bidi w:val="0"/>
        <w:snapToGrid/>
        <w:spacing w:line="560" w:lineRule="exact"/>
        <w:ind w:firstLine="640"/>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2.企业营业执照，选取电子证照；</w:t>
      </w:r>
    </w:p>
    <w:p w14:paraId="2308ADAA">
      <w:pPr>
        <w:keepNext w:val="0"/>
        <w:keepLines w:val="0"/>
        <w:pageBreakBefore w:val="0"/>
        <w:numPr>
          <w:ilvl w:val="0"/>
          <w:numId w:val="0"/>
        </w:numPr>
        <w:kinsoku/>
        <w:overflowPunct/>
        <w:autoSpaceDE/>
        <w:bidi w:val="0"/>
        <w:snapToGrid/>
        <w:spacing w:line="560" w:lineRule="exact"/>
        <w:ind w:firstLine="640"/>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3.承诺书，下载模板填写，签字、加盖公章，彩色扫描上传；</w:t>
      </w:r>
    </w:p>
    <w:p w14:paraId="680A0F18">
      <w:pPr>
        <w:keepNext w:val="0"/>
        <w:keepLines w:val="0"/>
        <w:pageBreakBefore w:val="0"/>
        <w:numPr>
          <w:ilvl w:val="0"/>
          <w:numId w:val="0"/>
        </w:numPr>
        <w:kinsoku/>
        <w:overflowPunct/>
        <w:autoSpaceDE/>
        <w:bidi w:val="0"/>
        <w:snapToGrid/>
        <w:spacing w:line="560" w:lineRule="exact"/>
        <w:ind w:firstLine="640"/>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4.银行账户信息，下载模板填写，加盖公章，彩色扫描上传；</w:t>
      </w:r>
    </w:p>
    <w:p w14:paraId="656D669C">
      <w:pPr>
        <w:keepNext w:val="0"/>
        <w:keepLines w:val="0"/>
        <w:pageBreakBefore w:val="0"/>
        <w:numPr>
          <w:ilvl w:val="0"/>
          <w:numId w:val="0"/>
        </w:numPr>
        <w:kinsoku/>
        <w:overflowPunct/>
        <w:autoSpaceDE/>
        <w:bidi w:val="0"/>
        <w:snapToGrid/>
        <w:spacing w:line="560" w:lineRule="exact"/>
        <w:ind w:firstLine="640"/>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5.产品打样、软硬适配、品牌传播、版权交易等关键环节成本支出的合同及对应增值税专用发票或结算单，原件彩色扫描上传，相关材料按【材料名称＋序号】进行命名；</w:t>
      </w:r>
    </w:p>
    <w:p w14:paraId="45EB21E0">
      <w:pPr>
        <w:keepNext w:val="0"/>
        <w:keepLines w:val="0"/>
        <w:pageBreakBefore w:val="0"/>
        <w:numPr>
          <w:ilvl w:val="0"/>
          <w:numId w:val="0"/>
        </w:numPr>
        <w:kinsoku/>
        <w:overflowPunct/>
        <w:autoSpaceDE/>
        <w:bidi w:val="0"/>
        <w:snapToGrid/>
        <w:spacing w:line="560" w:lineRule="exact"/>
        <w:ind w:firstLine="640"/>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6.相关服务或产品成果的实际交付证明（需注明交付时间），原件彩色扫描上传；</w:t>
      </w:r>
    </w:p>
    <w:p w14:paraId="79D56B3E">
      <w:pPr>
        <w:keepNext w:val="0"/>
        <w:keepLines w:val="0"/>
        <w:pageBreakBefore w:val="0"/>
        <w:numPr>
          <w:ilvl w:val="0"/>
          <w:numId w:val="0"/>
        </w:numPr>
        <w:kinsoku/>
        <w:overflowPunct/>
        <w:autoSpaceDE/>
        <w:bidi w:val="0"/>
        <w:snapToGrid/>
        <w:spacing w:line="560" w:lineRule="exact"/>
        <w:ind w:firstLine="640" w:firstLineChars="200"/>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7.近两年年度财务审计报告，原件彩色扫描上传。</w:t>
      </w:r>
    </w:p>
    <w:p w14:paraId="4F1CA0AE">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sz w:val="32"/>
          <w:szCs w:val="32"/>
          <w:highlight w:val="none"/>
        </w:rPr>
      </w:pPr>
      <w:r>
        <w:rPr>
          <w:rFonts w:ascii="黑体;汉仪中黑KW" w:hAnsi="黑体;汉仪中黑KW" w:eastAsia="黑体;汉仪中黑KW" w:cs="黑体;汉仪中黑KW"/>
          <w:sz w:val="32"/>
          <w:szCs w:val="32"/>
        </w:rPr>
        <w:t>六、办理程序</w:t>
      </w:r>
    </w:p>
    <w:p w14:paraId="41874915">
      <w:pPr>
        <w:pStyle w:val="19"/>
        <w:keepNext w:val="0"/>
        <w:keepLines w:val="0"/>
        <w:pageBreakBefore w:val="0"/>
        <w:widowControl/>
        <w:numPr>
          <w:ilvl w:val="0"/>
          <w:numId w:val="0"/>
        </w:numPr>
        <w:shd w:val="clear" w:fill="FFFFFF"/>
        <w:kinsoku/>
        <w:overflowPunct/>
        <w:autoSpaceDE/>
        <w:bidi w:val="0"/>
        <w:snapToGrid/>
        <w:spacing w:before="0" w:after="0" w:line="560" w:lineRule="exact"/>
        <w:ind w:left="0" w:firstLine="643"/>
        <w:jc w:val="both"/>
        <w:textAlignment w:val="auto"/>
        <w:rPr>
          <w:rFonts w:ascii="仿宋_GB2312" w:hAnsi="仿宋_GB2312" w:eastAsia="仿宋_GB2312" w:cs="仿宋_GB2312"/>
          <w:color w:val="000000"/>
          <w:sz w:val="32"/>
          <w:szCs w:val="32"/>
          <w:highlight w:val="none"/>
        </w:rPr>
      </w:pPr>
      <w:r>
        <w:rPr>
          <w:rFonts w:ascii="仿宋_GB2312" w:hAnsi="仿宋_GB2312" w:eastAsia="仿宋_GB2312" w:cs="仿宋_GB2312"/>
          <w:b/>
          <w:bCs/>
          <w:color w:val="000000"/>
          <w:sz w:val="32"/>
        </w:rPr>
        <w:t>（一）网上申报：</w:t>
      </w:r>
      <w:r>
        <w:rPr>
          <w:rFonts w:hint="eastAsia" w:ascii="仿宋_GB2312" w:hAnsi="仿宋_GB2312" w:eastAsia="仿宋_GB2312" w:cs="仿宋_GB2312"/>
          <w:kern w:val="0"/>
          <w:sz w:val="32"/>
          <w:szCs w:val="32"/>
          <w:highlight w:val="none"/>
          <w:lang w:val="en-US" w:eastAsia="zh-CN" w:bidi="ar-SA"/>
        </w:rPr>
        <w:t>申报主体通过北京市人民政府门户网站“政策兑现专区”（https://zhengce.beijing.gov.cn）或经开区官网“政策兑现”栏目(zcdx.kfqgw.beijing.gov.cn)进入政策兑现综合服务平台，注册登录后进行项目自主申报。如未在规定时间内提交申请的，视为自动放弃。</w:t>
      </w:r>
    </w:p>
    <w:p w14:paraId="6F36B438">
      <w:pPr>
        <w:pStyle w:val="19"/>
        <w:keepNext w:val="0"/>
        <w:keepLines w:val="0"/>
        <w:pageBreakBefore w:val="0"/>
        <w:widowControl/>
        <w:numPr>
          <w:ilvl w:val="0"/>
          <w:numId w:val="0"/>
        </w:numPr>
        <w:shd w:val="clear" w:fill="FFFFFF"/>
        <w:kinsoku/>
        <w:overflowPunct/>
        <w:autoSpaceDE/>
        <w:bidi w:val="0"/>
        <w:snapToGrid/>
        <w:spacing w:before="0" w:after="0" w:line="560" w:lineRule="exact"/>
        <w:ind w:left="0" w:firstLine="643"/>
        <w:jc w:val="both"/>
        <w:textAlignment w:val="auto"/>
        <w:rPr>
          <w:rFonts w:ascii="仿宋_GB2312" w:hAnsi="仿宋_GB2312" w:eastAsia="仿宋_GB2312" w:cs="仿宋_GB2312"/>
          <w:color w:val="000000"/>
          <w:kern w:val="2"/>
          <w:sz w:val="32"/>
          <w:szCs w:val="32"/>
          <w:highlight w:val="none"/>
        </w:rPr>
      </w:pPr>
      <w:r>
        <w:rPr>
          <w:rFonts w:ascii="仿宋_GB2312" w:hAnsi="仿宋_GB2312" w:eastAsia="仿宋_GB2312" w:cs="仿宋_GB2312"/>
          <w:b/>
          <w:bCs/>
          <w:color w:val="000000"/>
          <w:kern w:val="0"/>
          <w:sz w:val="32"/>
          <w:szCs w:val="24"/>
        </w:rPr>
        <w:t>（二）初审：</w:t>
      </w:r>
      <w:r>
        <w:rPr>
          <w:rFonts w:hint="eastAsia" w:ascii="仿宋_GB2312" w:hAnsi="仿宋_GB2312" w:eastAsia="仿宋_GB2312" w:cs="仿宋_GB2312"/>
          <w:kern w:val="0"/>
          <w:sz w:val="32"/>
          <w:szCs w:val="32"/>
          <w:highlight w:val="none"/>
          <w:lang w:val="en-US" w:eastAsia="zh-CN" w:bidi="ar-SA"/>
        </w:rPr>
        <w:t>经开区营商环境建设局对申报主体提交的材料进行完整性审查，材料不齐全或不符合要求的，告知申报主体补齐补正。</w:t>
      </w:r>
    </w:p>
    <w:p w14:paraId="213A7E26">
      <w:pPr>
        <w:pStyle w:val="19"/>
        <w:keepNext w:val="0"/>
        <w:keepLines w:val="0"/>
        <w:pageBreakBefore w:val="0"/>
        <w:widowControl/>
        <w:shd w:val="clear" w:fill="FFFFFF"/>
        <w:kinsoku/>
        <w:overflowPunct/>
        <w:autoSpaceDE/>
        <w:bidi w:val="0"/>
        <w:snapToGrid/>
        <w:spacing w:before="0" w:after="0" w:line="560" w:lineRule="exact"/>
        <w:ind w:firstLine="643"/>
        <w:jc w:val="both"/>
        <w:textAlignment w:val="auto"/>
        <w:rPr>
          <w:rFonts w:hint="eastAsia" w:ascii="仿宋_GB2312" w:hAnsi="仿宋_GB2312" w:eastAsia="仿宋_GB2312" w:cs="仿宋_GB2312"/>
          <w:kern w:val="0"/>
          <w:sz w:val="32"/>
          <w:szCs w:val="32"/>
          <w:highlight w:val="none"/>
          <w:lang w:val="en-US" w:eastAsia="zh-CN" w:bidi="ar-SA"/>
        </w:rPr>
      </w:pPr>
      <w:r>
        <w:rPr>
          <w:rFonts w:ascii="仿宋_GB2312" w:hAnsi="仿宋_GB2312" w:eastAsia="仿宋_GB2312" w:cs="仿宋_GB2312"/>
          <w:b/>
          <w:bCs/>
          <w:color w:val="000000"/>
          <w:kern w:val="0"/>
          <w:sz w:val="32"/>
          <w:szCs w:val="24"/>
        </w:rPr>
        <w:t>（三）审核：</w:t>
      </w:r>
      <w:r>
        <w:rPr>
          <w:rFonts w:hint="eastAsia" w:ascii="仿宋_GB2312" w:hAnsi="仿宋_GB2312" w:eastAsia="仿宋_GB2312" w:cs="仿宋_GB2312"/>
          <w:kern w:val="0"/>
          <w:sz w:val="32"/>
          <w:szCs w:val="32"/>
          <w:highlight w:val="none"/>
          <w:lang w:val="en-US" w:eastAsia="zh-CN" w:bidi="ar-SA"/>
        </w:rPr>
        <w:t>经开区信息技术产业局对申报主体提交的材料进行实质审核。</w:t>
      </w:r>
    </w:p>
    <w:p w14:paraId="04166627">
      <w:pPr>
        <w:pStyle w:val="19"/>
        <w:keepNext w:val="0"/>
        <w:keepLines w:val="0"/>
        <w:pageBreakBefore w:val="0"/>
        <w:widowControl/>
        <w:shd w:val="clear" w:fill="FFFFFF"/>
        <w:kinsoku/>
        <w:overflowPunct/>
        <w:autoSpaceDE/>
        <w:bidi w:val="0"/>
        <w:snapToGrid/>
        <w:spacing w:before="0" w:after="0" w:line="560" w:lineRule="exact"/>
        <w:ind w:firstLine="643"/>
        <w:jc w:val="both"/>
        <w:textAlignment w:val="auto"/>
        <w:rPr>
          <w:rFonts w:hint="eastAsia" w:ascii="仿宋_GB2312" w:hAnsi="仿宋_GB2312" w:eastAsia="仿宋_GB2312" w:cs="仿宋_GB2312"/>
          <w:kern w:val="0"/>
          <w:sz w:val="32"/>
          <w:szCs w:val="32"/>
          <w:highlight w:val="none"/>
          <w:lang w:val="en-US" w:eastAsia="zh-CN" w:bidi="ar-SA"/>
        </w:rPr>
      </w:pPr>
      <w:r>
        <w:rPr>
          <w:rFonts w:ascii="仿宋_GB2312" w:hAnsi="仿宋_GB2312" w:eastAsia="仿宋_GB2312" w:cs="仿宋_GB2312"/>
          <w:b/>
          <w:bCs/>
          <w:color w:val="000000"/>
          <w:kern w:val="0"/>
          <w:sz w:val="32"/>
          <w:szCs w:val="24"/>
        </w:rPr>
        <w:t>（</w:t>
      </w:r>
      <w:r>
        <w:rPr>
          <w:rFonts w:hint="eastAsia" w:ascii="仿宋_GB2312" w:hAnsi="仿宋_GB2312" w:eastAsia="仿宋_GB2312" w:cs="仿宋_GB2312"/>
          <w:b/>
          <w:bCs/>
          <w:color w:val="000000"/>
          <w:kern w:val="0"/>
          <w:sz w:val="32"/>
          <w:szCs w:val="24"/>
          <w:lang w:val="en-US" w:eastAsia="zh-CN"/>
        </w:rPr>
        <w:t>四</w:t>
      </w:r>
      <w:r>
        <w:rPr>
          <w:rFonts w:ascii="仿宋_GB2312" w:hAnsi="仿宋_GB2312" w:eastAsia="仿宋_GB2312" w:cs="仿宋_GB2312"/>
          <w:b/>
          <w:bCs/>
          <w:color w:val="000000"/>
          <w:kern w:val="0"/>
          <w:sz w:val="32"/>
          <w:szCs w:val="24"/>
        </w:rPr>
        <w:t>）确定扶持结果：</w:t>
      </w:r>
      <w:r>
        <w:rPr>
          <w:rFonts w:hint="eastAsia" w:ascii="仿宋_GB2312" w:hAnsi="仿宋_GB2312" w:eastAsia="仿宋_GB2312" w:cs="仿宋_GB2312"/>
          <w:kern w:val="0"/>
          <w:sz w:val="32"/>
          <w:szCs w:val="32"/>
          <w:highlight w:val="none"/>
          <w:lang w:val="en-US" w:eastAsia="zh-CN" w:bidi="ar-SA"/>
        </w:rPr>
        <w:t>经开区信息技术产业局对审核通过的申报主体</w:t>
      </w:r>
      <w:r>
        <w:rPr>
          <w:rFonts w:hint="eastAsia" w:ascii="仿宋_GB2312" w:hAnsi="仿宋_GB2312" w:eastAsia="仿宋_GB2312" w:cs="仿宋_GB2312"/>
          <w:color w:val="000000"/>
          <w:kern w:val="2"/>
          <w:sz w:val="32"/>
          <w:szCs w:val="32"/>
        </w:rPr>
        <w:t>拟定兑现扶持奖励金额</w:t>
      </w:r>
      <w:r>
        <w:rPr>
          <w:rFonts w:hint="eastAsia" w:ascii="仿宋_GB2312" w:hAnsi="仿宋_GB2312" w:eastAsia="仿宋_GB2312" w:cs="仿宋_GB2312"/>
          <w:kern w:val="0"/>
          <w:sz w:val="32"/>
          <w:szCs w:val="32"/>
          <w:highlight w:val="none"/>
          <w:lang w:val="en-US" w:eastAsia="zh-CN" w:bidi="ar-SA"/>
        </w:rPr>
        <w:t>。</w:t>
      </w:r>
    </w:p>
    <w:p w14:paraId="5863048B">
      <w:pPr>
        <w:pStyle w:val="19"/>
        <w:keepNext w:val="0"/>
        <w:keepLines w:val="0"/>
        <w:pageBreakBefore w:val="0"/>
        <w:widowControl/>
        <w:shd w:val="clear" w:fill="FFFFFF"/>
        <w:kinsoku/>
        <w:overflowPunct/>
        <w:autoSpaceDE/>
        <w:bidi w:val="0"/>
        <w:snapToGrid/>
        <w:spacing w:before="0" w:after="0" w:line="560" w:lineRule="exact"/>
        <w:ind w:firstLine="643"/>
        <w:jc w:val="both"/>
        <w:textAlignment w:val="auto"/>
        <w:rPr>
          <w:rFonts w:ascii="仿宋_GB2312" w:hAnsi="仿宋_GB2312" w:eastAsia="仿宋_GB2312" w:cs="仿宋_GB2312"/>
          <w:color w:val="000000"/>
          <w:kern w:val="2"/>
          <w:sz w:val="32"/>
          <w:szCs w:val="32"/>
          <w:highlight w:val="none"/>
        </w:rPr>
      </w:pPr>
      <w:r>
        <w:rPr>
          <w:rFonts w:ascii="仿宋_GB2312" w:hAnsi="仿宋_GB2312" w:eastAsia="仿宋_GB2312" w:cs="仿宋_GB2312"/>
          <w:b/>
          <w:bCs/>
          <w:color w:val="000000"/>
          <w:kern w:val="0"/>
          <w:sz w:val="32"/>
          <w:szCs w:val="24"/>
        </w:rPr>
        <w:t>（</w:t>
      </w:r>
      <w:r>
        <w:rPr>
          <w:rFonts w:hint="eastAsia" w:ascii="仿宋_GB2312" w:hAnsi="仿宋_GB2312" w:eastAsia="仿宋_GB2312" w:cs="仿宋_GB2312"/>
          <w:b/>
          <w:bCs/>
          <w:color w:val="000000"/>
          <w:kern w:val="0"/>
          <w:sz w:val="32"/>
          <w:szCs w:val="24"/>
          <w:lang w:val="en-US" w:eastAsia="zh-CN"/>
        </w:rPr>
        <w:t>五</w:t>
      </w:r>
      <w:r>
        <w:rPr>
          <w:rFonts w:ascii="仿宋_GB2312" w:hAnsi="仿宋_GB2312" w:eastAsia="仿宋_GB2312" w:cs="仿宋_GB2312"/>
          <w:b/>
          <w:bCs/>
          <w:color w:val="000000"/>
          <w:kern w:val="0"/>
          <w:sz w:val="32"/>
          <w:szCs w:val="24"/>
        </w:rPr>
        <w:t>）公示：</w:t>
      </w:r>
      <w:r>
        <w:rPr>
          <w:rFonts w:hint="eastAsia" w:ascii="仿宋_GB2312" w:hAnsi="仿宋_GB2312" w:eastAsia="仿宋_GB2312" w:cs="仿宋_GB2312"/>
          <w:kern w:val="0"/>
          <w:sz w:val="32"/>
          <w:szCs w:val="32"/>
          <w:highlight w:val="none"/>
          <w:lang w:val="en-US" w:eastAsia="zh-CN" w:bidi="ar-SA"/>
        </w:rPr>
        <w:t>经开区信息技术产业局通过政策兑现综合服务平台对审核通过的申报主体进行公示。</w:t>
      </w:r>
    </w:p>
    <w:p w14:paraId="41993EEA">
      <w:pPr>
        <w:pStyle w:val="19"/>
        <w:keepNext w:val="0"/>
        <w:keepLines w:val="0"/>
        <w:pageBreakBefore w:val="0"/>
        <w:widowControl/>
        <w:shd w:val="clear" w:fill="FFFFFF"/>
        <w:kinsoku/>
        <w:overflowPunct/>
        <w:autoSpaceDE/>
        <w:bidi w:val="0"/>
        <w:snapToGrid/>
        <w:spacing w:before="0" w:after="0" w:line="560" w:lineRule="exact"/>
        <w:ind w:firstLine="643"/>
        <w:jc w:val="both"/>
        <w:textAlignment w:val="auto"/>
        <w:rPr>
          <w:rFonts w:ascii="仿宋_GB2312" w:hAnsi="仿宋_GB2312" w:eastAsia="仿宋_GB2312" w:cs="仿宋_GB2312"/>
          <w:color w:val="000000"/>
          <w:kern w:val="2"/>
          <w:sz w:val="32"/>
          <w:szCs w:val="32"/>
          <w:highlight w:val="none"/>
        </w:rPr>
      </w:pPr>
      <w:r>
        <w:rPr>
          <w:rFonts w:ascii="仿宋_GB2312" w:hAnsi="仿宋_GB2312" w:eastAsia="仿宋_GB2312" w:cs="仿宋_GB2312"/>
          <w:b/>
          <w:bCs/>
          <w:color w:val="000000"/>
          <w:kern w:val="0"/>
          <w:sz w:val="32"/>
          <w:szCs w:val="24"/>
        </w:rPr>
        <w:t>（</w:t>
      </w:r>
      <w:r>
        <w:rPr>
          <w:rFonts w:hint="eastAsia" w:ascii="仿宋_GB2312" w:hAnsi="仿宋_GB2312" w:eastAsia="仿宋_GB2312" w:cs="仿宋_GB2312"/>
          <w:b/>
          <w:bCs/>
          <w:color w:val="000000"/>
          <w:kern w:val="0"/>
          <w:sz w:val="32"/>
          <w:szCs w:val="24"/>
          <w:lang w:val="en-US" w:eastAsia="zh-CN"/>
        </w:rPr>
        <w:t>六</w:t>
      </w:r>
      <w:r>
        <w:rPr>
          <w:rFonts w:ascii="仿宋_GB2312" w:hAnsi="仿宋_GB2312" w:eastAsia="仿宋_GB2312" w:cs="仿宋_GB2312"/>
          <w:b/>
          <w:bCs/>
          <w:color w:val="000000"/>
          <w:kern w:val="0"/>
          <w:sz w:val="32"/>
          <w:szCs w:val="24"/>
        </w:rPr>
        <w:t>）资金拨付：</w:t>
      </w:r>
      <w:r>
        <w:rPr>
          <w:rFonts w:hint="eastAsia" w:ascii="仿宋_GB2312" w:hAnsi="仿宋_GB2312" w:eastAsia="仿宋_GB2312" w:cs="仿宋_GB2312"/>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t>经公示无异议的，完成资金拨付。</w:t>
      </w:r>
    </w:p>
    <w:p w14:paraId="619FAAAD">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sz w:val="32"/>
          <w:szCs w:val="32"/>
          <w:highlight w:val="none"/>
        </w:rPr>
      </w:pPr>
      <w:r>
        <w:rPr>
          <w:rFonts w:ascii="黑体;汉仪中黑KW" w:hAnsi="黑体;汉仪中黑KW" w:eastAsia="黑体;汉仪中黑KW" w:cs="黑体;汉仪中黑KW"/>
          <w:sz w:val="32"/>
          <w:szCs w:val="32"/>
        </w:rPr>
        <w:t>七、主责部门</w:t>
      </w:r>
    </w:p>
    <w:p w14:paraId="078E76E8">
      <w:pPr>
        <w:keepNext w:val="0"/>
        <w:keepLines w:val="0"/>
        <w:pageBreakBefore w:val="0"/>
        <w:kinsoku/>
        <w:overflowPunct/>
        <w:autoSpaceDE/>
        <w:bidi w:val="0"/>
        <w:snapToGrid/>
        <w:spacing w:line="560" w:lineRule="exact"/>
        <w:ind w:firstLine="640"/>
        <w:textAlignment w:val="auto"/>
        <w:rPr>
          <w:rFonts w:ascii="仿宋_GB2312" w:hAnsi="仿宋_GB2312" w:eastAsia="仿宋_GB2312" w:cs="仿宋_GB2312"/>
          <w:b/>
          <w:bCs/>
          <w:sz w:val="32"/>
          <w:szCs w:val="32"/>
          <w:highlight w:val="none"/>
          <w:lang w:eastAsia="zh-CN"/>
        </w:rPr>
      </w:pPr>
      <w:r>
        <w:rPr>
          <w:rFonts w:eastAsia="仿宋_GB2312" w:cs="仿宋_GB2312"/>
          <w:sz w:val="32"/>
          <w:szCs w:val="32"/>
        </w:rPr>
        <w:t>经开区</w:t>
      </w:r>
      <w:r>
        <w:rPr>
          <w:rFonts w:eastAsia="仿宋_GB2312" w:cs="仿宋_GB2312"/>
          <w:sz w:val="32"/>
          <w:szCs w:val="32"/>
          <w:lang w:eastAsia="zh-CN"/>
        </w:rPr>
        <w:t>信息技术产业局</w:t>
      </w:r>
    </w:p>
    <w:p w14:paraId="6B15BB40">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sz w:val="32"/>
          <w:szCs w:val="32"/>
          <w:highlight w:val="none"/>
        </w:rPr>
      </w:pPr>
      <w:r>
        <w:rPr>
          <w:rFonts w:ascii="黑体;汉仪中黑KW" w:hAnsi="黑体;汉仪中黑KW" w:eastAsia="黑体;汉仪中黑KW" w:cs="黑体;汉仪中黑KW"/>
          <w:sz w:val="32"/>
          <w:szCs w:val="32"/>
        </w:rPr>
        <w:t>八、受理窗口</w:t>
      </w:r>
    </w:p>
    <w:p w14:paraId="37593893">
      <w:pPr>
        <w:keepNext w:val="0"/>
        <w:keepLines w:val="0"/>
        <w:pageBreakBefore w:val="0"/>
        <w:numPr>
          <w:ilvl w:val="0"/>
          <w:numId w:val="0"/>
        </w:numPr>
        <w:kinsoku/>
        <w:overflowPunct/>
        <w:autoSpaceDE/>
        <w:bidi w:val="0"/>
        <w:snapToGrid/>
        <w:spacing w:line="560" w:lineRule="exact"/>
        <w:ind w:firstLine="640"/>
        <w:textAlignment w:val="auto"/>
        <w:outlineLvl w:val="0"/>
        <w:rPr>
          <w:rFonts w:ascii="仿宋_GB2312" w:hAnsi="仿宋_GB2312" w:eastAsia="仿宋_GB2312" w:cs="仿宋_GB2312"/>
          <w:sz w:val="32"/>
          <w:szCs w:val="32"/>
          <w:highlight w:val="none"/>
        </w:rPr>
      </w:pPr>
      <w:r>
        <w:rPr>
          <w:rFonts w:ascii="仿宋_GB2312" w:hAnsi="仿宋_GB2312" w:eastAsia="仿宋_GB2312" w:cs="仿宋_GB2312"/>
          <w:sz w:val="32"/>
          <w:szCs w:val="32"/>
        </w:rPr>
        <w:t>北京经济技术开发区万源街4号政务服务</w:t>
      </w:r>
      <w:r>
        <w:rPr>
          <w:rFonts w:ascii="仿宋_GB2312" w:hAnsi="仿宋_GB2312" w:eastAsia="仿宋_GB2312" w:cs="仿宋_GB2312"/>
          <w:sz w:val="32"/>
          <w:szCs w:val="32"/>
          <w:lang w:eastAsia="zh-CN"/>
        </w:rPr>
        <w:t>大厅</w:t>
      </w:r>
      <w:r>
        <w:rPr>
          <w:rFonts w:ascii="仿宋_GB2312" w:hAnsi="仿宋_GB2312" w:eastAsia="仿宋_GB2312" w:cs="仿宋_GB2312"/>
          <w:sz w:val="32"/>
          <w:szCs w:val="32"/>
        </w:rPr>
        <w:t>“政策申报”窗口</w:t>
      </w:r>
    </w:p>
    <w:p w14:paraId="3114ADC3">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sz w:val="32"/>
          <w:szCs w:val="32"/>
          <w:highlight w:val="none"/>
        </w:rPr>
      </w:pPr>
      <w:r>
        <w:rPr>
          <w:rFonts w:ascii="黑体;汉仪中黑KW" w:hAnsi="黑体;汉仪中黑KW" w:eastAsia="黑体;汉仪中黑KW" w:cs="黑体;汉仪中黑KW"/>
          <w:sz w:val="32"/>
          <w:szCs w:val="32"/>
        </w:rPr>
        <w:t>九、申报时间</w:t>
      </w:r>
    </w:p>
    <w:p w14:paraId="74C014DB">
      <w:pPr>
        <w:keepNext w:val="0"/>
        <w:keepLines w:val="0"/>
        <w:pageBreakBefore w:val="0"/>
        <w:kinsoku/>
        <w:overflowPunct/>
        <w:autoSpaceDE/>
        <w:bidi w:val="0"/>
        <w:snapToGrid/>
        <w:spacing w:line="560" w:lineRule="exact"/>
        <w:ind w:firstLine="640"/>
        <w:textAlignment w:val="auto"/>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2026年10月2</w:t>
      </w:r>
      <w:r>
        <w:rPr>
          <w:rFonts w:hint="eastAsia" w:ascii="仿宋_GB2312" w:hAnsi="仿宋_GB2312" w:eastAsia="仿宋_GB2312" w:cs="仿宋_GB2312"/>
          <w:sz w:val="32"/>
          <w:szCs w:val="32"/>
          <w:highlight w:val="none"/>
          <w:lang w:val="en-US" w:eastAsia="zh-CN"/>
        </w:rPr>
        <w:t>6</w:t>
      </w:r>
      <w:r>
        <w:rPr>
          <w:rFonts w:ascii="仿宋_GB2312" w:hAnsi="仿宋_GB2312" w:eastAsia="仿宋_GB2312" w:cs="仿宋_GB2312"/>
          <w:sz w:val="32"/>
          <w:szCs w:val="32"/>
          <w:highlight w:val="none"/>
        </w:rPr>
        <w:t>日至2026年11月</w:t>
      </w:r>
      <w:r>
        <w:rPr>
          <w:rFonts w:hint="eastAsia" w:ascii="仿宋_GB2312" w:hAnsi="仿宋_GB2312" w:eastAsia="仿宋_GB2312" w:cs="仿宋_GB2312"/>
          <w:sz w:val="32"/>
          <w:szCs w:val="32"/>
          <w:highlight w:val="none"/>
          <w:lang w:val="en-US" w:eastAsia="zh-CN"/>
        </w:rPr>
        <w:t>16</w:t>
      </w:r>
      <w:r>
        <w:rPr>
          <w:rFonts w:ascii="仿宋_GB2312" w:hAnsi="仿宋_GB2312" w:eastAsia="仿宋_GB2312" w:cs="仿宋_GB2312"/>
          <w:sz w:val="32"/>
          <w:szCs w:val="32"/>
          <w:highlight w:val="none"/>
        </w:rPr>
        <w:t>日</w:t>
      </w:r>
    </w:p>
    <w:p w14:paraId="015D4AEB">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sz w:val="32"/>
          <w:szCs w:val="32"/>
          <w:highlight w:val="none"/>
        </w:rPr>
      </w:pPr>
      <w:r>
        <w:rPr>
          <w:rFonts w:ascii="黑体;汉仪中黑KW" w:hAnsi="黑体;汉仪中黑KW" w:eastAsia="黑体;汉仪中黑KW" w:cs="黑体;汉仪中黑KW"/>
          <w:sz w:val="32"/>
          <w:szCs w:val="32"/>
        </w:rPr>
        <w:t>十、联系方式</w:t>
      </w:r>
    </w:p>
    <w:p w14:paraId="78ADD474">
      <w:pPr>
        <w:keepNext w:val="0"/>
        <w:keepLines w:val="0"/>
        <w:pageBreakBefore w:val="0"/>
        <w:widowControl w:val="0"/>
        <w:numPr>
          <w:ilvl w:val="0"/>
          <w:numId w:val="0"/>
        </w:numPr>
        <w:kinsoku/>
        <w:overflowPunct/>
        <w:autoSpaceDE/>
        <w:bidi w:val="0"/>
        <w:snapToGrid/>
        <w:spacing w:before="0" w:after="0" w:line="560" w:lineRule="exact"/>
        <w:ind w:left="0" w:right="0" w:firstLine="640"/>
        <w:jc w:val="both"/>
        <w:textAlignment w:val="auto"/>
        <w:outlineLvl w:val="0"/>
        <w:rPr>
          <w:rFonts w:ascii="仿宋_GB2312" w:hAnsi="仿宋_GB2312" w:eastAsia="仿宋_GB2312" w:cs="Segoe UI;苹方-简"/>
          <w:kern w:val="2"/>
          <w:sz w:val="32"/>
          <w:szCs w:val="32"/>
          <w:highlight w:val="none"/>
        </w:rPr>
      </w:pPr>
      <w:r>
        <w:rPr>
          <w:rFonts w:ascii="仿宋_GB2312" w:hAnsi="仿宋_GB2312" w:eastAsia="仿宋_GB2312" w:cs="仿宋_GB2312"/>
          <w:kern w:val="2"/>
          <w:sz w:val="32"/>
          <w:szCs w:val="32"/>
          <w:lang w:val="en-US" w:eastAsia="zh-CN" w:bidi="ar"/>
        </w:rPr>
        <w:t>政策咨询：</w:t>
      </w:r>
    </w:p>
    <w:p w14:paraId="4DDC7FA6">
      <w:pPr>
        <w:keepNext w:val="0"/>
        <w:keepLines w:val="0"/>
        <w:pageBreakBefore w:val="0"/>
        <w:widowControl w:val="0"/>
        <w:numPr>
          <w:ilvl w:val="0"/>
          <w:numId w:val="0"/>
        </w:numPr>
        <w:kinsoku/>
        <w:overflowPunct/>
        <w:autoSpaceDE/>
        <w:bidi w:val="0"/>
        <w:snapToGrid/>
        <w:spacing w:before="0" w:after="0" w:line="560" w:lineRule="exact"/>
        <w:ind w:left="0" w:right="0" w:firstLine="640"/>
        <w:jc w:val="both"/>
        <w:textAlignment w:val="auto"/>
        <w:outlineLvl w:val="0"/>
        <w:rPr>
          <w:rFonts w:ascii="仿宋_GB2312" w:hAnsi="仿宋_GB2312" w:eastAsia="仿宋_GB2312" w:cs="Segoe UI;苹方-简"/>
          <w:kern w:val="2"/>
          <w:sz w:val="32"/>
          <w:szCs w:val="32"/>
          <w:highlight w:val="none"/>
        </w:rPr>
      </w:pPr>
      <w:r>
        <w:rPr>
          <w:rFonts w:ascii="仿宋_GB2312" w:hAnsi="仿宋_GB2312" w:eastAsia="仿宋_GB2312" w:cs="仿宋_GB2312"/>
          <w:kern w:val="2"/>
          <w:sz w:val="32"/>
          <w:szCs w:val="32"/>
          <w:lang w:val="en-US" w:eastAsia="zh-CN" w:bidi="ar"/>
        </w:rPr>
        <w:t>经开区政务服务大厅“政策申报”窗口，联系电话：010-67857878转4、010-67857687，工作日上午9:00—12:00，下午1:30—5:00。</w:t>
      </w:r>
    </w:p>
    <w:p w14:paraId="29E4A56F">
      <w:pPr>
        <w:keepNext w:val="0"/>
        <w:keepLines w:val="0"/>
        <w:pageBreakBefore w:val="0"/>
        <w:widowControl w:val="0"/>
        <w:kinsoku/>
        <w:overflowPunct/>
        <w:autoSpaceDE/>
        <w:bidi w:val="0"/>
        <w:snapToGrid/>
        <w:spacing w:before="0" w:after="0" w:line="560" w:lineRule="exact"/>
        <w:ind w:left="0" w:right="0" w:firstLine="640"/>
        <w:jc w:val="both"/>
        <w:textAlignment w:val="auto"/>
        <w:rPr>
          <w:rFonts w:ascii="仿宋_GB2312" w:hAnsi="仿宋_GB2312" w:eastAsia="仿宋_GB2312" w:cs="仿宋_GB2312"/>
          <w:kern w:val="2"/>
          <w:sz w:val="32"/>
          <w:szCs w:val="32"/>
          <w:highlight w:val="none"/>
        </w:rPr>
      </w:pPr>
      <w:r>
        <w:rPr>
          <w:rFonts w:ascii="仿宋_GB2312" w:hAnsi="仿宋_GB2312" w:eastAsia="仿宋_GB2312" w:cs="仿宋_GB2312"/>
          <w:kern w:val="2"/>
          <w:sz w:val="32"/>
          <w:szCs w:val="32"/>
          <w:lang w:val="en-US" w:eastAsia="zh-CN" w:bidi="ar"/>
        </w:rPr>
        <w:t>经开区信息技术产业局，联系人：</w:t>
      </w:r>
      <w:r>
        <w:rPr>
          <w:rFonts w:hint="eastAsia" w:ascii="仿宋_GB2312" w:hAnsi="仿宋_GB2312" w:eastAsia="仿宋_GB2312" w:cs="仿宋_GB2312"/>
          <w:kern w:val="2"/>
          <w:sz w:val="32"/>
          <w:szCs w:val="32"/>
          <w:lang w:val="en-US" w:eastAsia="zh-CN" w:bidi="ar"/>
        </w:rPr>
        <w:t>孟凡池</w:t>
      </w:r>
      <w:r>
        <w:rPr>
          <w:rFonts w:ascii="仿宋_GB2312" w:hAnsi="仿宋_GB2312" w:eastAsia="仿宋_GB2312" w:cs="仿宋_GB2312"/>
          <w:kern w:val="2"/>
          <w:sz w:val="32"/>
          <w:szCs w:val="32"/>
          <w:lang w:val="en-US" w:eastAsia="zh-CN" w:bidi="ar"/>
        </w:rPr>
        <w:t>，联系电话：</w:t>
      </w:r>
      <w:r>
        <w:rPr>
          <w:rFonts w:hint="eastAsia" w:ascii="仿宋_GB2312" w:hAnsi="仿宋_GB2312" w:eastAsia="仿宋_GB2312" w:cs="仿宋_GB2312"/>
          <w:kern w:val="2"/>
          <w:sz w:val="32"/>
          <w:szCs w:val="32"/>
          <w:lang w:val="en-US" w:eastAsia="zh-CN" w:bidi="ar"/>
        </w:rPr>
        <w:t>010-83508303</w:t>
      </w:r>
      <w:r>
        <w:rPr>
          <w:rFonts w:ascii="仿宋_GB2312" w:hAnsi="仿宋_GB2312" w:eastAsia="仿宋_GB2312" w:cs="仿宋_GB2312"/>
          <w:kern w:val="2"/>
          <w:sz w:val="32"/>
          <w:szCs w:val="32"/>
          <w:lang w:val="en-US" w:eastAsia="zh-CN" w:bidi="ar"/>
        </w:rPr>
        <w:t>，工作日上午9:00—12:00，下午2:00—6:00。</w:t>
      </w:r>
    </w:p>
    <w:p w14:paraId="43AB52C8">
      <w:pPr>
        <w:keepNext w:val="0"/>
        <w:keepLines w:val="0"/>
        <w:pageBreakBefore w:val="0"/>
        <w:widowControl w:val="0"/>
        <w:kinsoku/>
        <w:overflowPunct/>
        <w:autoSpaceDE/>
        <w:bidi w:val="0"/>
        <w:snapToGrid/>
        <w:spacing w:before="0" w:after="0" w:line="560" w:lineRule="exact"/>
        <w:ind w:left="0" w:right="0" w:firstLine="640"/>
        <w:jc w:val="both"/>
        <w:textAlignment w:val="auto"/>
        <w:rPr>
          <w:rFonts w:ascii="仿宋_GB2312" w:hAnsi="仿宋_GB2312" w:eastAsia="仿宋_GB2312" w:cs="仿宋_GB2312"/>
          <w:kern w:val="2"/>
          <w:sz w:val="32"/>
          <w:szCs w:val="32"/>
          <w:highlight w:val="none"/>
        </w:rPr>
      </w:pPr>
      <w:r>
        <w:rPr>
          <w:rFonts w:ascii="仿宋_GB2312" w:hAnsi="仿宋_GB2312" w:eastAsia="仿宋_GB2312" w:cs="仿宋_GB2312"/>
          <w:kern w:val="2"/>
          <w:sz w:val="32"/>
          <w:szCs w:val="32"/>
          <w:lang w:val="en-US" w:eastAsia="zh-CN" w:bidi="ar"/>
        </w:rPr>
        <w:t>技术支持：</w:t>
      </w:r>
    </w:p>
    <w:p w14:paraId="1BC784A6">
      <w:pPr>
        <w:keepNext w:val="0"/>
        <w:keepLines w:val="0"/>
        <w:pageBreakBefore w:val="0"/>
        <w:widowControl w:val="0"/>
        <w:kinsoku/>
        <w:overflowPunct/>
        <w:autoSpaceDE/>
        <w:bidi w:val="0"/>
        <w:snapToGrid/>
        <w:spacing w:before="0" w:after="0" w:line="560" w:lineRule="exact"/>
        <w:ind w:left="0" w:right="0" w:firstLine="640"/>
        <w:jc w:val="both"/>
        <w:textAlignment w:val="auto"/>
        <w:rPr>
          <w:rFonts w:ascii="仿宋_GB2312" w:hAnsi="仿宋_GB2312" w:eastAsia="仿宋_GB2312" w:cs="仿宋_GB2312"/>
          <w:kern w:val="2"/>
          <w:sz w:val="32"/>
          <w:szCs w:val="32"/>
          <w:highlight w:val="none"/>
        </w:rPr>
      </w:pPr>
      <w:r>
        <w:rPr>
          <w:rFonts w:ascii="仿宋_GB2312" w:hAnsi="仿宋_GB2312" w:eastAsia="仿宋_GB2312" w:cs="仿宋_GB2312"/>
          <w:kern w:val="2"/>
          <w:sz w:val="32"/>
          <w:szCs w:val="32"/>
          <w:lang w:val="en-US" w:eastAsia="zh-CN" w:bidi="ar"/>
        </w:rPr>
        <w:t>联系电话：010-</w:t>
      </w:r>
      <w:r>
        <w:rPr>
          <w:rFonts w:ascii="仿宋_GB2312" w:hAnsi="仿宋_GB2312" w:eastAsia="仿宋_GB2312" w:cs="仿宋_GB2312"/>
          <w:sz w:val="32"/>
          <w:szCs w:val="32"/>
        </w:rPr>
        <w:t>83509638</w:t>
      </w:r>
      <w:r>
        <w:rPr>
          <w:rFonts w:ascii="仿宋_GB2312" w:hAnsi="仿宋_GB2312" w:eastAsia="仿宋_GB2312" w:cs="仿宋_GB2312"/>
          <w:kern w:val="2"/>
          <w:sz w:val="32"/>
          <w:szCs w:val="32"/>
          <w:lang w:val="en-US" w:eastAsia="zh-CN" w:bidi="ar"/>
        </w:rPr>
        <w:t>，工作日上午9:00—12:00，下午2:00—6:00。</w:t>
      </w:r>
    </w:p>
    <w:p w14:paraId="7E7831D6">
      <w:pPr>
        <w:keepNext w:val="0"/>
        <w:keepLines w:val="0"/>
        <w:pageBreakBefore w:val="0"/>
        <w:numPr>
          <w:ilvl w:val="0"/>
          <w:numId w:val="0"/>
        </w:numPr>
        <w:kinsoku/>
        <w:overflowPunct/>
        <w:autoSpaceDE/>
        <w:bidi w:val="0"/>
        <w:snapToGrid/>
        <w:spacing w:line="560" w:lineRule="exact"/>
        <w:ind w:firstLine="640"/>
        <w:textAlignment w:val="auto"/>
        <w:outlineLvl w:val="0"/>
        <w:rPr>
          <w:rFonts w:ascii="仿宋_GB2312" w:hAnsi="仿宋_GB2312" w:eastAsia="仿宋_GB2312" w:cs="仿宋_GB2312"/>
          <w:sz w:val="32"/>
          <w:szCs w:val="32"/>
          <w:highlight w:val="none"/>
        </w:rPr>
      </w:pPr>
      <w:r>
        <w:rPr>
          <w:rFonts w:ascii="黑体;汉仪中黑KW" w:hAnsi="黑体;汉仪中黑KW" w:eastAsia="黑体;汉仪中黑KW" w:cs="黑体;汉仪中黑KW"/>
          <w:sz w:val="32"/>
          <w:szCs w:val="32"/>
        </w:rPr>
        <w:t>十一、收费标准</w:t>
      </w:r>
    </w:p>
    <w:p w14:paraId="40034E6C">
      <w:pPr>
        <w:keepNext w:val="0"/>
        <w:keepLines w:val="0"/>
        <w:pageBreakBefore w:val="0"/>
        <w:kinsoku/>
        <w:overflowPunct/>
        <w:autoSpaceDE/>
        <w:bidi w:val="0"/>
        <w:snapToGrid/>
        <w:spacing w:line="560" w:lineRule="exact"/>
        <w:ind w:firstLine="640"/>
        <w:textAlignment w:val="auto"/>
        <w:rPr>
          <w:rFonts w:ascii="仿宋_GB2312" w:hAnsi="仿宋_GB2312" w:eastAsia="仿宋_GB2312" w:cs="仿宋_GB2312"/>
          <w:sz w:val="32"/>
          <w:szCs w:val="32"/>
          <w:highlight w:val="none"/>
        </w:rPr>
      </w:pPr>
      <w:r>
        <w:rPr>
          <w:rFonts w:ascii="仿宋_GB2312" w:hAnsi="仿宋_GB2312" w:eastAsia="仿宋_GB2312" w:cs="仿宋_GB2312"/>
          <w:sz w:val="32"/>
          <w:szCs w:val="32"/>
        </w:rPr>
        <w:t>不收费</w:t>
      </w:r>
    </w:p>
    <w:p w14:paraId="4DD569AA">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sz w:val="32"/>
          <w:szCs w:val="32"/>
          <w:highlight w:val="none"/>
        </w:rPr>
      </w:pPr>
      <w:r>
        <w:rPr>
          <w:rFonts w:ascii="黑体;汉仪中黑KW" w:hAnsi="黑体;汉仪中黑KW" w:eastAsia="黑体;汉仪中黑KW" w:cs="黑体;汉仪中黑KW"/>
          <w:sz w:val="32"/>
          <w:szCs w:val="32"/>
        </w:rPr>
        <w:t>十二、特别说明</w:t>
      </w:r>
    </w:p>
    <w:p w14:paraId="3FC0CC6A">
      <w:pPr>
        <w:keepNext w:val="0"/>
        <w:keepLines w:val="0"/>
        <w:pageBreakBefore w:val="0"/>
        <w:kinsoku/>
        <w:overflowPunct/>
        <w:autoSpaceDE/>
        <w:bidi w:val="0"/>
        <w:snapToGrid/>
        <w:spacing w:line="560" w:lineRule="exact"/>
        <w:ind w:firstLine="640"/>
        <w:jc w:val="both"/>
        <w:textAlignment w:val="auto"/>
        <w:rPr>
          <w:rFonts w:ascii="仿宋_GB2312" w:hAnsi="仿宋_GB2312" w:eastAsia="仿宋_GB2312" w:cs="仿宋_GB2312"/>
          <w:sz w:val="32"/>
          <w:szCs w:val="32"/>
          <w:highlight w:val="none"/>
        </w:rPr>
      </w:pPr>
      <w:r>
        <w:rPr>
          <w:rFonts w:ascii="仿宋_GB2312" w:hAnsi="仿宋_GB2312" w:eastAsia="仿宋_GB2312" w:cs="仿宋_GB2312"/>
          <w:sz w:val="32"/>
          <w:szCs w:val="32"/>
        </w:rPr>
        <w:t>无</w:t>
      </w:r>
    </w:p>
    <w:sectPr>
      <w:footerReference r:id="rId3" w:type="default"/>
      <w:pgSz w:w="11906" w:h="16838"/>
      <w:pgMar w:top="2098" w:right="1587" w:bottom="1984" w:left="1587" w:header="850" w:footer="964" w:gutter="0"/>
      <w:pgNumType w:fmt="numberInDash"/>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ohit Devanagar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Liberation Serif">
    <w:altName w:val="Segoe Print"/>
    <w:panose1 w:val="00000000000000000000"/>
    <w:charset w:val="01"/>
    <w:family w:val="roman"/>
    <w:pitch w:val="default"/>
    <w:sig w:usb0="00000000" w:usb1="00000000" w:usb2="00000000" w:usb3="00000000" w:csb0="00000000" w:csb1="00000000"/>
  </w:font>
  <w:font w:name="Noto Serif CJK SC">
    <w:altName w:val="宋体"/>
    <w:panose1 w:val="00000000000000000000"/>
    <w:charset w:val="86"/>
    <w:family w:val="auto"/>
    <w:pitch w:val="default"/>
    <w:sig w:usb0="00000000" w:usb1="00000000" w:usb2="00000000" w:usb3="00000000" w:csb0="00000000" w:csb1="00000000"/>
  </w:font>
  <w:font w:name="宋体;汉仪书宋二KW">
    <w:altName w:val="宋体"/>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Liberation Sans">
    <w:altName w:val="Segoe Print"/>
    <w:panose1 w:val="00000000000000000000"/>
    <w:charset w:val="01"/>
    <w:family w:val="swiss"/>
    <w:pitch w:val="default"/>
    <w:sig w:usb0="00000000" w:usb1="00000000" w:usb2="00000000" w:usb3="00000000" w:csb0="00000000" w:csb1="00000000"/>
  </w:font>
  <w:font w:name="Noto Sans CJK SC">
    <w:altName w:val="Segoe Print"/>
    <w:panose1 w:val="00000000000000000000"/>
    <w:charset w:val="00"/>
    <w:family w:val="auto"/>
    <w:pitch w:val="default"/>
    <w:sig w:usb0="00000000" w:usb1="00000000" w:usb2="00000000" w:usb3="00000000" w:csb0="00000000" w:csb1="00000000"/>
  </w:font>
  <w:font w:name="黑体;汉仪中黑KW">
    <w:altName w:val="黑体"/>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Segoe UI;苹方-简">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8F384">
    <w:pPr>
      <w:pStyle w:val="5"/>
      <w:tabs>
        <w:tab w:val="center" w:pos="442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2007DF">
                          <w:pPr>
                            <w:pStyle w:val="5"/>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52007DF">
                    <w:pPr>
                      <w:pStyle w:val="5"/>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v:textbox>
            </v:shape>
          </w:pict>
        </mc:Fallback>
      </mc:AlternateContent>
    </w:r>
    <w:r>
      <w:rPr>
        <w:lang w:val="en-US"/>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784FE9"/>
    <w:multiLevelType w:val="multilevel"/>
    <w:tmpl w:val="FB784FE9"/>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pStyle w:val="2"/>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documentProtection w:enforcement="0"/>
  <w:defaultTabStop w:val="420"/>
  <w:autoHyphenation/>
  <w:compat>
    <w:noLeading/>
    <w:doNotExpandShiftReturn/>
    <w:useFELayout/>
    <w:compatSetting w:name="compatibilityMode" w:uri="http://schemas.microsoft.com/office/word" w:val="14"/>
  </w:compat>
  <w:rsids>
    <w:rsidRoot w:val="00000000"/>
    <w:rsid w:val="05484B16"/>
    <w:rsid w:val="0E7FAE25"/>
    <w:rsid w:val="0EC817E1"/>
    <w:rsid w:val="0F06672D"/>
    <w:rsid w:val="16B17C2B"/>
    <w:rsid w:val="188449CB"/>
    <w:rsid w:val="196A2368"/>
    <w:rsid w:val="19F3501B"/>
    <w:rsid w:val="1E0A6237"/>
    <w:rsid w:val="205E170B"/>
    <w:rsid w:val="21556F04"/>
    <w:rsid w:val="220A5F40"/>
    <w:rsid w:val="259D70CC"/>
    <w:rsid w:val="25BC63E4"/>
    <w:rsid w:val="2724588D"/>
    <w:rsid w:val="29E03A2B"/>
    <w:rsid w:val="2B4029D3"/>
    <w:rsid w:val="2F6A6270"/>
    <w:rsid w:val="2FEA3DA1"/>
    <w:rsid w:val="35B16948"/>
    <w:rsid w:val="35CC3031"/>
    <w:rsid w:val="3ABC194A"/>
    <w:rsid w:val="3AED5FA8"/>
    <w:rsid w:val="404B79F8"/>
    <w:rsid w:val="42EE091D"/>
    <w:rsid w:val="49BA174B"/>
    <w:rsid w:val="4C12110A"/>
    <w:rsid w:val="4DCB4018"/>
    <w:rsid w:val="547A0454"/>
    <w:rsid w:val="5BCF22AA"/>
    <w:rsid w:val="5BF34EC0"/>
    <w:rsid w:val="647C6246"/>
    <w:rsid w:val="68EF2D67"/>
    <w:rsid w:val="6A1D56B2"/>
    <w:rsid w:val="76E06396"/>
    <w:rsid w:val="77DA2E34"/>
    <w:rsid w:val="7A7A445B"/>
    <w:rsid w:val="7FFEA3A6"/>
    <w:rsid w:val="89F5E625"/>
    <w:rsid w:val="B6ABAC7A"/>
    <w:rsid w:val="BE1E8647"/>
    <w:rsid w:val="DDBFDD45"/>
    <w:rsid w:val="EDCFF3DF"/>
    <w:rsid w:val="FBFE9D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Times New Roman" w:hAnsi="Times New Roman" w:eastAsia="宋体;汉仪书宋二KW" w:cs="Times New Roman"/>
      <w:color w:val="auto"/>
      <w:kern w:val="2"/>
      <w:sz w:val="21"/>
      <w:szCs w:val="24"/>
      <w:lang w:val="en-US" w:eastAsia="zh-CN" w:bidi="ar-SA"/>
    </w:rPr>
  </w:style>
  <w:style w:type="paragraph" w:styleId="2">
    <w:name w:val="heading 3"/>
    <w:basedOn w:val="1"/>
    <w:next w:val="1"/>
    <w:qFormat/>
    <w:uiPriority w:val="0"/>
    <w:pPr>
      <w:keepNext/>
      <w:keepLines/>
      <w:numPr>
        <w:ilvl w:val="2"/>
        <w:numId w:val="1"/>
      </w:numPr>
      <w:spacing w:before="260" w:after="260" w:line="412" w:lineRule="auto"/>
      <w:outlineLvl w:val="2"/>
    </w:pPr>
    <w:rPr>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caption"/>
    <w:basedOn w:val="1"/>
    <w:qFormat/>
    <w:uiPriority w:val="0"/>
    <w:pPr>
      <w:suppressLineNumbers/>
      <w:spacing w:before="120" w:after="120"/>
    </w:pPr>
    <w:rPr>
      <w:rFonts w:cs="Lohit Devanagari"/>
      <w:i/>
      <w:iCs/>
      <w:sz w:val="24"/>
      <w:szCs w:val="24"/>
    </w:rPr>
  </w:style>
  <w:style w:type="paragraph" w:styleId="4">
    <w:name w:val="Body Text"/>
    <w:basedOn w:val="1"/>
    <w:qFormat/>
    <w:uiPriority w:val="0"/>
    <w:rPr>
      <w:rFonts w:ascii="仿宋_GB2312" w:hAnsi="仿宋_GB2312" w:eastAsia="仿宋_GB2312" w:cs="仿宋_GB2312"/>
      <w:sz w:val="32"/>
      <w:szCs w:val="32"/>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7">
    <w:name w:val="List"/>
    <w:basedOn w:val="4"/>
    <w:qFormat/>
    <w:uiPriority w:val="0"/>
    <w:rPr>
      <w:rFonts w:cs="Lohit Devanagari"/>
    </w:rPr>
  </w:style>
  <w:style w:type="paragraph" w:styleId="8">
    <w:name w:val="Normal (Web)"/>
    <w:basedOn w:val="1"/>
    <w:qFormat/>
    <w:uiPriority w:val="0"/>
    <w:pPr>
      <w:spacing w:beforeAutospacing="1" w:afterAutospacing="1"/>
      <w:jc w:val="left"/>
    </w:pPr>
    <w:rPr>
      <w:kern w:val="0"/>
      <w:sz w:val="24"/>
    </w:rPr>
  </w:style>
  <w:style w:type="character" w:styleId="11">
    <w:name w:val="Hyperlink"/>
    <w:basedOn w:val="12"/>
    <w:qFormat/>
    <w:uiPriority w:val="0"/>
    <w:rPr>
      <w:color w:val="0000FF"/>
      <w:u w:val="single"/>
    </w:rPr>
  </w:style>
  <w:style w:type="character" w:customStyle="1" w:styleId="12">
    <w:name w:val="默认段落字体1"/>
    <w:qFormat/>
    <w:uiPriority w:val="0"/>
  </w:style>
  <w:style w:type="character" w:customStyle="1" w:styleId="13">
    <w:name w:val="页脚 Char"/>
    <w:basedOn w:val="12"/>
    <w:qFormat/>
    <w:uiPriority w:val="0"/>
    <w:rPr>
      <w:kern w:val="2"/>
      <w:sz w:val="18"/>
      <w:szCs w:val="18"/>
    </w:rPr>
  </w:style>
  <w:style w:type="character" w:customStyle="1" w:styleId="14">
    <w:name w:val="页眉 Char"/>
    <w:basedOn w:val="12"/>
    <w:qFormat/>
    <w:uiPriority w:val="0"/>
    <w:rPr>
      <w:kern w:val="2"/>
      <w:sz w:val="18"/>
      <w:szCs w:val="18"/>
    </w:rPr>
  </w:style>
  <w:style w:type="paragraph" w:customStyle="1" w:styleId="15">
    <w:name w:val="Heading"/>
    <w:basedOn w:val="1"/>
    <w:next w:val="4"/>
    <w:qFormat/>
    <w:uiPriority w:val="0"/>
    <w:pPr>
      <w:keepNext/>
      <w:spacing w:before="240" w:after="120"/>
    </w:pPr>
    <w:rPr>
      <w:rFonts w:ascii="Liberation Sans" w:hAnsi="Liberation Sans" w:eastAsia="Noto Sans CJK SC" w:cs="Lohit Devanagari"/>
      <w:sz w:val="28"/>
      <w:szCs w:val="28"/>
    </w:rPr>
  </w:style>
  <w:style w:type="paragraph" w:customStyle="1" w:styleId="16">
    <w:name w:val="Index"/>
    <w:basedOn w:val="1"/>
    <w:qFormat/>
    <w:uiPriority w:val="0"/>
    <w:pPr>
      <w:suppressLineNumbers/>
    </w:pPr>
    <w:rPr>
      <w:rFonts w:cs="Lohit Devanagari"/>
    </w:rPr>
  </w:style>
  <w:style w:type="paragraph" w:customStyle="1" w:styleId="17">
    <w:name w:val="批注文字1"/>
    <w:basedOn w:val="1"/>
    <w:qFormat/>
    <w:uiPriority w:val="0"/>
    <w:pPr>
      <w:jc w:val="left"/>
    </w:pPr>
  </w:style>
  <w:style w:type="paragraph" w:customStyle="1" w:styleId="18">
    <w:name w:val="Header and Footer"/>
    <w:basedOn w:val="1"/>
    <w:qFormat/>
    <w:uiPriority w:val="0"/>
    <w:pPr>
      <w:suppressLineNumbers/>
      <w:tabs>
        <w:tab w:val="center" w:pos="4986"/>
        <w:tab w:val="right" w:pos="9972"/>
      </w:tabs>
    </w:pPr>
  </w:style>
  <w:style w:type="paragraph" w:customStyle="1" w:styleId="19">
    <w:name w:val="普通(网站)1"/>
    <w:basedOn w:val="1"/>
    <w:qFormat/>
    <w:uiPriority w:val="0"/>
    <w:pPr>
      <w:spacing w:before="280" w:after="280"/>
      <w:jc w:val="left"/>
    </w:pPr>
    <w:rPr>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485</Words>
  <Characters>514</Characters>
  <TotalTime>13</TotalTime>
  <ScaleCrop>false</ScaleCrop>
  <LinksUpToDate>false</LinksUpToDate>
  <CharactersWithSpaces>514</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2019-08-18T14:54:00Z</dcterms:created>
  <dc:creator>zkk</dc:creator>
  <cp:lastModifiedBy>张九峰</cp:lastModifiedBy>
  <cp:lastPrinted>2020-03-28T03:03:00Z</cp:lastPrinted>
  <dcterms:modified xsi:type="dcterms:W3CDTF">2026-10-26T08:16:52Z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0FCF14F8D44140A0446BBC6A9C13780A_43</vt:lpwstr>
  </property>
  <property fmtid="{D5CDD505-2E9C-101B-9397-08002B2CF9AE}" pid="3" name="KSOProductBuildVer">
    <vt:lpwstr>2052-12.1.0.29161</vt:lpwstr>
  </property>
  <property fmtid="{D5CDD505-2E9C-101B-9397-08002B2CF9AE}" pid="4" name="KSOTemplateDocerSaveRecord">
    <vt:lpwstr>eyJoZGlkIjoiMmMwYmNjZmFlYmZkNDhhN2I5MzI1MmE3Nzk4ZGZiMDMiLCJ1c2VySWQiOiIzNTgxMjQ0NTQifQ==</vt:lpwstr>
  </property>
  <property fmtid="{D5CDD505-2E9C-101B-9397-08002B2CF9AE}" pid="5" name="commondata">
    <vt:lpwstr>commondata</vt:lpwstr>
  </property>
</Properties>
</file>