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954E3">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7A1FF737">
      <w:pPr>
        <w:spacing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2026年“打造词元分发与技能获取中枢”</w:t>
      </w:r>
    </w:p>
    <w:p w14:paraId="6C12AF82">
      <w:pPr>
        <w:spacing w:line="56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lang w:eastAsia="zh-CN"/>
        </w:rPr>
        <w:t>专项奖励</w:t>
      </w:r>
      <w:r>
        <w:rPr>
          <w:rFonts w:ascii="方正小标宋简体" w:hAnsi="方正小标宋简体" w:eastAsia="方正小标宋简体" w:cs="方正小标宋简体"/>
          <w:sz w:val="44"/>
          <w:szCs w:val="44"/>
        </w:rPr>
        <w:t>办事指南</w:t>
      </w:r>
    </w:p>
    <w:p w14:paraId="708743F9">
      <w:pPr>
        <w:spacing w:line="560" w:lineRule="exact"/>
        <w:rPr>
          <w:rFonts w:ascii="仿宋_GB2312" w:hAnsi="仿宋_GB2312" w:eastAsia="仿宋_GB2312" w:cs="仿宋_GB2312"/>
          <w:sz w:val="32"/>
          <w:szCs w:val="32"/>
          <w:highlight w:val="none"/>
        </w:rPr>
      </w:pPr>
    </w:p>
    <w:p w14:paraId="1A43BF02">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color w:val="000000"/>
          <w:kern w:val="0"/>
          <w:sz w:val="32"/>
          <w:szCs w:val="32"/>
          <w:highlight w:val="none"/>
        </w:rPr>
      </w:pPr>
      <w:r>
        <w:rPr>
          <w:rFonts w:ascii="黑体;汉仪中黑KW" w:hAnsi="黑体;汉仪中黑KW" w:eastAsia="黑体;汉仪中黑KW" w:cs="黑体;汉仪中黑KW"/>
          <w:sz w:val="32"/>
          <w:szCs w:val="32"/>
        </w:rPr>
        <w:t>一、政策依据</w:t>
      </w:r>
    </w:p>
    <w:p w14:paraId="39B2DEB5">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bCs/>
          <w:color w:val="000000"/>
          <w:kern w:val="0"/>
          <w:sz w:val="32"/>
          <w:szCs w:val="32"/>
          <w:highlight w:val="none"/>
          <w:lang w:val="en-US" w:eastAsia="zh-CN"/>
        </w:rPr>
      </w:pPr>
      <w:r>
        <w:rPr>
          <w:rFonts w:ascii="仿宋_GB2312" w:hAnsi="仿宋_GB2312" w:eastAsia="仿宋_GB2312" w:cs="仿宋_GB2312"/>
          <w:bCs/>
          <w:color w:val="000000"/>
          <w:kern w:val="0"/>
          <w:sz w:val="32"/>
          <w:szCs w:val="32"/>
        </w:rPr>
        <w:t>《北京经济技术开发区关于支持词元驱动智能经济高质量发展的若干措施（试行）》（京技管发〔2026〕9号）第五条“打造词元分发与技能获取中枢”。</w:t>
      </w:r>
    </w:p>
    <w:p w14:paraId="32E96C0F">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color w:val="000000"/>
          <w:sz w:val="32"/>
          <w:szCs w:val="32"/>
          <w:highlight w:val="none"/>
        </w:rPr>
      </w:pPr>
      <w:r>
        <w:rPr>
          <w:rFonts w:ascii="黑体;汉仪中黑KW" w:hAnsi="黑体;汉仪中黑KW" w:eastAsia="黑体;汉仪中黑KW" w:cs="黑体;汉仪中黑KW"/>
          <w:color w:val="000000"/>
          <w:sz w:val="32"/>
          <w:szCs w:val="32"/>
        </w:rPr>
        <w:t>二、申报事项</w:t>
      </w:r>
    </w:p>
    <w:p w14:paraId="3EADF673">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bCs/>
          <w:color w:val="000000"/>
          <w:kern w:val="0"/>
          <w:sz w:val="32"/>
          <w:szCs w:val="32"/>
          <w:highlight w:val="none"/>
        </w:rPr>
      </w:pPr>
      <w:r>
        <w:rPr>
          <w:rFonts w:ascii="仿宋_GB2312" w:hAnsi="仿宋_GB2312" w:eastAsia="仿宋_GB2312" w:cs="仿宋_GB2312"/>
          <w:bCs/>
          <w:color w:val="000000"/>
          <w:kern w:val="0"/>
          <w:sz w:val="32"/>
          <w:szCs w:val="32"/>
          <w:lang w:val="en-US" w:eastAsia="zh-CN"/>
        </w:rPr>
        <w:t>2026年“</w:t>
      </w:r>
      <w:r>
        <w:rPr>
          <w:rFonts w:hint="eastAsia" w:ascii="仿宋_GB2312" w:hAnsi="仿宋_GB2312" w:eastAsia="仿宋_GB2312" w:cs="仿宋_GB2312"/>
          <w:bCs/>
          <w:color w:val="000000"/>
          <w:kern w:val="0"/>
          <w:sz w:val="32"/>
          <w:szCs w:val="32"/>
          <w:lang w:val="en-US" w:eastAsia="zh-CN"/>
        </w:rPr>
        <w:t>打造词元分发与技能获取中枢</w:t>
      </w:r>
      <w:r>
        <w:rPr>
          <w:rFonts w:ascii="仿宋_GB2312" w:hAnsi="仿宋_GB2312" w:eastAsia="仿宋_GB2312" w:cs="仿宋_GB2312"/>
          <w:bCs/>
          <w:color w:val="000000"/>
          <w:kern w:val="0"/>
          <w:sz w:val="32"/>
          <w:szCs w:val="32"/>
          <w:lang w:val="en-US" w:eastAsia="zh-CN"/>
        </w:rPr>
        <w:t>”专项奖励</w:t>
      </w:r>
    </w:p>
    <w:p w14:paraId="1EC9EDF7">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bCs/>
          <w:color w:val="000000"/>
          <w:kern w:val="0"/>
          <w:sz w:val="32"/>
          <w:szCs w:val="32"/>
          <w:highlight w:val="none"/>
        </w:rPr>
      </w:pPr>
      <w:r>
        <w:rPr>
          <w:rFonts w:ascii="黑体;汉仪中黑KW" w:hAnsi="黑体;汉仪中黑KW" w:eastAsia="黑体;汉仪中黑KW" w:cs="黑体;汉仪中黑KW"/>
          <w:bCs/>
          <w:color w:val="000000"/>
          <w:kern w:val="0"/>
          <w:sz w:val="32"/>
          <w:szCs w:val="32"/>
        </w:rPr>
        <w:t>三、申报条件</w:t>
      </w:r>
    </w:p>
    <w:p w14:paraId="71A9127D">
      <w:pPr>
        <w:adjustRightInd/>
        <w:snapToGrid/>
        <w:spacing w:line="560" w:lineRule="exact"/>
        <w:ind w:firstLine="640"/>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pPr>
      <w:r>
        <w:rPr>
          <w:rFonts w:hint="eastAsia" w:ascii="仿宋_GB2312" w:hAnsi="仿宋_GB2312" w:eastAsia="仿宋_GB2312" w:cs="仿宋_GB2312"/>
          <w:color w:val="262626" w:themeColor="text1" w:themeTint="D9"/>
          <w:sz w:val="32"/>
          <w:szCs w:val="32"/>
          <w:highlight w:val="none"/>
          <w:shd w:val="clear" w:color="auto"/>
          <w:lang w:eastAsia="zh-CN"/>
          <w14:textFill>
            <w14:solidFill>
              <w14:schemeClr w14:val="tx1">
                <w14:lumMod w14:val="85000"/>
                <w14:lumOff w14:val="15000"/>
              </w14:schemeClr>
            </w14:solidFill>
          </w14:textFill>
        </w:rPr>
        <w:t>（一）</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申报单位为在亦庄新城225平方公里范围内依法</w:t>
      </w:r>
      <w:r>
        <w:rPr>
          <w:rFonts w:hint="eastAsia" w:ascii="仿宋_GB2312" w:hAnsi="仿宋_GB2312" w:eastAsia="仿宋_GB2312" w:cs="仿宋_GB2312"/>
          <w:color w:val="262626" w:themeColor="text1" w:themeTint="D9"/>
          <w:sz w:val="32"/>
          <w:szCs w:val="32"/>
          <w:highlight w:val="none"/>
          <w:shd w:val="clear" w:color="auto"/>
          <w:lang w:eastAsia="zh-CN"/>
          <w14:textFill>
            <w14:solidFill>
              <w14:schemeClr w14:val="tx1">
                <w14:lumMod w14:val="85000"/>
                <w14:lumOff w14:val="15000"/>
              </w14:schemeClr>
            </w14:solidFill>
          </w14:textFill>
        </w:rPr>
        <w:t>实际</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经营的</w:t>
      </w:r>
      <w:r>
        <w:rPr>
          <w:rFonts w:hint="eastAsia" w:ascii="仿宋_GB2312" w:hAnsi="仿宋_GB2312" w:eastAsia="仿宋_GB2312" w:cs="仿宋_GB2312"/>
          <w:color w:val="262626" w:themeColor="text1" w:themeTint="D9"/>
          <w:sz w:val="32"/>
          <w:szCs w:val="32"/>
          <w:highlight w:val="none"/>
          <w:shd w:val="clear" w:color="auto"/>
          <w:lang w:eastAsia="zh-CN"/>
          <w14:textFill>
            <w14:solidFill>
              <w14:schemeClr w14:val="tx1">
                <w14:lumMod w14:val="85000"/>
                <w14:lumOff w14:val="15000"/>
              </w14:schemeClr>
            </w14:solidFill>
          </w14:textFill>
        </w:rPr>
        <w:t>可</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提供</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词元分发应用</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服务</w:t>
      </w:r>
      <w:r>
        <w:rPr>
          <w:rFonts w:hint="eastAsia" w:ascii="仿宋_GB2312" w:hAnsi="仿宋_GB2312" w:eastAsia="仿宋_GB2312" w:cs="仿宋_GB2312"/>
          <w:color w:val="262626" w:themeColor="text1" w:themeTint="D9"/>
          <w:sz w:val="32"/>
          <w:szCs w:val="32"/>
          <w:highlight w:val="none"/>
          <w:shd w:val="clear" w:color="auto"/>
          <w:lang w:eastAsia="zh-CN"/>
          <w14:textFill>
            <w14:solidFill>
              <w14:schemeClr w14:val="tx1">
                <w14:lumMod w14:val="85000"/>
                <w14:lumOff w14:val="15000"/>
              </w14:schemeClr>
            </w14:solidFill>
          </w14:textFill>
        </w:rPr>
        <w:t>或</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多能力聚合服务</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的运营主体，</w:t>
      </w:r>
      <w:r>
        <w:rPr>
          <w:rFonts w:hint="eastAsia" w:ascii="仿宋_GB2312" w:hAnsi="仿宋_GB2312" w:eastAsia="仿宋_GB2312" w:cs="仿宋_GB2312"/>
          <w:color w:val="262626" w:themeColor="text1" w:themeTint="D9"/>
          <w:sz w:val="32"/>
          <w:szCs w:val="32"/>
          <w:highlight w:val="none"/>
          <w:shd w:val="clear" w:color="auto"/>
          <w:lang w:eastAsia="zh-CN"/>
          <w14:textFill>
            <w14:solidFill>
              <w14:schemeClr w14:val="tx1">
                <w14:lumMod w14:val="85000"/>
                <w14:lumOff w14:val="15000"/>
              </w14:schemeClr>
            </w14:solidFill>
          </w14:textFill>
        </w:rPr>
        <w:t>且</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近3年无重大行政处罚记录和刑事犯罪记录，未列入严重违法失信主体名单。</w:t>
      </w:r>
    </w:p>
    <w:p w14:paraId="12A49137">
      <w:pPr>
        <w:adjustRightInd/>
        <w:snapToGrid/>
        <w:spacing w:line="560" w:lineRule="exact"/>
        <w:ind w:firstLine="640"/>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pP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（二）申报单位</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应聚焦词元分发与技能获取中枢建设，</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所属AIGC、代码编程、智能硬件、工业制造等领域，</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具备跨模型、跨模态、跨算力平台接入能力，提供标准化API接口、全量模型聚合与词元统一结算、智能体技能（Skill）开发与联动等多能力聚合服务。</w:t>
      </w:r>
    </w:p>
    <w:p w14:paraId="309E6CC1">
      <w:pPr>
        <w:keepNext w:val="0"/>
        <w:keepLines w:val="0"/>
        <w:pageBreakBefore w:val="0"/>
        <w:shd w:val="clear"/>
        <w:kinsoku/>
        <w:overflowPunct/>
        <w:topLinePunct w:val="0"/>
        <w:autoSpaceDE/>
        <w:autoSpaceDN/>
        <w:bidi w:val="0"/>
        <w:adjustRightInd/>
        <w:snapToGrid/>
        <w:spacing w:line="560" w:lineRule="exact"/>
        <w:ind w:firstLine="640"/>
        <w:textAlignment w:val="auto"/>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（三）</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词元分发与技能获取中枢</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应具备以下特征：</w:t>
      </w:r>
      <w:r>
        <w:rPr>
          <w:rFonts w:hint="eastAsia" w:ascii="仿宋_GB2312" w:hAnsi="仿宋_GB2312" w:eastAsia="仿宋_GB2312" w:cs="仿宋_GB2312"/>
          <w:b/>
          <w:bCs/>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一是</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具备稳定词元产出能力，提供各项工具服务，支持用户沉淀、复用数据与流程，将多模态大模型融入垂直行业。</w:t>
      </w:r>
      <w:r>
        <w:rPr>
          <w:rFonts w:hint="eastAsia" w:ascii="仿宋_GB2312" w:hAnsi="仿宋_GB2312" w:eastAsia="仿宋_GB2312" w:cs="仿宋_GB2312"/>
          <w:b/>
          <w:bCs/>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二是</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放大词元要素价值，应支持用户消耗词元辅助提升生产效能，助力企业降本增效、优化资源消耗结构。</w:t>
      </w:r>
      <w:r>
        <w:rPr>
          <w:rFonts w:hint="eastAsia" w:ascii="仿宋_GB2312" w:hAnsi="仿宋_GB2312" w:eastAsia="仿宋_GB2312" w:cs="仿宋_GB2312"/>
          <w:b/>
          <w:bCs/>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三是</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助力繁荣词元消费生态，具备市场化运营机制，依托用户服务、项目交付等方式构建业务闭环，连接模型、算力、工具与下游行业用户，具备一定的用户体量。</w:t>
      </w:r>
      <w:r>
        <w:rPr>
          <w:rFonts w:hint="eastAsia" w:ascii="仿宋_GB2312" w:hAnsi="仿宋_GB2312" w:eastAsia="仿宋_GB2312" w:cs="仿宋_GB2312"/>
          <w:b/>
          <w:bCs/>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四是</w:t>
      </w:r>
      <w:r>
        <w:rPr>
          <w:rFonts w:hint="eastAsia" w:ascii="仿宋_GB2312" w:hAnsi="仿宋_GB2312" w:eastAsia="仿宋_GB2312" w:cs="仿宋_GB2312"/>
          <w:b w:val="0"/>
          <w:bCs w:val="0"/>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具备完善的运营机制。</w:t>
      </w:r>
      <w:r>
        <w:rPr>
          <w:rFonts w:hint="eastAsia"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t>为用户提供消费核验机制，使平台运营具有规范性、可追溯性与可持续性。</w:t>
      </w:r>
    </w:p>
    <w:p w14:paraId="4176978E">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bCs/>
          <w:color w:val="000000"/>
          <w:kern w:val="0"/>
          <w:sz w:val="32"/>
          <w:szCs w:val="32"/>
          <w:highlight w:val="none"/>
        </w:rPr>
      </w:pPr>
      <w:r>
        <w:rPr>
          <w:rFonts w:ascii="黑体;汉仪中黑KW" w:hAnsi="黑体;汉仪中黑KW" w:eastAsia="黑体;汉仪中黑KW" w:cs="黑体;汉仪中黑KW"/>
          <w:bCs/>
          <w:color w:val="000000"/>
          <w:kern w:val="0"/>
          <w:sz w:val="32"/>
          <w:szCs w:val="32"/>
        </w:rPr>
        <w:t>四、支持内容及标准</w:t>
      </w:r>
    </w:p>
    <w:p w14:paraId="55130A89">
      <w:pPr>
        <w:keepNext w:val="0"/>
        <w:keepLines w:val="0"/>
        <w:pageBreakBefore w:val="0"/>
        <w:widowControl/>
        <w:kinsoku/>
        <w:overflowPunct/>
        <w:autoSpaceDE/>
        <w:bidi w:val="0"/>
        <w:snapToGrid/>
        <w:spacing w:line="560" w:lineRule="exact"/>
        <w:ind w:firstLine="640"/>
        <w:jc w:val="both"/>
        <w:textAlignment w:val="auto"/>
        <w:rPr>
          <w:rFonts w:ascii="仿宋_GB2312" w:hAnsi="仿宋_GB2312" w:eastAsia="仿宋_GB2312" w:cs="仿宋_GB2312"/>
          <w:color w:val="000000"/>
          <w:sz w:val="32"/>
          <w:szCs w:val="32"/>
          <w:highlight w:val="none"/>
        </w:rPr>
      </w:pPr>
      <w:r>
        <w:rPr>
          <w:rFonts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lang w:val="en-US" w:eastAsia="zh-CN"/>
        </w:rPr>
        <w:t>专家评审主要</w:t>
      </w:r>
      <w:r>
        <w:rPr>
          <w:rFonts w:hint="eastAsia" w:ascii="仿宋_GB2312" w:hAnsi="仿宋_GB2312" w:eastAsia="仿宋_GB2312" w:cs="仿宋_GB2312"/>
          <w:kern w:val="2"/>
          <w:sz w:val="32"/>
          <w:szCs w:val="32"/>
          <w:lang w:val="en-US" w:eastAsia="zh-CN" w:bidi="ar-SA"/>
        </w:rPr>
        <w:t>围绕</w:t>
      </w:r>
      <w:r>
        <w:rPr>
          <w:rFonts w:hint="eastAsia" w:ascii="仿宋_GB2312" w:hAnsi="仿宋_GB2312" w:eastAsia="仿宋_GB2312" w:cs="仿宋_GB2312"/>
          <w:kern w:val="2"/>
          <w:sz w:val="32"/>
          <w:szCs w:val="32"/>
          <w:lang w:val="en-US" w:eastAsia="zh" w:bidi="ar-SA"/>
        </w:rPr>
        <w:t>模型与技能接入能力</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 w:bidi="ar-SA"/>
        </w:rPr>
        <w:t>模型调度与技能聚合能力、服务能力与应用效果、运营与可持续性</w:t>
      </w:r>
      <w:r>
        <w:rPr>
          <w:rFonts w:hint="eastAsia" w:ascii="仿宋_GB2312" w:hAnsi="仿宋_GB2312" w:eastAsia="仿宋_GB2312" w:cs="仿宋_GB2312"/>
          <w:kern w:val="2"/>
          <w:sz w:val="32"/>
          <w:szCs w:val="32"/>
          <w:lang w:val="en-US" w:eastAsia="zh-CN" w:bidi="ar-SA"/>
        </w:rPr>
        <w:t>及</w:t>
      </w:r>
      <w:r>
        <w:rPr>
          <w:rFonts w:hint="eastAsia" w:ascii="仿宋_GB2312" w:hAnsi="等线" w:eastAsia="仿宋_GB2312" w:cs="仿宋_GB2312"/>
          <w:sz w:val="32"/>
          <w:szCs w:val="32"/>
        </w:rPr>
        <w:t>其他相关材料</w:t>
      </w:r>
      <w:r>
        <w:rPr>
          <w:rFonts w:hint="eastAsia" w:ascii="仿宋_GB2312" w:hAnsi="仿宋_GB2312" w:eastAsia="仿宋_GB2312" w:cs="仿宋_GB2312"/>
          <w:kern w:val="2"/>
          <w:sz w:val="32"/>
          <w:szCs w:val="32"/>
          <w:lang w:val="en-US" w:eastAsia="zh-CN" w:bidi="ar-SA"/>
        </w:rPr>
        <w:t>进行评价，分级分档给予最高5000万元资金支持</w:t>
      </w:r>
      <w:r>
        <w:rPr>
          <w:rFonts w:hint="eastAsia" w:ascii="仿宋_GB2312" w:hAnsi="仿宋_GB2312" w:eastAsia="仿宋_GB2312" w:cs="仿宋_GB2312"/>
          <w:color w:val="000000"/>
          <w:sz w:val="32"/>
          <w:szCs w:val="32"/>
          <w:lang w:val="en-US" w:eastAsia="zh-CN"/>
        </w:rPr>
        <w:t>。</w:t>
      </w:r>
    </w:p>
    <w:p w14:paraId="1F3939A4">
      <w:pPr>
        <w:keepNext w:val="0"/>
        <w:keepLines w:val="0"/>
        <w:pageBreakBefore w:val="0"/>
        <w:widowControl/>
        <w:kinsoku/>
        <w:overflowPunct/>
        <w:autoSpaceDE/>
        <w:bidi w:val="0"/>
        <w:snapToGrid/>
        <w:spacing w:line="560" w:lineRule="exact"/>
        <w:ind w:firstLine="640"/>
        <w:jc w:val="both"/>
        <w:textAlignment w:val="auto"/>
        <w:rPr>
          <w:rFonts w:hint="eastAsia" w:ascii="仿宋_GB2312" w:hAnsi="仿宋_GB2312" w:eastAsia="仿宋_GB2312" w:cs="仿宋_GB2312"/>
          <w:color w:val="000000"/>
          <w:sz w:val="32"/>
          <w:szCs w:val="32"/>
          <w:highlight w:val="none"/>
          <w:lang w:eastAsia="zh-CN"/>
        </w:rPr>
      </w:pP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二</w:t>
      </w:r>
      <w:r>
        <w:rPr>
          <w:rFonts w:ascii="仿宋_GB2312" w:hAnsi="仿宋_GB2312" w:eastAsia="仿宋_GB2312" w:cs="仿宋_GB2312"/>
          <w:color w:val="000000"/>
          <w:sz w:val="32"/>
          <w:szCs w:val="32"/>
        </w:rPr>
        <w:t>）申报业务方向需与人工智能产业方向契合，结算单、发票、合同等申报材料需合规，材料不合规的</w:t>
      </w:r>
      <w:r>
        <w:rPr>
          <w:rFonts w:hint="eastAsia" w:ascii="仿宋_GB2312" w:hAnsi="仿宋_GB2312" w:eastAsia="仿宋_GB2312" w:cs="仿宋_GB2312"/>
          <w:color w:val="000000"/>
          <w:sz w:val="32"/>
          <w:szCs w:val="32"/>
          <w:lang w:eastAsia="zh-CN"/>
        </w:rPr>
        <w:t>不作为本次专项奖励支持依据。</w:t>
      </w:r>
    </w:p>
    <w:p w14:paraId="480F4D2C">
      <w:pPr>
        <w:keepNext w:val="0"/>
        <w:keepLines w:val="0"/>
        <w:pageBreakBefore w:val="0"/>
        <w:numPr>
          <w:ilvl w:val="0"/>
          <w:numId w:val="0"/>
        </w:numPr>
        <w:kinsoku/>
        <w:overflowPunct/>
        <w:autoSpaceDE/>
        <w:bidi w:val="0"/>
        <w:snapToGrid/>
        <w:spacing w:line="560" w:lineRule="exact"/>
        <w:ind w:firstLine="640"/>
        <w:textAlignment w:val="auto"/>
        <w:outlineLvl w:val="1"/>
        <w:rPr>
          <w:rFonts w:ascii="仿宋_GB2312" w:hAnsi="仿宋_GB2312" w:eastAsia="仿宋_GB2312" w:cs="仿宋_GB2312"/>
          <w:spacing w:val="6"/>
          <w:sz w:val="32"/>
          <w:szCs w:val="32"/>
          <w:highlight w:val="none"/>
        </w:rPr>
      </w:pPr>
      <w:r>
        <w:rPr>
          <w:rFonts w:ascii="黑体;汉仪中黑KW" w:hAnsi="黑体;汉仪中黑KW" w:eastAsia="黑体;汉仪中黑KW" w:cs="黑体;汉仪中黑KW"/>
          <w:bCs/>
          <w:color w:val="000000"/>
          <w:kern w:val="0"/>
          <w:sz w:val="32"/>
          <w:szCs w:val="32"/>
        </w:rPr>
        <w:t>五、申报材料及要求</w:t>
      </w:r>
    </w:p>
    <w:p w14:paraId="687ACFED">
      <w:pPr>
        <w:keepNext w:val="0"/>
        <w:keepLines w:val="0"/>
        <w:pageBreakBefore w:val="0"/>
        <w:numPr>
          <w:ilvl w:val="0"/>
          <w:numId w:val="0"/>
        </w:numPr>
        <w:kinsoku/>
        <w:overflowPunct/>
        <w:autoSpaceDE/>
        <w:bidi w:val="0"/>
        <w:snapToGrid/>
        <w:spacing w:line="560" w:lineRule="exact"/>
        <w:ind w:firstLine="640"/>
        <w:textAlignment w:val="auto"/>
        <w:outlineLvl w:val="2"/>
        <w:rPr>
          <w:rFonts w:ascii="仿宋_GB2312" w:hAnsi="仿宋_GB2312" w:eastAsia="仿宋_GB2312" w:cs="仿宋_GB2312"/>
          <w:sz w:val="32"/>
          <w:szCs w:val="32"/>
          <w:highlight w:val="none"/>
          <w:lang w:val="en-US" w:eastAsia="zh-CN"/>
        </w:rPr>
      </w:pPr>
      <w:r>
        <w:rPr>
          <w:rFonts w:ascii="仿宋_GB2312" w:hAnsi="仿宋_GB2312" w:eastAsia="仿宋_GB2312" w:cs="仿宋_GB2312"/>
          <w:sz w:val="32"/>
          <w:szCs w:val="32"/>
          <w:lang w:val="en-US" w:eastAsia="zh-CN"/>
        </w:rPr>
        <w:t>1.2026年“</w:t>
      </w:r>
      <w:r>
        <w:rPr>
          <w:rFonts w:ascii="仿宋_GB2312" w:hAnsi="仿宋_GB2312" w:eastAsia="仿宋_GB2312" w:cs="仿宋_GB2312"/>
          <w:bCs/>
          <w:color w:val="000000"/>
          <w:kern w:val="0"/>
          <w:sz w:val="32"/>
          <w:szCs w:val="32"/>
        </w:rPr>
        <w:t>打造词元分发与技能获取中枢</w:t>
      </w:r>
      <w:r>
        <w:rPr>
          <w:rFonts w:ascii="仿宋_GB2312" w:hAnsi="仿宋_GB2312" w:eastAsia="仿宋_GB2312" w:cs="仿宋_GB2312"/>
          <w:sz w:val="32"/>
          <w:szCs w:val="32"/>
          <w:lang w:val="en-US" w:eastAsia="zh-CN"/>
        </w:rPr>
        <w:t>”专项奖励申报表，在线填写；</w:t>
      </w:r>
    </w:p>
    <w:p w14:paraId="60A2D5B2">
      <w:pPr>
        <w:keepNext w:val="0"/>
        <w:keepLines w:val="0"/>
        <w:pageBreakBefore w:val="0"/>
        <w:numPr>
          <w:ilvl w:val="0"/>
          <w:numId w:val="0"/>
        </w:numPr>
        <w:kinsoku/>
        <w:overflowPunct/>
        <w:autoSpaceDE/>
        <w:bidi w:val="0"/>
        <w:snapToGrid/>
        <w:spacing w:line="560" w:lineRule="exact"/>
        <w:ind w:firstLine="640"/>
        <w:textAlignment w:val="auto"/>
        <w:outlineLvl w:val="2"/>
        <w:rPr>
          <w:rFonts w:ascii="仿宋_GB2312" w:hAnsi="仿宋_GB2312" w:eastAsia="仿宋_GB2312" w:cs="仿宋_GB2312"/>
          <w:sz w:val="32"/>
          <w:szCs w:val="32"/>
          <w:highlight w:val="none"/>
          <w:lang w:val="en-US" w:eastAsia="zh-CN"/>
        </w:rPr>
      </w:pPr>
      <w:r>
        <w:rPr>
          <w:rFonts w:ascii="仿宋_GB2312" w:hAnsi="仿宋_GB2312" w:eastAsia="仿宋_GB2312" w:cs="仿宋_GB2312"/>
          <w:sz w:val="32"/>
          <w:szCs w:val="32"/>
          <w:lang w:val="en-US" w:eastAsia="zh-CN"/>
        </w:rPr>
        <w:t>2.企业营业执照，选取电子证照；</w:t>
      </w:r>
    </w:p>
    <w:p w14:paraId="3C654299">
      <w:pPr>
        <w:keepNext w:val="0"/>
        <w:keepLines w:val="0"/>
        <w:pageBreakBefore w:val="0"/>
        <w:numPr>
          <w:ilvl w:val="0"/>
          <w:numId w:val="0"/>
        </w:numPr>
        <w:kinsoku/>
        <w:overflowPunct/>
        <w:autoSpaceDE/>
        <w:bidi w:val="0"/>
        <w:snapToGrid/>
        <w:spacing w:line="560" w:lineRule="exact"/>
        <w:ind w:firstLine="640"/>
        <w:textAlignment w:val="auto"/>
        <w:outlineLvl w:val="2"/>
        <w:rPr>
          <w:rFonts w:ascii="仿宋_GB2312" w:hAnsi="仿宋_GB2312" w:eastAsia="仿宋_GB2312" w:cs="仿宋_GB2312"/>
          <w:sz w:val="32"/>
          <w:szCs w:val="32"/>
          <w:highlight w:val="none"/>
          <w:lang w:val="en-US" w:eastAsia="zh-CN"/>
        </w:rPr>
      </w:pPr>
      <w:r>
        <w:rPr>
          <w:rFonts w:ascii="仿宋_GB2312" w:hAnsi="仿宋_GB2312" w:eastAsia="仿宋_GB2312" w:cs="仿宋_GB2312"/>
          <w:sz w:val="32"/>
          <w:szCs w:val="32"/>
          <w:lang w:val="en-US" w:eastAsia="zh-CN"/>
        </w:rPr>
        <w:t>3.承诺书，下载模板填写，签字、加盖公章，彩色扫描上传；</w:t>
      </w:r>
    </w:p>
    <w:p w14:paraId="36A4425B">
      <w:pPr>
        <w:keepNext w:val="0"/>
        <w:keepLines w:val="0"/>
        <w:pageBreakBefore w:val="0"/>
        <w:numPr>
          <w:ilvl w:val="0"/>
          <w:numId w:val="0"/>
        </w:numPr>
        <w:kinsoku/>
        <w:overflowPunct/>
        <w:autoSpaceDE/>
        <w:bidi w:val="0"/>
        <w:snapToGrid/>
        <w:spacing w:line="560" w:lineRule="exact"/>
        <w:ind w:firstLine="640"/>
        <w:textAlignment w:val="auto"/>
        <w:outlineLvl w:val="2"/>
        <w:rPr>
          <w:rFonts w:ascii="仿宋_GB2312" w:hAnsi="仿宋_GB2312" w:eastAsia="仿宋_GB2312" w:cs="仿宋_GB2312"/>
          <w:sz w:val="32"/>
          <w:szCs w:val="32"/>
          <w:highlight w:val="none"/>
          <w:lang w:val="en-US" w:eastAsia="zh-CN"/>
        </w:rPr>
      </w:pPr>
      <w:r>
        <w:rPr>
          <w:rFonts w:ascii="仿宋_GB2312" w:hAnsi="仿宋_GB2312" w:eastAsia="仿宋_GB2312" w:cs="仿宋_GB2312"/>
          <w:sz w:val="32"/>
          <w:szCs w:val="32"/>
          <w:lang w:val="en-US" w:eastAsia="zh-CN"/>
        </w:rPr>
        <w:t>4.银行账户信息，下载模板填写，加盖公章，彩色扫描上传；</w:t>
      </w:r>
    </w:p>
    <w:p w14:paraId="4781EADB">
      <w:pPr>
        <w:keepNext w:val="0"/>
        <w:keepLines w:val="0"/>
        <w:pageBreakBefore w:val="0"/>
        <w:numPr>
          <w:ilvl w:val="0"/>
          <w:numId w:val="0"/>
        </w:numPr>
        <w:kinsoku/>
        <w:overflowPunct/>
        <w:autoSpaceDE/>
        <w:bidi w:val="0"/>
        <w:snapToGrid/>
        <w:spacing w:line="560" w:lineRule="exact"/>
        <w:ind w:firstLine="664"/>
        <w:textAlignment w:val="auto"/>
        <w:outlineLvl w:val="2"/>
        <w:rPr>
          <w:rFonts w:ascii="仿宋_GB2312" w:hAnsi="仿宋_GB2312" w:eastAsia="仿宋_GB2312" w:cs="仿宋_GB2312"/>
          <w:spacing w:val="6"/>
          <w:sz w:val="32"/>
          <w:szCs w:val="32"/>
          <w:highlight w:val="none"/>
        </w:rPr>
      </w:pPr>
      <w:r>
        <w:rPr>
          <w:rFonts w:hint="eastAsia" w:ascii="仿宋_GB2312" w:hAnsi="仿宋_GB2312" w:eastAsia="仿宋_GB2312" w:cs="仿宋_GB2312"/>
          <w:color w:val="000000"/>
          <w:spacing w:val="6"/>
          <w:kern w:val="2"/>
          <w:sz w:val="32"/>
          <w:szCs w:val="32"/>
          <w:lang w:val="en-US" w:eastAsia="zh-CN"/>
        </w:rPr>
        <w:t>5.</w:t>
      </w:r>
      <w:r>
        <w:rPr>
          <w:rFonts w:hint="eastAsia" w:ascii="仿宋_GB2312" w:hAnsi="仿宋_GB2312" w:eastAsia="仿宋_GB2312" w:cs="仿宋_GB2312"/>
          <w:spacing w:val="6"/>
          <w:sz w:val="32"/>
          <w:szCs w:val="32"/>
          <w:highlight w:val="none"/>
          <w:lang w:eastAsia="zh-CN"/>
        </w:rPr>
        <w:t>“</w:t>
      </w:r>
      <w:r>
        <w:rPr>
          <w:rFonts w:ascii="仿宋_GB2312" w:hAnsi="仿宋_GB2312" w:eastAsia="仿宋_GB2312" w:cs="仿宋_GB2312"/>
          <w:bCs/>
          <w:color w:val="000000"/>
          <w:kern w:val="0"/>
          <w:sz w:val="32"/>
          <w:szCs w:val="32"/>
        </w:rPr>
        <w:t>打造词元分发与技能获取中枢</w:t>
      </w:r>
      <w:r>
        <w:rPr>
          <w:rFonts w:hint="eastAsia" w:ascii="仿宋_GB2312" w:hAnsi="仿宋_GB2312" w:eastAsia="仿宋_GB2312" w:cs="仿宋_GB2312"/>
          <w:bCs/>
          <w:color w:val="000000"/>
          <w:kern w:val="0"/>
          <w:sz w:val="32"/>
          <w:szCs w:val="32"/>
          <w:lang w:eastAsia="zh-CN"/>
        </w:rPr>
        <w:t>”项目</w:t>
      </w:r>
      <w:r>
        <w:rPr>
          <w:rFonts w:hint="eastAsia" w:ascii="仿宋_GB2312" w:hAnsi="仿宋_GB2312" w:eastAsia="仿宋_GB2312" w:cs="仿宋_GB2312"/>
          <w:spacing w:val="6"/>
          <w:sz w:val="32"/>
          <w:szCs w:val="32"/>
          <w:highlight w:val="none"/>
          <w:lang w:val="en-US" w:eastAsia="zh-CN"/>
        </w:rPr>
        <w:t>申报书，</w:t>
      </w:r>
      <w:r>
        <w:rPr>
          <w:rFonts w:hint="eastAsia" w:ascii="仿宋_GB2312" w:hAnsi="仿宋_GB2312" w:eastAsia="仿宋_GB2312" w:cs="仿宋_GB2312"/>
          <w:color w:val="000000"/>
          <w:spacing w:val="6"/>
          <w:kern w:val="2"/>
          <w:sz w:val="32"/>
          <w:szCs w:val="32"/>
          <w:lang w:val="en-US" w:eastAsia="zh-CN"/>
        </w:rPr>
        <w:t>下载模版填写，加盖公章，</w:t>
      </w:r>
      <w:r>
        <w:rPr>
          <w:rFonts w:ascii="仿宋_GB2312" w:hAnsi="仿宋_GB2312" w:eastAsia="仿宋_GB2312" w:cs="仿宋_GB2312"/>
          <w:spacing w:val="6"/>
          <w:sz w:val="32"/>
          <w:szCs w:val="32"/>
          <w:highlight w:val="none"/>
        </w:rPr>
        <w:t>彩色扫描上传</w:t>
      </w:r>
      <w:r>
        <w:rPr>
          <w:rFonts w:hint="eastAsia" w:ascii="仿宋_GB2312" w:hAnsi="仿宋_GB2312" w:eastAsia="仿宋_GB2312" w:cs="仿宋_GB2312"/>
          <w:spacing w:val="6"/>
          <w:sz w:val="32"/>
          <w:szCs w:val="32"/>
          <w:highlight w:val="none"/>
          <w:lang w:eastAsia="zh-CN"/>
        </w:rPr>
        <w:t>；相关佐证材料原件彩色扫描上传</w:t>
      </w:r>
      <w:r>
        <w:rPr>
          <w:rFonts w:ascii="仿宋_GB2312" w:hAnsi="仿宋_GB2312" w:eastAsia="仿宋_GB2312" w:cs="仿宋_GB2312"/>
          <w:spacing w:val="6"/>
          <w:sz w:val="32"/>
          <w:szCs w:val="32"/>
          <w:highlight w:val="none"/>
        </w:rPr>
        <w:t>；</w:t>
      </w:r>
    </w:p>
    <w:p w14:paraId="27E90DF8">
      <w:pPr>
        <w:keepNext w:val="0"/>
        <w:keepLines w:val="0"/>
        <w:pageBreakBefore w:val="0"/>
        <w:numPr>
          <w:ilvl w:val="0"/>
          <w:numId w:val="0"/>
        </w:numPr>
        <w:kinsoku/>
        <w:overflowPunct/>
        <w:autoSpaceDE/>
        <w:bidi w:val="0"/>
        <w:snapToGrid/>
        <w:spacing w:line="560" w:lineRule="exact"/>
        <w:ind w:firstLine="664"/>
        <w:textAlignment w:val="auto"/>
        <w:outlineLvl w:val="2"/>
      </w:pPr>
      <w:r>
        <w:rPr>
          <w:rFonts w:hint="eastAsia" w:ascii="仿宋_GB2312" w:hAnsi="仿宋_GB2312" w:eastAsia="仿宋_GB2312" w:cs="仿宋_GB2312"/>
          <w:spacing w:val="6"/>
          <w:sz w:val="32"/>
          <w:szCs w:val="32"/>
          <w:lang w:val="en-US" w:eastAsia="zh-CN"/>
        </w:rPr>
        <w:t>6</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val="en-US" w:eastAsia="zh-CN"/>
        </w:rPr>
        <w:t>项目相关</w:t>
      </w:r>
      <w:r>
        <w:rPr>
          <w:rFonts w:hint="eastAsia" w:ascii="仿宋_GB2312" w:hAnsi="仿宋_GB2312" w:eastAsia="仿宋_GB2312" w:cs="仿宋_GB2312"/>
          <w:spacing w:val="6"/>
          <w:sz w:val="32"/>
          <w:szCs w:val="32"/>
        </w:rPr>
        <w:t>合同及发票汇总表</w:t>
      </w:r>
      <w:r>
        <w:rPr>
          <w:rFonts w:hint="eastAsia" w:ascii="仿宋_GB2312" w:hAnsi="仿宋_GB2312" w:eastAsia="仿宋_GB2312" w:cs="仿宋_GB2312"/>
          <w:spacing w:val="6"/>
          <w:sz w:val="32"/>
          <w:szCs w:val="32"/>
          <w:lang w:eastAsia="zh-CN"/>
        </w:rPr>
        <w:t>，按合同、发票逐项列示并汇总，加盖公章，彩色扫描上传；并附对应合同、发票、</w:t>
      </w:r>
      <w:r>
        <w:rPr>
          <w:rFonts w:hint="eastAsia" w:ascii="仿宋_GB2312" w:hAnsi="仿宋_GB2312" w:eastAsia="仿宋_GB2312" w:cs="仿宋_GB2312"/>
          <w:spacing w:val="6"/>
          <w:sz w:val="32"/>
          <w:szCs w:val="32"/>
          <w:lang w:val="en-US" w:eastAsia="zh-CN"/>
        </w:rPr>
        <w:t>银行汇款凭证等材料，</w:t>
      </w:r>
      <w:r>
        <w:rPr>
          <w:rFonts w:hint="eastAsia" w:ascii="仿宋_GB2312" w:hAnsi="等线" w:eastAsia="仿宋_GB2312" w:cs="仿宋_GB2312"/>
          <w:sz w:val="32"/>
          <w:szCs w:val="32"/>
        </w:rPr>
        <w:t>原件彩色扫描上传</w:t>
      </w:r>
      <w:r>
        <w:rPr>
          <w:rFonts w:hint="eastAsia" w:ascii="仿宋_GB2312" w:hAnsi="等线" w:eastAsia="仿宋_GB2312" w:cs="仿宋_GB2312"/>
          <w:sz w:val="32"/>
          <w:szCs w:val="32"/>
          <w:lang w:eastAsia="zh-CN"/>
        </w:rPr>
        <w:t>；</w:t>
      </w:r>
    </w:p>
    <w:p w14:paraId="70A49EC7">
      <w:pPr>
        <w:keepNext w:val="0"/>
        <w:keepLines w:val="0"/>
        <w:pageBreakBefore w:val="0"/>
        <w:numPr>
          <w:ilvl w:val="0"/>
          <w:numId w:val="0"/>
        </w:numPr>
        <w:kinsoku/>
        <w:overflowPunct/>
        <w:autoSpaceDE/>
        <w:bidi w:val="0"/>
        <w:snapToGrid/>
        <w:spacing w:line="560" w:lineRule="exact"/>
        <w:ind w:firstLine="664"/>
        <w:textAlignment w:val="auto"/>
        <w:outlineLvl w:val="2"/>
        <w:rPr>
          <w:rFonts w:hint="eastAsia"/>
          <w:lang w:val="en-US" w:eastAsia="zh-CN"/>
        </w:rPr>
      </w:pPr>
      <w:r>
        <w:rPr>
          <w:rFonts w:hint="eastAsia" w:ascii="仿宋_GB2312" w:hAnsi="仿宋_GB2312" w:eastAsia="仿宋_GB2312" w:cs="仿宋_GB2312"/>
          <w:spacing w:val="6"/>
          <w:sz w:val="32"/>
          <w:szCs w:val="32"/>
          <w:lang w:val="en-US" w:eastAsia="zh-CN"/>
        </w:rPr>
        <w:t>7</w:t>
      </w:r>
      <w:r>
        <w:rPr>
          <w:rFonts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val="en-US" w:eastAsia="zh-CN"/>
        </w:rPr>
        <w:t>安全与合规证明材料，如数据安全与个人信息保护材料</w:t>
      </w:r>
      <w:r>
        <w:rPr>
          <w:rFonts w:hint="eastAsia" w:ascii="仿宋_GB2312" w:hAnsi="仿宋_GB2312" w:eastAsia="仿宋_GB2312" w:cs="仿宋_GB2312"/>
          <w:spacing w:val="6"/>
          <w:sz w:val="32"/>
          <w:szCs w:val="32"/>
          <w:lang w:eastAsia="zh-CN"/>
        </w:rPr>
        <w:t>、算法备案及其他合规证明</w:t>
      </w:r>
      <w:r>
        <w:rPr>
          <w:rFonts w:hint="eastAsia" w:ascii="仿宋_GB2312" w:hAnsi="仿宋_GB2312" w:eastAsia="仿宋_GB2312" w:cs="仿宋_GB2312"/>
          <w:spacing w:val="6"/>
          <w:sz w:val="32"/>
          <w:szCs w:val="32"/>
          <w:lang w:val="en-US" w:eastAsia="zh-CN"/>
        </w:rPr>
        <w:t>材料，</w:t>
      </w:r>
      <w:r>
        <w:rPr>
          <w:rFonts w:hint="eastAsia" w:ascii="仿宋_GB2312" w:hAnsi="等线" w:eastAsia="仿宋_GB2312" w:cs="仿宋_GB2312"/>
          <w:sz w:val="32"/>
          <w:szCs w:val="32"/>
        </w:rPr>
        <w:t>原件彩色扫描上传</w:t>
      </w:r>
      <w:r>
        <w:rPr>
          <w:rFonts w:hint="eastAsia" w:ascii="仿宋_GB2312" w:hAnsi="等线" w:eastAsia="仿宋_GB2312" w:cs="仿宋_GB2312"/>
          <w:sz w:val="32"/>
          <w:szCs w:val="32"/>
          <w:lang w:eastAsia="zh-CN"/>
        </w:rPr>
        <w:t>；</w:t>
      </w:r>
    </w:p>
    <w:p w14:paraId="3723B324">
      <w:pPr>
        <w:spacing w:line="560" w:lineRule="exact"/>
        <w:ind w:firstLine="640" w:firstLineChars="200"/>
        <w:outlineLvl w:val="2"/>
        <w:rPr>
          <w:rFonts w:ascii="仿宋_GB2312" w:hAnsi="仿宋_GB2312" w:eastAsia="仿宋_GB2312" w:cs="仿宋_GB2312"/>
          <w:spacing w:val="6"/>
          <w:sz w:val="32"/>
          <w:szCs w:val="32"/>
        </w:rPr>
      </w:pPr>
      <w:r>
        <w:rPr>
          <w:rFonts w:hint="eastAsia" w:ascii="仿宋_GB2312" w:hAnsi="等线" w:eastAsia="仿宋_GB2312" w:cs="仿宋_GB2312"/>
          <w:sz w:val="32"/>
          <w:szCs w:val="32"/>
          <w:lang w:val="en-US" w:eastAsia="zh-CN"/>
        </w:rPr>
        <w:t>8</w:t>
      </w:r>
      <w:r>
        <w:rPr>
          <w:rFonts w:hint="eastAsia" w:ascii="仿宋_GB2312" w:hAnsi="等线" w:eastAsia="仿宋_GB2312" w:cs="仿宋_GB2312"/>
          <w:sz w:val="32"/>
          <w:szCs w:val="32"/>
        </w:rPr>
        <w:t>.与模型厂商、算力平台、开发者等签订的合作协议</w:t>
      </w:r>
      <w:r>
        <w:rPr>
          <w:rFonts w:hint="eastAsia" w:ascii="仿宋_GB2312" w:hAnsi="等线" w:eastAsia="仿宋_GB2312" w:cs="仿宋_GB2312"/>
          <w:sz w:val="32"/>
          <w:szCs w:val="32"/>
          <w:lang w:eastAsia="zh-CN"/>
        </w:rPr>
        <w:t>，</w:t>
      </w:r>
      <w:r>
        <w:rPr>
          <w:rFonts w:hint="eastAsia" w:ascii="仿宋_GB2312" w:hAnsi="等线" w:eastAsia="仿宋_GB2312" w:cs="仿宋_GB2312"/>
          <w:sz w:val="32"/>
          <w:szCs w:val="32"/>
        </w:rPr>
        <w:t>原件彩色扫描上传。</w:t>
      </w:r>
    </w:p>
    <w:p w14:paraId="4F1CA0AE">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六、办理程序</w:t>
      </w:r>
      <w:bookmarkStart w:id="0" w:name="_GoBack"/>
      <w:bookmarkEnd w:id="0"/>
    </w:p>
    <w:p w14:paraId="5A1D8535">
      <w:pPr>
        <w:pStyle w:val="9"/>
        <w:widowControl/>
        <w:numPr>
          <w:ilvl w:val="255"/>
          <w:numId w:val="0"/>
        </w:numPr>
        <w:shd w:val="clear" w:color="auto" w:fill="FFFFFF"/>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val="en-US"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val="en-US"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1DE59889">
      <w:pPr>
        <w:pStyle w:val="9"/>
        <w:widowControl/>
        <w:numPr>
          <w:ilvl w:val="255"/>
          <w:numId w:val="0"/>
        </w:numPr>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3D6A62C7">
      <w:pPr>
        <w:pStyle w:val="9"/>
        <w:widowControl/>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val="en-US" w:eastAsia="zh-CN"/>
        </w:rPr>
        <w:t>信息技术产业</w:t>
      </w:r>
      <w:r>
        <w:rPr>
          <w:rFonts w:hint="eastAsia" w:ascii="仿宋_GB2312" w:hAnsi="仿宋_GB2312" w:eastAsia="仿宋_GB2312" w:cs="仿宋_GB2312"/>
          <w:color w:val="000000"/>
          <w:kern w:val="2"/>
          <w:sz w:val="32"/>
          <w:szCs w:val="32"/>
        </w:rPr>
        <w:t>局对申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3117F0D7">
      <w:pPr>
        <w:pStyle w:val="9"/>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专家评审：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val="en-US" w:eastAsia="zh-CN"/>
        </w:rPr>
        <w:t>信息技术产业</w:t>
      </w:r>
      <w:r>
        <w:rPr>
          <w:rFonts w:hint="eastAsia" w:ascii="仿宋_GB2312" w:hAnsi="仿宋_GB2312" w:eastAsia="仿宋_GB2312" w:cs="仿宋_GB2312"/>
          <w:color w:val="000000"/>
          <w:kern w:val="2"/>
          <w:sz w:val="32"/>
          <w:szCs w:val="32"/>
        </w:rPr>
        <w:t>局组织专家线下对申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材料进行评审</w:t>
      </w:r>
      <w:r>
        <w:rPr>
          <w:rFonts w:hint="eastAsia" w:ascii="仿宋_GB2312" w:hAnsi="仿宋_GB2312" w:eastAsia="仿宋_GB2312" w:cs="仿宋_GB2312"/>
          <w:color w:val="000000"/>
          <w:kern w:val="2"/>
          <w:sz w:val="32"/>
          <w:szCs w:val="32"/>
          <w:lang w:eastAsia="zh-CN"/>
        </w:rPr>
        <w:t>，评审环节设置现场答辩</w:t>
      </w:r>
      <w:r>
        <w:rPr>
          <w:rFonts w:hint="eastAsia" w:ascii="仿宋_GB2312" w:hAnsi="仿宋_GB2312" w:eastAsia="仿宋_GB2312" w:cs="仿宋_GB2312"/>
          <w:color w:val="000000"/>
          <w:kern w:val="2"/>
          <w:sz w:val="32"/>
          <w:szCs w:val="32"/>
        </w:rPr>
        <w:t>，评审后将结果上传到系统。</w:t>
      </w:r>
    </w:p>
    <w:p w14:paraId="20812741">
      <w:pPr>
        <w:pStyle w:val="9"/>
        <w:widowControl/>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val="en-US" w:eastAsia="zh-CN"/>
        </w:rPr>
        <w:t>信息技术产业</w:t>
      </w:r>
      <w:r>
        <w:rPr>
          <w:rFonts w:hint="eastAsia" w:ascii="仿宋_GB2312" w:hAnsi="仿宋_GB2312" w:eastAsia="仿宋_GB2312" w:cs="仿宋_GB2312"/>
          <w:color w:val="000000"/>
          <w:kern w:val="2"/>
          <w:sz w:val="32"/>
          <w:szCs w:val="32"/>
        </w:rPr>
        <w:t>局对审核通过的申报主体拟定兑现扶持奖励金额。</w:t>
      </w:r>
    </w:p>
    <w:p w14:paraId="79445E1D">
      <w:pPr>
        <w:pStyle w:val="9"/>
        <w:widowControl/>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六</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val="en-US" w:eastAsia="zh-CN"/>
        </w:rPr>
        <w:t>信息技术产业</w:t>
      </w:r>
      <w:r>
        <w:rPr>
          <w:rFonts w:hint="eastAsia" w:ascii="仿宋_GB2312" w:hAnsi="仿宋_GB2312" w:eastAsia="仿宋_GB2312" w:cs="仿宋_GB2312"/>
          <w:color w:val="000000"/>
          <w:kern w:val="2"/>
          <w:sz w:val="32"/>
          <w:szCs w:val="32"/>
        </w:rPr>
        <w:t>局</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68BC5503">
      <w:pPr>
        <w:keepNext w:val="0"/>
        <w:keepLines w:val="0"/>
        <w:pageBreakBefore w:val="0"/>
        <w:shd w:val="clear"/>
        <w:kinsoku/>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color w:val="262626" w:themeColor="text1" w:themeTint="D9"/>
          <w:sz w:val="32"/>
          <w:szCs w:val="32"/>
          <w:highlight w:val="none"/>
          <w:shd w:val="clear" w:color="auto"/>
          <w:lang w:val="en-US" w:eastAsia="zh-CN"/>
          <w14:textFill>
            <w14:solidFill>
              <w14:schemeClr w14:val="tx1">
                <w14:lumMod w14:val="85000"/>
                <w14:lumOff w14:val="15000"/>
              </w14:schemeClr>
            </w14:solidFill>
          </w14:textFill>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eastAsia="zh-CN"/>
        </w:rPr>
        <w:t>七</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r>
        <w:rPr>
          <w:rFonts w:hint="eastAsia" w:ascii="仿宋_GB2312" w:hAnsi="仿宋_GB2312" w:eastAsia="仿宋_GB2312" w:cs="仿宋_GB2312"/>
          <w:color w:val="262626" w:themeColor="text1" w:themeTint="D9"/>
          <w:sz w:val="32"/>
          <w:szCs w:val="32"/>
          <w:highlight w:val="none"/>
          <w:shd w:val="clear" w:color="auto"/>
          <w14:textFill>
            <w14:solidFill>
              <w14:schemeClr w14:val="tx1">
                <w14:lumMod w14:val="85000"/>
                <w14:lumOff w14:val="15000"/>
              </w14:schemeClr>
            </w14:solidFill>
          </w14:textFill>
        </w:rPr>
        <w:t>。</w:t>
      </w:r>
    </w:p>
    <w:p w14:paraId="619FAAAD">
      <w:pPr>
        <w:pStyle w:val="9"/>
        <w:widowControl/>
        <w:shd w:val="clear" w:color="auto" w:fill="FFFFFF"/>
        <w:spacing w:beforeAutospacing="0" w:afterAutospacing="0" w:line="560" w:lineRule="exact"/>
        <w:ind w:firstLine="640" w:firstLineChars="20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七、主责部门</w:t>
      </w:r>
    </w:p>
    <w:p w14:paraId="078E76E8">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b/>
          <w:bCs/>
          <w:sz w:val="32"/>
          <w:szCs w:val="32"/>
          <w:highlight w:val="none"/>
          <w:lang w:eastAsia="zh-CN"/>
        </w:rPr>
      </w:pPr>
      <w:r>
        <w:rPr>
          <w:rFonts w:eastAsia="仿宋_GB2312" w:cs="仿宋_GB2312"/>
          <w:sz w:val="32"/>
          <w:szCs w:val="32"/>
        </w:rPr>
        <w:t>经开区</w:t>
      </w:r>
      <w:r>
        <w:rPr>
          <w:rFonts w:eastAsia="仿宋_GB2312" w:cs="仿宋_GB2312"/>
          <w:sz w:val="32"/>
          <w:szCs w:val="32"/>
          <w:lang w:eastAsia="zh-CN"/>
        </w:rPr>
        <w:t>信息技术产业局</w:t>
      </w:r>
    </w:p>
    <w:p w14:paraId="6B15BB40">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八、受理窗口</w:t>
      </w:r>
    </w:p>
    <w:p w14:paraId="37593893">
      <w:pPr>
        <w:keepNext w:val="0"/>
        <w:keepLines w:val="0"/>
        <w:pageBreakBefore w:val="0"/>
        <w:numPr>
          <w:ilvl w:val="0"/>
          <w:numId w:val="0"/>
        </w:numPr>
        <w:kinsoku/>
        <w:overflowPunct/>
        <w:autoSpaceDE/>
        <w:bidi w:val="0"/>
        <w:snapToGrid/>
        <w:spacing w:line="560" w:lineRule="exact"/>
        <w:ind w:firstLine="640"/>
        <w:textAlignment w:val="auto"/>
        <w:outlineLvl w:val="0"/>
        <w:rPr>
          <w:rFonts w:ascii="仿宋_GB2312" w:hAnsi="仿宋_GB2312" w:eastAsia="仿宋_GB2312" w:cs="仿宋_GB2312"/>
          <w:sz w:val="32"/>
          <w:szCs w:val="32"/>
          <w:highlight w:val="none"/>
        </w:rPr>
      </w:pPr>
      <w:r>
        <w:rPr>
          <w:rFonts w:ascii="仿宋_GB2312" w:hAnsi="仿宋_GB2312" w:eastAsia="仿宋_GB2312" w:cs="仿宋_GB2312"/>
          <w:sz w:val="32"/>
          <w:szCs w:val="32"/>
        </w:rPr>
        <w:t>北京经济技术开发区万源街4号政务服务</w:t>
      </w:r>
      <w:r>
        <w:rPr>
          <w:rFonts w:ascii="仿宋_GB2312" w:hAnsi="仿宋_GB2312" w:eastAsia="仿宋_GB2312" w:cs="仿宋_GB2312"/>
          <w:sz w:val="32"/>
          <w:szCs w:val="32"/>
          <w:lang w:eastAsia="zh-CN"/>
        </w:rPr>
        <w:t>大厅</w:t>
      </w:r>
      <w:r>
        <w:rPr>
          <w:rFonts w:ascii="仿宋_GB2312" w:hAnsi="仿宋_GB2312" w:eastAsia="仿宋_GB2312" w:cs="仿宋_GB2312"/>
          <w:sz w:val="32"/>
          <w:szCs w:val="32"/>
        </w:rPr>
        <w:t>“政策申报”窗口</w:t>
      </w:r>
    </w:p>
    <w:p w14:paraId="3114ADC3">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九、申报时间</w:t>
      </w:r>
    </w:p>
    <w:p w14:paraId="74C014DB">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2026年10月</w:t>
      </w:r>
      <w:r>
        <w:rPr>
          <w:rFonts w:hint="eastAsia" w:ascii="仿宋_GB2312" w:hAnsi="仿宋_GB2312" w:eastAsia="仿宋_GB2312" w:cs="仿宋_GB2312"/>
          <w:sz w:val="32"/>
          <w:szCs w:val="32"/>
          <w:highlight w:val="none"/>
          <w:lang w:val="en-US" w:eastAsia="zh-CN"/>
        </w:rPr>
        <w:t>21</w:t>
      </w:r>
      <w:r>
        <w:rPr>
          <w:rFonts w:ascii="仿宋_GB2312" w:hAnsi="仿宋_GB2312" w:eastAsia="仿宋_GB2312" w:cs="仿宋_GB2312"/>
          <w:sz w:val="32"/>
          <w:szCs w:val="32"/>
          <w:highlight w:val="none"/>
        </w:rPr>
        <w:t>日至2026年1</w:t>
      </w:r>
      <w:r>
        <w:rPr>
          <w:rFonts w:hint="eastAsia" w:ascii="仿宋_GB2312" w:hAnsi="仿宋_GB2312" w:eastAsia="仿宋_GB2312" w:cs="仿宋_GB2312"/>
          <w:sz w:val="32"/>
          <w:szCs w:val="32"/>
          <w:highlight w:val="none"/>
          <w:lang w:val="en-US" w:eastAsia="zh-CN"/>
        </w:rPr>
        <w:t>1</w:t>
      </w:r>
      <w:r>
        <w:rPr>
          <w:rFonts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9</w:t>
      </w:r>
      <w:r>
        <w:rPr>
          <w:rFonts w:ascii="仿宋_GB2312" w:hAnsi="仿宋_GB2312" w:eastAsia="仿宋_GB2312" w:cs="仿宋_GB2312"/>
          <w:sz w:val="32"/>
          <w:szCs w:val="32"/>
          <w:highlight w:val="none"/>
        </w:rPr>
        <w:t>日</w:t>
      </w:r>
    </w:p>
    <w:p w14:paraId="015D4AEB">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十、联系方式</w:t>
      </w:r>
    </w:p>
    <w:p w14:paraId="78ADD474">
      <w:pPr>
        <w:keepNext w:val="0"/>
        <w:keepLines w:val="0"/>
        <w:pageBreakBefore w:val="0"/>
        <w:widowControl w:val="0"/>
        <w:numPr>
          <w:ilvl w:val="0"/>
          <w:numId w:val="0"/>
        </w:numPr>
        <w:kinsoku/>
        <w:overflowPunct/>
        <w:autoSpaceDE/>
        <w:bidi w:val="0"/>
        <w:snapToGrid/>
        <w:spacing w:before="0" w:after="0" w:line="560" w:lineRule="exact"/>
        <w:ind w:left="0" w:right="0" w:firstLine="640"/>
        <w:jc w:val="both"/>
        <w:textAlignment w:val="auto"/>
        <w:outlineLvl w:val="0"/>
        <w:rPr>
          <w:rFonts w:ascii="仿宋_GB2312" w:hAnsi="仿宋_GB2312" w:eastAsia="仿宋_GB2312" w:cs="Segoe UI;苹方-简"/>
          <w:kern w:val="2"/>
          <w:sz w:val="32"/>
          <w:szCs w:val="32"/>
          <w:highlight w:val="none"/>
        </w:rPr>
      </w:pPr>
      <w:r>
        <w:rPr>
          <w:rFonts w:ascii="仿宋_GB2312" w:hAnsi="仿宋_GB2312" w:eastAsia="仿宋_GB2312" w:cs="仿宋_GB2312"/>
          <w:kern w:val="2"/>
          <w:sz w:val="32"/>
          <w:szCs w:val="32"/>
          <w:lang w:val="en-US" w:eastAsia="zh-CN" w:bidi="ar"/>
        </w:rPr>
        <w:t>政策咨询：</w:t>
      </w:r>
    </w:p>
    <w:p w14:paraId="4DDC7FA6">
      <w:pPr>
        <w:keepNext w:val="0"/>
        <w:keepLines w:val="0"/>
        <w:pageBreakBefore w:val="0"/>
        <w:widowControl w:val="0"/>
        <w:numPr>
          <w:ilvl w:val="0"/>
          <w:numId w:val="0"/>
        </w:numPr>
        <w:kinsoku/>
        <w:overflowPunct/>
        <w:autoSpaceDE/>
        <w:bidi w:val="0"/>
        <w:snapToGrid/>
        <w:spacing w:before="0" w:after="0" w:line="560" w:lineRule="exact"/>
        <w:ind w:left="0" w:right="0" w:firstLine="640"/>
        <w:jc w:val="both"/>
        <w:textAlignment w:val="auto"/>
        <w:outlineLvl w:val="0"/>
        <w:rPr>
          <w:rFonts w:ascii="仿宋_GB2312" w:hAnsi="仿宋_GB2312" w:eastAsia="仿宋_GB2312" w:cs="Segoe UI;苹方-简"/>
          <w:kern w:val="2"/>
          <w:sz w:val="32"/>
          <w:szCs w:val="32"/>
          <w:highlight w:val="none"/>
        </w:rPr>
      </w:pPr>
      <w:r>
        <w:rPr>
          <w:rFonts w:ascii="仿宋_GB2312" w:hAnsi="仿宋_GB2312" w:eastAsia="仿宋_GB2312" w:cs="仿宋_GB2312"/>
          <w:kern w:val="2"/>
          <w:sz w:val="32"/>
          <w:szCs w:val="32"/>
          <w:lang w:val="en-US" w:eastAsia="zh-CN" w:bidi="ar"/>
        </w:rPr>
        <w:t>经开区政务服务大厅“政策申报”窗口，联系电话：010-67857878转4、010-67857687，工作日上午9:00—12:00，下午1:30—5:00。</w:t>
      </w:r>
    </w:p>
    <w:p w14:paraId="29E4A56F">
      <w:pPr>
        <w:keepNext w:val="0"/>
        <w:keepLines w:val="0"/>
        <w:pageBreakBefore w:val="0"/>
        <w:widowControl w:val="0"/>
        <w:kinsoku/>
        <w:overflowPunct/>
        <w:autoSpaceDE/>
        <w:bidi w:val="0"/>
        <w:snapToGrid/>
        <w:spacing w:before="0" w:after="0" w:line="560" w:lineRule="exact"/>
        <w:ind w:left="0" w:right="0" w:firstLine="640"/>
        <w:jc w:val="both"/>
        <w:textAlignment w:val="auto"/>
        <w:rPr>
          <w:rFonts w:ascii="仿宋_GB2312" w:hAnsi="仿宋_GB2312" w:eastAsia="仿宋_GB2312" w:cs="仿宋_GB2312"/>
          <w:kern w:val="2"/>
          <w:sz w:val="32"/>
          <w:szCs w:val="32"/>
          <w:highlight w:val="none"/>
        </w:rPr>
      </w:pPr>
      <w:r>
        <w:rPr>
          <w:rFonts w:ascii="仿宋_GB2312" w:hAnsi="仿宋_GB2312" w:eastAsia="仿宋_GB2312" w:cs="仿宋_GB2312"/>
          <w:kern w:val="2"/>
          <w:sz w:val="32"/>
          <w:szCs w:val="32"/>
          <w:lang w:val="en-US" w:eastAsia="zh-CN" w:bidi="ar"/>
        </w:rPr>
        <w:t>经开区信息技术产业局，联系人：</w:t>
      </w:r>
      <w:r>
        <w:rPr>
          <w:rFonts w:hint="eastAsia" w:ascii="仿宋_GB2312" w:hAnsi="仿宋_GB2312" w:eastAsia="仿宋_GB2312" w:cs="仿宋_GB2312"/>
          <w:kern w:val="2"/>
          <w:sz w:val="32"/>
          <w:szCs w:val="32"/>
          <w:lang w:val="en-US" w:eastAsia="zh-CN" w:bidi="ar"/>
        </w:rPr>
        <w:t>孟凡池</w:t>
      </w:r>
      <w:r>
        <w:rPr>
          <w:rFonts w:ascii="仿宋_GB2312" w:hAnsi="仿宋_GB2312" w:eastAsia="仿宋_GB2312" w:cs="仿宋_GB2312"/>
          <w:kern w:val="2"/>
          <w:sz w:val="32"/>
          <w:szCs w:val="32"/>
          <w:lang w:val="en-US" w:eastAsia="zh-CN" w:bidi="ar"/>
        </w:rPr>
        <w:t>，联系电话：</w:t>
      </w:r>
      <w:r>
        <w:rPr>
          <w:rFonts w:hint="eastAsia" w:ascii="仿宋_GB2312" w:hAnsi="仿宋_GB2312" w:eastAsia="仿宋_GB2312" w:cs="仿宋_GB2312"/>
          <w:kern w:val="2"/>
          <w:sz w:val="32"/>
          <w:szCs w:val="32"/>
          <w:lang w:val="en-US" w:eastAsia="zh-CN" w:bidi="ar"/>
        </w:rPr>
        <w:t>83508303</w:t>
      </w:r>
      <w:r>
        <w:rPr>
          <w:rFonts w:ascii="仿宋_GB2312" w:hAnsi="仿宋_GB2312" w:eastAsia="仿宋_GB2312" w:cs="仿宋_GB2312"/>
          <w:kern w:val="2"/>
          <w:sz w:val="32"/>
          <w:szCs w:val="32"/>
          <w:lang w:val="en-US" w:eastAsia="zh-CN" w:bidi="ar"/>
        </w:rPr>
        <w:t>，工作日上午9:00—12:00，下午2:00—6:00。</w:t>
      </w:r>
    </w:p>
    <w:p w14:paraId="43AB52C8">
      <w:pPr>
        <w:keepNext w:val="0"/>
        <w:keepLines w:val="0"/>
        <w:pageBreakBefore w:val="0"/>
        <w:widowControl w:val="0"/>
        <w:kinsoku/>
        <w:overflowPunct/>
        <w:autoSpaceDE/>
        <w:bidi w:val="0"/>
        <w:snapToGrid/>
        <w:spacing w:before="0" w:after="0" w:line="560" w:lineRule="exact"/>
        <w:ind w:left="0" w:right="0" w:firstLine="640"/>
        <w:jc w:val="both"/>
        <w:textAlignment w:val="auto"/>
        <w:rPr>
          <w:rFonts w:ascii="仿宋_GB2312" w:hAnsi="仿宋_GB2312" w:eastAsia="仿宋_GB2312" w:cs="仿宋_GB2312"/>
          <w:kern w:val="2"/>
          <w:sz w:val="32"/>
          <w:szCs w:val="32"/>
          <w:highlight w:val="none"/>
        </w:rPr>
      </w:pPr>
      <w:r>
        <w:rPr>
          <w:rFonts w:ascii="仿宋_GB2312" w:hAnsi="仿宋_GB2312" w:eastAsia="仿宋_GB2312" w:cs="仿宋_GB2312"/>
          <w:kern w:val="2"/>
          <w:sz w:val="32"/>
          <w:szCs w:val="32"/>
          <w:lang w:val="en-US" w:eastAsia="zh-CN" w:bidi="ar"/>
        </w:rPr>
        <w:t>技术支持：</w:t>
      </w:r>
    </w:p>
    <w:p w14:paraId="1BC784A6">
      <w:pPr>
        <w:keepNext w:val="0"/>
        <w:keepLines w:val="0"/>
        <w:pageBreakBefore w:val="0"/>
        <w:widowControl w:val="0"/>
        <w:kinsoku/>
        <w:overflowPunct/>
        <w:autoSpaceDE/>
        <w:bidi w:val="0"/>
        <w:snapToGrid/>
        <w:spacing w:before="0" w:after="0" w:line="560" w:lineRule="exact"/>
        <w:ind w:left="0" w:right="0" w:firstLine="640"/>
        <w:jc w:val="both"/>
        <w:textAlignment w:val="auto"/>
        <w:rPr>
          <w:rFonts w:ascii="仿宋_GB2312" w:hAnsi="仿宋_GB2312" w:eastAsia="仿宋_GB2312" w:cs="仿宋_GB2312"/>
          <w:kern w:val="2"/>
          <w:sz w:val="32"/>
          <w:szCs w:val="32"/>
          <w:highlight w:val="none"/>
        </w:rPr>
      </w:pPr>
      <w:r>
        <w:rPr>
          <w:rFonts w:ascii="仿宋_GB2312" w:hAnsi="仿宋_GB2312" w:eastAsia="仿宋_GB2312" w:cs="仿宋_GB2312"/>
          <w:kern w:val="2"/>
          <w:sz w:val="32"/>
          <w:szCs w:val="32"/>
          <w:lang w:val="en-US" w:eastAsia="zh-CN" w:bidi="ar"/>
        </w:rPr>
        <w:t>联系电话：010-</w:t>
      </w:r>
      <w:r>
        <w:rPr>
          <w:rFonts w:ascii="仿宋_GB2312" w:hAnsi="仿宋_GB2312" w:eastAsia="仿宋_GB2312" w:cs="仿宋_GB2312"/>
          <w:sz w:val="32"/>
          <w:szCs w:val="32"/>
        </w:rPr>
        <w:t>83509638</w:t>
      </w:r>
      <w:r>
        <w:rPr>
          <w:rFonts w:ascii="仿宋_GB2312" w:hAnsi="仿宋_GB2312" w:eastAsia="仿宋_GB2312" w:cs="仿宋_GB2312"/>
          <w:kern w:val="2"/>
          <w:sz w:val="32"/>
          <w:szCs w:val="32"/>
          <w:lang w:val="en-US" w:eastAsia="zh-CN" w:bidi="ar"/>
        </w:rPr>
        <w:t>，工作日上午9:00—12:00，下午2:00—6:00。</w:t>
      </w:r>
    </w:p>
    <w:p w14:paraId="7E7831D6">
      <w:pPr>
        <w:keepNext w:val="0"/>
        <w:keepLines w:val="0"/>
        <w:pageBreakBefore w:val="0"/>
        <w:numPr>
          <w:ilvl w:val="0"/>
          <w:numId w:val="0"/>
        </w:numPr>
        <w:kinsoku/>
        <w:overflowPunct/>
        <w:autoSpaceDE/>
        <w:bidi w:val="0"/>
        <w:snapToGrid/>
        <w:spacing w:line="560" w:lineRule="exact"/>
        <w:ind w:firstLine="640"/>
        <w:textAlignment w:val="auto"/>
        <w:outlineLvl w:val="0"/>
        <w:rPr>
          <w:rFonts w:ascii="仿宋_GB2312" w:hAnsi="仿宋_GB2312" w:eastAsia="仿宋_GB2312" w:cs="仿宋_GB2312"/>
          <w:sz w:val="32"/>
          <w:szCs w:val="32"/>
          <w:highlight w:val="none"/>
        </w:rPr>
      </w:pPr>
      <w:r>
        <w:rPr>
          <w:rFonts w:ascii="黑体;汉仪中黑KW" w:hAnsi="黑体;汉仪中黑KW" w:eastAsia="黑体;汉仪中黑KW" w:cs="黑体;汉仪中黑KW"/>
          <w:sz w:val="32"/>
          <w:szCs w:val="32"/>
        </w:rPr>
        <w:t>十一、收费标准</w:t>
      </w:r>
    </w:p>
    <w:p w14:paraId="40034E6C">
      <w:pPr>
        <w:keepNext w:val="0"/>
        <w:keepLines w:val="0"/>
        <w:pageBreakBefore w:val="0"/>
        <w:kinsoku/>
        <w:overflowPunct/>
        <w:autoSpaceDE/>
        <w:bidi w:val="0"/>
        <w:snapToGrid/>
        <w:spacing w:line="560" w:lineRule="exact"/>
        <w:ind w:firstLine="64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rPr>
        <w:t>不收费</w:t>
      </w:r>
    </w:p>
    <w:p w14:paraId="4DD569AA">
      <w:pPr>
        <w:keepNext w:val="0"/>
        <w:keepLines w:val="0"/>
        <w:pageBreakBefore w:val="0"/>
        <w:numPr>
          <w:ilvl w:val="0"/>
          <w:numId w:val="0"/>
        </w:numPr>
        <w:kinsoku/>
        <w:overflowPunct/>
        <w:autoSpaceDE/>
        <w:bidi w:val="0"/>
        <w:snapToGrid/>
        <w:spacing w:line="560" w:lineRule="exact"/>
        <w:ind w:firstLine="640"/>
        <w:textAlignment w:val="auto"/>
        <w:outlineLvl w:val="0"/>
        <w:rPr>
          <w:rFonts w:ascii="黑体;汉仪中黑KW" w:hAnsi="黑体;汉仪中黑KW" w:eastAsia="黑体;汉仪中黑KW" w:cs="黑体;汉仪中黑KW"/>
          <w:sz w:val="32"/>
          <w:szCs w:val="32"/>
          <w:highlight w:val="none"/>
        </w:rPr>
      </w:pPr>
      <w:r>
        <w:rPr>
          <w:rFonts w:ascii="黑体;汉仪中黑KW" w:hAnsi="黑体;汉仪中黑KW" w:eastAsia="黑体;汉仪中黑KW" w:cs="黑体;汉仪中黑KW"/>
          <w:sz w:val="32"/>
          <w:szCs w:val="32"/>
        </w:rPr>
        <w:t>十二、特别说明</w:t>
      </w:r>
    </w:p>
    <w:p w14:paraId="3FC0CC6A">
      <w:pPr>
        <w:keepNext w:val="0"/>
        <w:keepLines w:val="0"/>
        <w:pageBreakBefore w:val="0"/>
        <w:kinsoku/>
        <w:overflowPunct/>
        <w:autoSpaceDE/>
        <w:bidi w:val="0"/>
        <w:snapToGrid/>
        <w:spacing w:line="560" w:lineRule="exact"/>
        <w:ind w:firstLine="640"/>
        <w:jc w:val="both"/>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rPr>
        <w:t>无</w:t>
      </w:r>
    </w:p>
    <w:sectPr>
      <w:footerReference r:id="rId3" w:type="default"/>
      <w:pgSz w:w="11906" w:h="16838"/>
      <w:pgMar w:top="2098" w:right="1699" w:bottom="1984" w:left="1587" w:header="850" w:footer="964" w:gutter="0"/>
      <w:pgNumType w:fmt="numberInDash"/>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体;汉仪书宋二KW">
    <w:altName w:val="宋体"/>
    <w:panose1 w:val="00000000000000000000"/>
    <w:charset w:val="00"/>
    <w:family w:val="auto"/>
    <w:pitch w:val="default"/>
    <w:sig w:usb0="00000000" w:usb1="00000000" w:usb2="00000000" w:usb3="00000000" w:csb0="00000000"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Liberation Sans">
    <w:altName w:val="Segoe Print"/>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黑体;汉仪中黑KW">
    <w:altName w:val="黑体"/>
    <w:panose1 w:val="00000000000000000000"/>
    <w:charset w:val="00"/>
    <w:family w:val="auto"/>
    <w:pitch w:val="default"/>
    <w:sig w:usb0="00000000" w:usb1="00000000" w:usb2="00000000" w:usb3="00000000" w:csb0="0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Segoe UI;苹方-简">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8DA0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B866FB">
                          <w:pPr>
                            <w:pStyle w:val="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6B866FB">
                    <w:pPr>
                      <w:pStyle w:val="6"/>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84FE9"/>
    <w:multiLevelType w:val="multilevel"/>
    <w:tmpl w:val="FB784FE9"/>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pStyle w:val="2"/>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11078C7"/>
    <w:rsid w:val="016D6AC7"/>
    <w:rsid w:val="021533E7"/>
    <w:rsid w:val="03D472D2"/>
    <w:rsid w:val="03F11C32"/>
    <w:rsid w:val="063D4CBA"/>
    <w:rsid w:val="06CE625A"/>
    <w:rsid w:val="06DF3FC3"/>
    <w:rsid w:val="08E458C1"/>
    <w:rsid w:val="0A5627EE"/>
    <w:rsid w:val="0ABD0ABF"/>
    <w:rsid w:val="0C882A07"/>
    <w:rsid w:val="0CE340E1"/>
    <w:rsid w:val="0D927FE1"/>
    <w:rsid w:val="0ED71A24"/>
    <w:rsid w:val="13295EA9"/>
    <w:rsid w:val="13345697"/>
    <w:rsid w:val="13AC7923"/>
    <w:rsid w:val="17606A5A"/>
    <w:rsid w:val="18CB19BB"/>
    <w:rsid w:val="197113F3"/>
    <w:rsid w:val="1B652734"/>
    <w:rsid w:val="1B7C5E2D"/>
    <w:rsid w:val="1E1E31CB"/>
    <w:rsid w:val="1F3D58D3"/>
    <w:rsid w:val="1F4E188E"/>
    <w:rsid w:val="20566C4C"/>
    <w:rsid w:val="211A2370"/>
    <w:rsid w:val="211C60E8"/>
    <w:rsid w:val="21223900"/>
    <w:rsid w:val="21D818E3"/>
    <w:rsid w:val="222C235B"/>
    <w:rsid w:val="223631D9"/>
    <w:rsid w:val="23FA3D93"/>
    <w:rsid w:val="25983863"/>
    <w:rsid w:val="27A97FAA"/>
    <w:rsid w:val="27C52C23"/>
    <w:rsid w:val="28844573"/>
    <w:rsid w:val="28FD67FF"/>
    <w:rsid w:val="293135E7"/>
    <w:rsid w:val="2A44045E"/>
    <w:rsid w:val="2CD1770E"/>
    <w:rsid w:val="2D6055AE"/>
    <w:rsid w:val="2DB11B23"/>
    <w:rsid w:val="2E692241"/>
    <w:rsid w:val="31A31F0E"/>
    <w:rsid w:val="32A221C5"/>
    <w:rsid w:val="32F83B93"/>
    <w:rsid w:val="33264BA4"/>
    <w:rsid w:val="34D67F04"/>
    <w:rsid w:val="354E3F3E"/>
    <w:rsid w:val="359E7764"/>
    <w:rsid w:val="36897924"/>
    <w:rsid w:val="37DA7D0B"/>
    <w:rsid w:val="38C8225A"/>
    <w:rsid w:val="3A3C2EFF"/>
    <w:rsid w:val="3A563FC1"/>
    <w:rsid w:val="3CCD7E3F"/>
    <w:rsid w:val="3EEF0540"/>
    <w:rsid w:val="3F125FDD"/>
    <w:rsid w:val="3FAA090B"/>
    <w:rsid w:val="412F731A"/>
    <w:rsid w:val="41A970CC"/>
    <w:rsid w:val="41D06177"/>
    <w:rsid w:val="421F738E"/>
    <w:rsid w:val="42621029"/>
    <w:rsid w:val="445355F5"/>
    <w:rsid w:val="448E4357"/>
    <w:rsid w:val="4729480B"/>
    <w:rsid w:val="47541B6A"/>
    <w:rsid w:val="484A2C8B"/>
    <w:rsid w:val="49E50EBD"/>
    <w:rsid w:val="4B252964"/>
    <w:rsid w:val="4C8C73CE"/>
    <w:rsid w:val="4E28581D"/>
    <w:rsid w:val="4EFBC245"/>
    <w:rsid w:val="4F5F9438"/>
    <w:rsid w:val="4FEB08B0"/>
    <w:rsid w:val="4FFF0258"/>
    <w:rsid w:val="538F69F8"/>
    <w:rsid w:val="55D1679A"/>
    <w:rsid w:val="55FFC41D"/>
    <w:rsid w:val="57CE11E3"/>
    <w:rsid w:val="58A106A5"/>
    <w:rsid w:val="58A957AC"/>
    <w:rsid w:val="5A673229"/>
    <w:rsid w:val="5AA12BDF"/>
    <w:rsid w:val="5B5F03A4"/>
    <w:rsid w:val="5BF34EC0"/>
    <w:rsid w:val="5DD150E9"/>
    <w:rsid w:val="5F487ACD"/>
    <w:rsid w:val="5FFB4B3F"/>
    <w:rsid w:val="62B114E5"/>
    <w:rsid w:val="63B35731"/>
    <w:rsid w:val="64682077"/>
    <w:rsid w:val="65566374"/>
    <w:rsid w:val="657F1D6E"/>
    <w:rsid w:val="658E3D60"/>
    <w:rsid w:val="65DC4ACB"/>
    <w:rsid w:val="66EC6F90"/>
    <w:rsid w:val="68273FF7"/>
    <w:rsid w:val="69803BE2"/>
    <w:rsid w:val="6AD66F6E"/>
    <w:rsid w:val="6AFC5C0F"/>
    <w:rsid w:val="6D6A3304"/>
    <w:rsid w:val="6DD93243"/>
    <w:rsid w:val="6DDE15FC"/>
    <w:rsid w:val="6DE704B1"/>
    <w:rsid w:val="6E26547D"/>
    <w:rsid w:val="6FD607DD"/>
    <w:rsid w:val="720D6677"/>
    <w:rsid w:val="742A559B"/>
    <w:rsid w:val="74600BFE"/>
    <w:rsid w:val="75FEE730"/>
    <w:rsid w:val="766703E1"/>
    <w:rsid w:val="77156C51"/>
    <w:rsid w:val="776F09A1"/>
    <w:rsid w:val="785B5D23"/>
    <w:rsid w:val="7D172435"/>
    <w:rsid w:val="7D605B8A"/>
    <w:rsid w:val="7D7D673C"/>
    <w:rsid w:val="7E4E1E86"/>
    <w:rsid w:val="7E70004F"/>
    <w:rsid w:val="7EFFB53B"/>
    <w:rsid w:val="7F0D7F93"/>
    <w:rsid w:val="7FCF13AB"/>
    <w:rsid w:val="9A451D68"/>
    <w:rsid w:val="ADF8867D"/>
    <w:rsid w:val="CBF52180"/>
    <w:rsid w:val="D6AEF971"/>
    <w:rsid w:val="D6B996A6"/>
    <w:rsid w:val="DDBFDD45"/>
    <w:rsid w:val="DDD6313A"/>
    <w:rsid w:val="DEFF8C96"/>
    <w:rsid w:val="DFFF08C5"/>
    <w:rsid w:val="ECFF704D"/>
    <w:rsid w:val="EFEF3C70"/>
    <w:rsid w:val="F6DFB858"/>
    <w:rsid w:val="FA7F0C75"/>
    <w:rsid w:val="FADD25CC"/>
    <w:rsid w:val="FBFFF115"/>
    <w:rsid w:val="FD7E3467"/>
    <w:rsid w:val="FE3E1EED"/>
    <w:rsid w:val="FFD5EF36"/>
    <w:rsid w:val="FFFB2FD3"/>
    <w:rsid w:val="FFFF17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汉仪书宋二KW" w:cs="Times New Roman"/>
      <w:color w:val="auto"/>
      <w:kern w:val="2"/>
      <w:sz w:val="21"/>
      <w:szCs w:val="24"/>
      <w:lang w:val="en-US" w:eastAsia="zh-CN" w:bidi="ar-SA"/>
    </w:rPr>
  </w:style>
  <w:style w:type="paragraph" w:styleId="2">
    <w:name w:val="heading 3"/>
    <w:basedOn w:val="1"/>
    <w:next w:val="1"/>
    <w:qFormat/>
    <w:uiPriority w:val="0"/>
    <w:pPr>
      <w:keepNext/>
      <w:keepLines/>
      <w:numPr>
        <w:ilvl w:val="2"/>
        <w:numId w:val="1"/>
      </w:numPr>
      <w:spacing w:before="260" w:after="260" w:line="412"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caption"/>
    <w:basedOn w:val="1"/>
    <w:qFormat/>
    <w:uiPriority w:val="0"/>
    <w:pPr>
      <w:suppressLineNumbers/>
      <w:spacing w:before="120" w:after="120"/>
    </w:pPr>
    <w:rPr>
      <w:rFonts w:cs="Lohit Devanagari"/>
      <w:i/>
      <w:iCs/>
      <w:sz w:val="24"/>
      <w:szCs w:val="24"/>
    </w:rPr>
  </w:style>
  <w:style w:type="paragraph" w:styleId="4">
    <w:name w:val="annotation text"/>
    <w:basedOn w:val="1"/>
    <w:qFormat/>
    <w:uiPriority w:val="0"/>
    <w:pPr>
      <w:jc w:val="left"/>
    </w:pPr>
  </w:style>
  <w:style w:type="paragraph" w:styleId="5">
    <w:name w:val="Body Text"/>
    <w:basedOn w:val="1"/>
    <w:qFormat/>
    <w:uiPriority w:val="0"/>
    <w:rPr>
      <w:rFonts w:ascii="仿宋_GB2312" w:hAnsi="仿宋_GB2312" w:eastAsia="仿宋_GB2312" w:cs="仿宋_GB2312"/>
      <w:sz w:val="3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8">
    <w:name w:val="List"/>
    <w:basedOn w:val="5"/>
    <w:qFormat/>
    <w:uiPriority w:val="0"/>
    <w:rPr>
      <w:rFonts w:cs="Lohit Devanagari"/>
    </w:rPr>
  </w:style>
  <w:style w:type="paragraph" w:styleId="9">
    <w:name w:val="Normal (Web)"/>
    <w:basedOn w:val="1"/>
    <w:qFormat/>
    <w:uiPriority w:val="0"/>
    <w:pPr>
      <w:spacing w:beforeAutospacing="1" w:afterAutospacing="1"/>
      <w:jc w:val="left"/>
    </w:pPr>
    <w:rPr>
      <w:kern w:val="0"/>
      <w:sz w:val="24"/>
    </w:rPr>
  </w:style>
  <w:style w:type="character" w:styleId="12">
    <w:name w:val="Hyperlink"/>
    <w:basedOn w:val="13"/>
    <w:qFormat/>
    <w:uiPriority w:val="0"/>
    <w:rPr>
      <w:color w:val="0000FF"/>
      <w:u w:val="single"/>
    </w:rPr>
  </w:style>
  <w:style w:type="character" w:customStyle="1" w:styleId="13">
    <w:name w:val="默认段落字体1"/>
    <w:qFormat/>
    <w:uiPriority w:val="0"/>
  </w:style>
  <w:style w:type="character" w:customStyle="1" w:styleId="14">
    <w:name w:val="页脚 Char"/>
    <w:basedOn w:val="13"/>
    <w:qFormat/>
    <w:uiPriority w:val="0"/>
    <w:rPr>
      <w:kern w:val="2"/>
      <w:sz w:val="18"/>
      <w:szCs w:val="18"/>
    </w:rPr>
  </w:style>
  <w:style w:type="character" w:customStyle="1" w:styleId="15">
    <w:name w:val="页眉 Char"/>
    <w:basedOn w:val="13"/>
    <w:qFormat/>
    <w:uiPriority w:val="0"/>
    <w:rPr>
      <w:kern w:val="2"/>
      <w:sz w:val="18"/>
      <w:szCs w:val="18"/>
    </w:rPr>
  </w:style>
  <w:style w:type="paragraph" w:customStyle="1" w:styleId="16">
    <w:name w:val="Heading"/>
    <w:basedOn w:val="1"/>
    <w:next w:val="5"/>
    <w:qFormat/>
    <w:uiPriority w:val="0"/>
    <w:pPr>
      <w:keepNext/>
      <w:spacing w:before="240" w:after="120"/>
    </w:pPr>
    <w:rPr>
      <w:rFonts w:ascii="Liberation Sans" w:hAnsi="Liberation Sans" w:eastAsia="Noto Sans CJK SC" w:cs="Lohit Devanagari"/>
      <w:sz w:val="28"/>
      <w:szCs w:val="28"/>
    </w:rPr>
  </w:style>
  <w:style w:type="paragraph" w:customStyle="1" w:styleId="17">
    <w:name w:val="Index"/>
    <w:basedOn w:val="1"/>
    <w:qFormat/>
    <w:uiPriority w:val="0"/>
    <w:pPr>
      <w:suppressLineNumbers/>
    </w:pPr>
    <w:rPr>
      <w:rFonts w:cs="Lohit Devanagari"/>
    </w:rPr>
  </w:style>
  <w:style w:type="paragraph" w:customStyle="1" w:styleId="18">
    <w:name w:val="批注文字1"/>
    <w:basedOn w:val="1"/>
    <w:qFormat/>
    <w:uiPriority w:val="0"/>
    <w:pPr>
      <w:jc w:val="left"/>
    </w:pPr>
  </w:style>
  <w:style w:type="paragraph" w:customStyle="1" w:styleId="19">
    <w:name w:val="Header and Footer"/>
    <w:basedOn w:val="1"/>
    <w:qFormat/>
    <w:uiPriority w:val="0"/>
    <w:pPr>
      <w:suppressLineNumbers/>
      <w:tabs>
        <w:tab w:val="center" w:pos="4986"/>
        <w:tab w:val="right" w:pos="9972"/>
      </w:tabs>
    </w:pPr>
  </w:style>
  <w:style w:type="paragraph" w:customStyle="1" w:styleId="20">
    <w:name w:val="普通(网站)1"/>
    <w:basedOn w:val="1"/>
    <w:qFormat/>
    <w:uiPriority w:val="0"/>
    <w:pPr>
      <w:spacing w:before="280" w:after="280"/>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569</Words>
  <Characters>589</Characters>
  <TotalTime>62</TotalTime>
  <ScaleCrop>false</ScaleCrop>
  <LinksUpToDate>false</LinksUpToDate>
  <CharactersWithSpaces>589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2019-08-20T06:54:00Z</dcterms:created>
  <dc:creator>zkk</dc:creator>
  <cp:lastModifiedBy>张九峰</cp:lastModifiedBy>
  <cp:lastPrinted>2026-10-21T01:57:58Z</cp:lastPrinted>
  <dcterms:modified xsi:type="dcterms:W3CDTF">2026-10-21T01:58:09Z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875CF62F3849F7A96799CD6AFCD1E86A_43</vt:lpwstr>
  </property>
  <property fmtid="{D5CDD505-2E9C-101B-9397-08002B2CF9AE}" pid="3" name="KSOProductBuildVer">
    <vt:lpwstr>2052-12.1.0.29161</vt:lpwstr>
  </property>
  <property fmtid="{D5CDD505-2E9C-101B-9397-08002B2CF9AE}" pid="4" name="KSOTemplateDocerSaveRecord">
    <vt:lpwstr>eyJoZGlkIjoiMmMwYmNjZmFlYmZkNDhhN2I5MzI1MmE3Nzk4ZGZiMDMiLCJ1c2VySWQiOiIzNTgxMjQ0NTQifQ==</vt:lpwstr>
  </property>
  <property fmtid="{D5CDD505-2E9C-101B-9397-08002B2CF9AE}" pid="5" name="commondata">
    <vt:lpwstr>commondata</vt:lpwstr>
  </property>
</Properties>
</file>