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CD4CC">
      <w:pPr>
        <w:rPr>
          <w:rFonts w:hint="eastAsia" w:ascii="黑体" w:hAnsi="黑体" w:eastAsia="黑体" w:cs="黑体"/>
          <w:lang w:val="en-US" w:eastAsia="zh-CN"/>
        </w:rPr>
      </w:pPr>
      <w:r>
        <w:rPr>
          <w:rFonts w:hint="eastAsia" w:ascii="黑体" w:hAnsi="黑体" w:eastAsia="黑体" w:cs="黑体"/>
        </w:rPr>
        <w:t>附件</w:t>
      </w:r>
    </w:p>
    <w:p w14:paraId="75A523F3">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2026年“</w:t>
      </w:r>
      <w:r>
        <w:rPr>
          <w:rFonts w:hint="eastAsia" w:ascii="方正小标宋简体" w:hAnsi="方正小标宋简体" w:eastAsia="方正小标宋简体" w:cs="方正小标宋简体"/>
          <w:sz w:val="44"/>
          <w:szCs w:val="44"/>
          <w:lang w:eastAsia="zh-CN"/>
        </w:rPr>
        <w:t>智能终端空间载体支持”专项奖励</w:t>
      </w:r>
    </w:p>
    <w:p w14:paraId="0ACECF11">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办事指南</w:t>
      </w:r>
    </w:p>
    <w:p w14:paraId="5ED1D729">
      <w:pPr>
        <w:rPr>
          <w:rFonts w:ascii="仿宋_GB2312" w:hAnsi="仿宋_GB2312" w:cs="仿宋_GB2312"/>
          <w:szCs w:val="32"/>
        </w:rPr>
      </w:pPr>
    </w:p>
    <w:p w14:paraId="59273765">
      <w:pPr>
        <w:ind w:firstLine="640" w:firstLineChars="200"/>
        <w:rPr>
          <w:rFonts w:ascii="黑体" w:hAnsi="黑体" w:eastAsia="黑体" w:cs="黑体"/>
          <w:szCs w:val="32"/>
        </w:rPr>
      </w:pPr>
      <w:r>
        <w:rPr>
          <w:rFonts w:hint="eastAsia" w:ascii="黑体" w:hAnsi="黑体" w:eastAsia="黑体" w:cs="黑体"/>
          <w:szCs w:val="32"/>
        </w:rPr>
        <w:t>一、政策依据</w:t>
      </w:r>
    </w:p>
    <w:p w14:paraId="39B6DE79">
      <w:pPr>
        <w:ind w:firstLine="640" w:firstLineChars="200"/>
        <w:rPr>
          <w:rFonts w:ascii="仿宋_GB2312" w:hAnsi="仿宋_GB2312" w:cs="仿宋_GB2312"/>
          <w:szCs w:val="32"/>
        </w:rPr>
      </w:pPr>
      <w:r>
        <w:rPr>
          <w:rFonts w:hint="eastAsia" w:ascii="仿宋_GB2312" w:hAnsi="仿宋_GB2312" w:cs="仿宋_GB2312"/>
          <w:szCs w:val="32"/>
        </w:rPr>
        <w:t>根据《北京经济技术开发区关于推动XR智能终端产业高质量发展的若干措施》（京技管发〔2025〕27号，以下简称《若干措施》）第七条“</w:t>
      </w:r>
      <w:bookmarkStart w:id="0" w:name="OLE_LINK22"/>
      <w:bookmarkStart w:id="1" w:name="OLE_LINK23"/>
      <w:r>
        <w:rPr>
          <w:rFonts w:hint="eastAsia" w:ascii="仿宋_GB2312" w:hAnsi="仿宋_GB2312" w:cs="仿宋_GB2312"/>
          <w:szCs w:val="32"/>
        </w:rPr>
        <w:t>对创新型企业按一定比例给予连续不超过三年的房租补贴</w:t>
      </w:r>
      <w:bookmarkEnd w:id="0"/>
      <w:bookmarkEnd w:id="1"/>
      <w:r>
        <w:rPr>
          <w:rFonts w:hint="eastAsia" w:ascii="仿宋_GB2312" w:hAnsi="仿宋_GB2312" w:cs="仿宋_GB2312"/>
          <w:szCs w:val="32"/>
        </w:rPr>
        <w:t>”。</w:t>
      </w:r>
    </w:p>
    <w:p w14:paraId="7FF386A3">
      <w:pPr>
        <w:ind w:firstLine="640" w:firstLineChars="200"/>
        <w:rPr>
          <w:rFonts w:ascii="黑体" w:hAnsi="黑体" w:eastAsia="黑体" w:cs="黑体"/>
          <w:szCs w:val="32"/>
        </w:rPr>
      </w:pPr>
      <w:r>
        <w:rPr>
          <w:rFonts w:hint="eastAsia" w:ascii="黑体" w:hAnsi="黑体" w:eastAsia="黑体" w:cs="黑体"/>
          <w:szCs w:val="32"/>
        </w:rPr>
        <w:t>二、申报事项</w:t>
      </w:r>
    </w:p>
    <w:p w14:paraId="38C99FDC">
      <w:pPr>
        <w:ind w:firstLine="640" w:firstLineChars="200"/>
        <w:rPr>
          <w:rFonts w:ascii="仿宋_GB2312" w:hAnsi="仿宋_GB2312" w:cs="仿宋_GB2312"/>
          <w:szCs w:val="32"/>
        </w:rPr>
      </w:pPr>
      <w:bookmarkStart w:id="2" w:name="OLE_LINK26"/>
      <w:r>
        <w:rPr>
          <w:rFonts w:hint="eastAsia" w:ascii="仿宋_GB2312" w:hAnsi="仿宋_GB2312" w:cs="仿宋_GB2312"/>
          <w:szCs w:val="32"/>
          <w:lang w:val="en-US" w:eastAsia="zh-CN"/>
        </w:rPr>
        <w:t>2026年“</w:t>
      </w:r>
      <w:r>
        <w:rPr>
          <w:rFonts w:hint="eastAsia" w:ascii="仿宋_GB2312" w:hAnsi="仿宋_GB2312" w:cs="仿宋_GB2312"/>
          <w:szCs w:val="32"/>
          <w:lang w:eastAsia="zh-CN"/>
        </w:rPr>
        <w:t>智能终端空间载体支持”专项奖励</w:t>
      </w:r>
    </w:p>
    <w:bookmarkEnd w:id="2"/>
    <w:p w14:paraId="2D979970">
      <w:pPr>
        <w:ind w:firstLine="640" w:firstLineChars="200"/>
        <w:rPr>
          <w:rFonts w:ascii="黑体" w:hAnsi="黑体" w:eastAsia="黑体" w:cs="黑体"/>
          <w:szCs w:val="32"/>
        </w:rPr>
      </w:pPr>
      <w:r>
        <w:rPr>
          <w:rFonts w:hint="eastAsia" w:ascii="黑体" w:hAnsi="黑体" w:eastAsia="黑体" w:cs="黑体"/>
          <w:szCs w:val="32"/>
        </w:rPr>
        <w:t>三、申报条件</w:t>
      </w:r>
    </w:p>
    <w:p w14:paraId="1823E963">
      <w:pPr>
        <w:widowControl w:val="0"/>
        <w:ind w:firstLine="640" w:firstLineChars="200"/>
        <w:textAlignment w:val="auto"/>
        <w:rPr>
          <w:rFonts w:ascii="仿宋_GB2312" w:hAnsi="仿宋_GB2312" w:cs="仿宋_GB2312"/>
          <w:kern w:val="0"/>
          <w:szCs w:val="32"/>
          <w:lang w:bidi="ar"/>
        </w:rPr>
      </w:pPr>
      <w:r>
        <w:rPr>
          <w:rFonts w:hint="eastAsia" w:ascii="仿宋_GB2312" w:hAnsi="仿宋_GB2312" w:cs="仿宋_GB2312"/>
          <w:kern w:val="0"/>
          <w:szCs w:val="32"/>
          <w:lang w:bidi="ar"/>
        </w:rPr>
        <w:t>（一）申报主体为在亦庄新城225平方公里范围内依法实际经营，近3年无重大行政处罚记录和刑事犯罪记录，未列入严重违法失信主体名单的企事业单位。</w:t>
      </w:r>
    </w:p>
    <w:p w14:paraId="7C094E76">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cs="仿宋_GB2312"/>
          <w:kern w:val="0"/>
          <w:szCs w:val="32"/>
          <w:lang w:bidi="ar"/>
        </w:rPr>
        <w:t>（二）申报主体为具备</w:t>
      </w:r>
      <w:r>
        <w:rPr>
          <w:rFonts w:hint="eastAsia" w:ascii="仿宋_GB2312" w:hAnsi="仿宋_GB2312" w:eastAsia="仿宋_GB2312" w:cs="仿宋_GB2312"/>
          <w:sz w:val="32"/>
          <w:szCs w:val="32"/>
          <w:highlight w:val="none"/>
          <w:lang w:val="en-US" w:eastAsia="zh-CN"/>
        </w:rPr>
        <w:t>XR领域相关关键核心技术的</w:t>
      </w:r>
      <w:r>
        <w:rPr>
          <w:rFonts w:hint="eastAsia" w:ascii="仿宋_GB2312" w:hAnsi="仿宋_GB2312" w:cs="仿宋_GB2312"/>
          <w:kern w:val="0"/>
          <w:szCs w:val="32"/>
          <w:lang w:bidi="ar"/>
        </w:rPr>
        <w:t>企事业单位</w:t>
      </w:r>
      <w:r>
        <w:rPr>
          <w:rFonts w:hint="eastAsia" w:ascii="仿宋_GB2312" w:hAnsi="仿宋_GB2312" w:eastAsia="仿宋_GB2312" w:cs="仿宋_GB2312"/>
          <w:sz w:val="32"/>
          <w:szCs w:val="32"/>
          <w:highlight w:val="none"/>
          <w:lang w:val="en-US" w:eastAsia="zh-CN"/>
        </w:rPr>
        <w:t>。</w:t>
      </w:r>
    </w:p>
    <w:p w14:paraId="763C3794">
      <w:pPr>
        <w:ind w:firstLine="640" w:firstLineChars="200"/>
        <w:rPr>
          <w:rFonts w:ascii="黑体" w:hAnsi="黑体" w:eastAsia="黑体" w:cs="黑体"/>
          <w:szCs w:val="32"/>
        </w:rPr>
      </w:pPr>
      <w:r>
        <w:rPr>
          <w:rFonts w:hint="eastAsia" w:ascii="黑体" w:hAnsi="黑体" w:eastAsia="黑体" w:cs="黑体"/>
          <w:szCs w:val="32"/>
        </w:rPr>
        <w:t>四、支持内容和标准</w:t>
      </w:r>
    </w:p>
    <w:p w14:paraId="342C3A2A">
      <w:pPr>
        <w:snapToGrid/>
        <w:ind w:firstLine="640" w:firstLineChars="200"/>
        <w:textAlignment w:val="auto"/>
        <w:rPr>
          <w:rFonts w:hint="eastAsia" w:ascii="仿宋_GB2312" w:hAnsi="仿宋_GB2312" w:cs="仿宋_GB2312"/>
          <w:szCs w:val="32"/>
          <w:shd w:val="clear" w:color="auto" w:fill="FFFFFF"/>
        </w:rPr>
      </w:pPr>
      <w:r>
        <w:rPr>
          <w:rFonts w:hint="eastAsia" w:ascii="仿宋_GB2312" w:hAnsi="仿宋_GB2312" w:cs="仿宋_GB2312"/>
          <w:szCs w:val="32"/>
          <w:lang w:eastAsia="zh-CN"/>
        </w:rPr>
        <w:t>（一）</w:t>
      </w:r>
      <w:r>
        <w:rPr>
          <w:rFonts w:hint="eastAsia" w:ascii="仿宋_GB2312" w:hAnsi="仿宋_GB2312" w:cs="仿宋_GB2312"/>
          <w:szCs w:val="32"/>
        </w:rPr>
        <w:t>对</w:t>
      </w:r>
      <w:r>
        <w:rPr>
          <w:rFonts w:hint="eastAsia" w:ascii="仿宋_GB2312" w:hAnsi="仿宋_GB2312" w:cs="仿宋_GB2312"/>
          <w:szCs w:val="32"/>
          <w:highlight w:val="none"/>
        </w:rPr>
        <w:t>创新型</w:t>
      </w:r>
      <w:r>
        <w:rPr>
          <w:rFonts w:hint="eastAsia" w:ascii="仿宋_GB2312" w:hAnsi="仿宋_GB2312" w:cs="仿宋_GB2312"/>
          <w:szCs w:val="32"/>
        </w:rPr>
        <w:t>企业按一定比例给予连续不超过三年的房租补贴。</w:t>
      </w:r>
      <w:r>
        <w:rPr>
          <w:rFonts w:hint="eastAsia" w:ascii="仿宋_GB2312" w:hAnsi="仿宋_GB2312" w:cs="仿宋_GB2312"/>
          <w:szCs w:val="32"/>
          <w:shd w:val="clear" w:color="auto" w:fill="FFFFFF"/>
        </w:rPr>
        <w:t>补贴标准为实际租金单价的50%，最高不超过1.5元/平方米/天。若租金低于1.5元/平方米/天，按照实际租金单价和租赁合同面积计算。</w:t>
      </w:r>
    </w:p>
    <w:p w14:paraId="2CDCABC9">
      <w:pPr>
        <w:snapToGrid/>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cs="仿宋_GB2312"/>
          <w:szCs w:val="32"/>
          <w:shd w:val="clear" w:color="auto" w:fill="FFFFFF"/>
          <w:lang w:eastAsia="zh-CN"/>
        </w:rPr>
        <w:t>（二）</w:t>
      </w:r>
      <w:r>
        <w:rPr>
          <w:rFonts w:hint="eastAsia" w:ascii="仿宋_GB2312" w:hAnsi="仿宋_GB2312" w:eastAsia="仿宋_GB2312" w:cs="仿宋_GB2312"/>
          <w:color w:val="000000"/>
          <w:sz w:val="32"/>
          <w:szCs w:val="32"/>
        </w:rPr>
        <w:t>奖励金额以万元为单位，保留一位小数，不足千元部分舍去。</w:t>
      </w:r>
    </w:p>
    <w:p w14:paraId="28D0C0B7">
      <w:pPr>
        <w:snapToGrid w:val="0"/>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cs="仿宋_GB2312"/>
          <w:kern w:val="0"/>
          <w:szCs w:val="32"/>
          <w:lang w:bidi="ar"/>
        </w:rPr>
        <w:t>（</w:t>
      </w:r>
      <w:r>
        <w:rPr>
          <w:rFonts w:hint="eastAsia" w:ascii="仿宋_GB2312" w:hAnsi="仿宋_GB2312" w:cs="仿宋_GB2312"/>
          <w:kern w:val="0"/>
          <w:szCs w:val="32"/>
          <w:lang w:eastAsia="zh-CN" w:bidi="ar"/>
        </w:rPr>
        <w:t>三</w:t>
      </w:r>
      <w:r>
        <w:rPr>
          <w:rFonts w:hint="eastAsia" w:ascii="仿宋_GB2312" w:hAnsi="仿宋_GB2312" w:cs="仿宋_GB2312"/>
          <w:kern w:val="0"/>
          <w:szCs w:val="32"/>
          <w:lang w:bidi="ar"/>
        </w:rPr>
        <w:t>）已享受经开区其他房租政策满三年的申报主体不得申报本</w:t>
      </w:r>
      <w:r>
        <w:rPr>
          <w:rFonts w:hint="eastAsia" w:ascii="仿宋_GB2312" w:hAnsi="仿宋_GB2312" w:cs="仿宋_GB2312"/>
          <w:kern w:val="0"/>
          <w:szCs w:val="32"/>
          <w:lang w:eastAsia="zh-CN" w:bidi="ar"/>
        </w:rPr>
        <w:t>事项</w:t>
      </w:r>
      <w:r>
        <w:rPr>
          <w:rFonts w:hint="eastAsia" w:ascii="仿宋_GB2312" w:hAnsi="仿宋_GB2312" w:cs="仿宋_GB2312"/>
          <w:kern w:val="0"/>
          <w:szCs w:val="32"/>
          <w:lang w:bidi="ar"/>
        </w:rPr>
        <w:t>；</w:t>
      </w:r>
      <w:r>
        <w:rPr>
          <w:rFonts w:hint="eastAsia" w:ascii="仿宋_GB2312" w:hAnsi="仿宋_GB2312" w:cs="仿宋_GB2312"/>
          <w:kern w:val="0"/>
          <w:szCs w:val="32"/>
          <w:lang w:eastAsia="zh-CN" w:bidi="ar"/>
        </w:rPr>
        <w:t>合计</w:t>
      </w:r>
      <w:r>
        <w:rPr>
          <w:rFonts w:hint="eastAsia" w:ascii="仿宋_GB2312" w:hAnsi="仿宋_GB2312" w:cs="仿宋_GB2312"/>
          <w:kern w:val="0"/>
          <w:szCs w:val="32"/>
          <w:lang w:bidi="ar"/>
        </w:rPr>
        <w:t>未满三年的，在不再享受前期房租政策的基础上，可以申请本</w:t>
      </w:r>
      <w:r>
        <w:rPr>
          <w:rFonts w:hint="eastAsia" w:ascii="仿宋_GB2312" w:hAnsi="仿宋_GB2312" w:cs="仿宋_GB2312"/>
          <w:kern w:val="0"/>
          <w:szCs w:val="32"/>
          <w:lang w:eastAsia="zh-CN" w:bidi="ar"/>
        </w:rPr>
        <w:t>事项</w:t>
      </w:r>
      <w:r>
        <w:rPr>
          <w:rFonts w:hint="eastAsia" w:ascii="仿宋_GB2312" w:hAnsi="仿宋_GB2312" w:cs="仿宋_GB2312"/>
          <w:kern w:val="0"/>
          <w:szCs w:val="32"/>
          <w:lang w:bidi="ar"/>
        </w:rPr>
        <w:t>，多个房租支持政策享受期限累计不超过3年。</w:t>
      </w:r>
    </w:p>
    <w:p w14:paraId="5722FFBF">
      <w:pPr>
        <w:ind w:firstLine="640" w:firstLineChars="200"/>
        <w:rPr>
          <w:rFonts w:ascii="黑体" w:hAnsi="黑体" w:eastAsia="黑体" w:cs="黑体"/>
          <w:szCs w:val="32"/>
        </w:rPr>
      </w:pPr>
      <w:r>
        <w:rPr>
          <w:rFonts w:hint="eastAsia" w:ascii="黑体" w:hAnsi="黑体" w:eastAsia="黑体" w:cs="黑体"/>
          <w:szCs w:val="32"/>
        </w:rPr>
        <w:t>五、申报材料及要求</w:t>
      </w:r>
    </w:p>
    <w:p w14:paraId="25E7521A">
      <w:pPr>
        <w:ind w:firstLine="640" w:firstLineChars="200"/>
        <w:rPr>
          <w:rFonts w:hint="eastAsia" w:ascii="仿宋_GB2312" w:hAnsi="仿宋_GB2312" w:cs="仿宋_GB2312"/>
          <w:szCs w:val="32"/>
        </w:rPr>
      </w:pPr>
      <w:r>
        <w:rPr>
          <w:rFonts w:hint="eastAsia" w:ascii="仿宋_GB2312" w:hAnsi="仿宋_GB2312" w:cs="仿宋_GB2312"/>
          <w:szCs w:val="32"/>
          <w:lang w:val="en-US" w:eastAsia="zh-CN"/>
        </w:rPr>
        <w:t>1.2026年</w:t>
      </w:r>
      <w:r>
        <w:rPr>
          <w:rFonts w:hint="eastAsia" w:ascii="仿宋_GB2312" w:hAnsi="仿宋_GB2312" w:cs="仿宋_GB2312"/>
          <w:szCs w:val="32"/>
          <w:lang w:eastAsia="zh-CN"/>
        </w:rPr>
        <w:t>智能终端空间载体支持</w:t>
      </w:r>
      <w:r>
        <w:rPr>
          <w:rFonts w:hint="eastAsia" w:ascii="仿宋_GB2312" w:hAnsi="仿宋_GB2312" w:cs="仿宋_GB2312"/>
          <w:szCs w:val="32"/>
        </w:rPr>
        <w:t>申报表，在线填写；</w:t>
      </w:r>
    </w:p>
    <w:p w14:paraId="0A6811EF">
      <w:pPr>
        <w:ind w:firstLine="640" w:firstLineChars="200"/>
        <w:rPr>
          <w:rFonts w:hint="eastAsia" w:ascii="仿宋_GB2312" w:hAnsi="仿宋_GB2312" w:cs="仿宋_GB2312"/>
          <w:szCs w:val="32"/>
        </w:rPr>
      </w:pPr>
      <w:r>
        <w:rPr>
          <w:rFonts w:hint="eastAsia" w:ascii="仿宋_GB2312" w:hAnsi="仿宋_GB2312" w:cs="仿宋_GB2312"/>
          <w:szCs w:val="32"/>
          <w:lang w:val="en-US" w:eastAsia="zh-CN"/>
        </w:rPr>
        <w:t>2.</w:t>
      </w:r>
      <w:r>
        <w:rPr>
          <w:rFonts w:hint="eastAsia" w:ascii="仿宋_GB2312" w:hAnsi="仿宋_GB2312" w:cs="仿宋_GB2312"/>
          <w:szCs w:val="32"/>
        </w:rPr>
        <w:t>企业营业执照，选取电子证照；</w:t>
      </w:r>
    </w:p>
    <w:p w14:paraId="39D89649">
      <w:pPr>
        <w:ind w:firstLine="640" w:firstLineChars="200"/>
        <w:rPr>
          <w:rFonts w:hint="eastAsia" w:ascii="仿宋_GB2312" w:hAnsi="仿宋_GB2312" w:cs="仿宋_GB2312"/>
          <w:szCs w:val="32"/>
        </w:rPr>
      </w:pPr>
      <w:r>
        <w:rPr>
          <w:rFonts w:hint="eastAsia" w:ascii="仿宋_GB2312" w:hAnsi="仿宋_GB2312" w:cs="仿宋_GB2312"/>
          <w:szCs w:val="32"/>
          <w:lang w:val="en-US" w:eastAsia="zh-CN"/>
        </w:rPr>
        <w:t>3.</w:t>
      </w:r>
      <w:r>
        <w:rPr>
          <w:rFonts w:hint="eastAsia" w:ascii="仿宋_GB2312" w:hAnsi="仿宋_GB2312" w:cs="仿宋_GB2312"/>
          <w:szCs w:val="32"/>
        </w:rPr>
        <w:t>承诺书，下载模板填写，签字、加盖公章，彩色扫描上传；</w:t>
      </w:r>
    </w:p>
    <w:p w14:paraId="47361DA9">
      <w:pPr>
        <w:ind w:firstLine="640" w:firstLineChars="200"/>
        <w:rPr>
          <w:rFonts w:hint="eastAsia" w:ascii="仿宋_GB2312" w:hAnsi="仿宋_GB2312" w:cs="仿宋_GB2312"/>
          <w:szCs w:val="32"/>
        </w:rPr>
      </w:pPr>
      <w:r>
        <w:rPr>
          <w:rFonts w:hint="eastAsia" w:ascii="仿宋_GB2312" w:hAnsi="仿宋_GB2312" w:cs="仿宋_GB2312"/>
          <w:szCs w:val="32"/>
          <w:lang w:val="en-US" w:eastAsia="zh-CN"/>
        </w:rPr>
        <w:t>4.</w:t>
      </w:r>
      <w:r>
        <w:rPr>
          <w:rFonts w:hint="eastAsia" w:ascii="仿宋_GB2312" w:hAnsi="仿宋_GB2312" w:cs="仿宋_GB2312"/>
          <w:szCs w:val="32"/>
        </w:rPr>
        <w:t>银行账户信息，下载模板填写，加盖公章，彩色扫描上传；</w:t>
      </w:r>
    </w:p>
    <w:p w14:paraId="303CA790">
      <w:pPr>
        <w:ind w:firstLine="640" w:firstLineChars="200"/>
        <w:rPr>
          <w:rFonts w:hint="eastAsia" w:ascii="仿宋_GB2312" w:hAnsi="仿宋_GB2312" w:cs="仿宋_GB2312"/>
          <w:szCs w:val="32"/>
        </w:rPr>
      </w:pPr>
      <w:r>
        <w:rPr>
          <w:rFonts w:hint="eastAsia" w:ascii="仿宋_GB2312" w:hAnsi="仿宋_GB2312" w:cs="仿宋_GB2312"/>
          <w:szCs w:val="32"/>
          <w:lang w:val="en-US" w:eastAsia="zh-CN"/>
        </w:rPr>
        <w:t>5.</w:t>
      </w:r>
      <w:r>
        <w:rPr>
          <w:rFonts w:hint="eastAsia" w:ascii="仿宋_GB2312" w:hAnsi="仿宋_GB2312" w:cs="仿宋_GB2312"/>
          <w:szCs w:val="32"/>
        </w:rPr>
        <w:t>能够证明企业从事</w:t>
      </w:r>
      <w:r>
        <w:rPr>
          <w:rFonts w:hint="eastAsia" w:ascii="仿宋_GB2312" w:hAnsi="仿宋_GB2312" w:cs="仿宋_GB2312"/>
          <w:szCs w:val="32"/>
          <w:lang w:val="en-US" w:eastAsia="zh-CN"/>
        </w:rPr>
        <w:t>XR智能终端</w:t>
      </w:r>
      <w:r>
        <w:rPr>
          <w:rFonts w:hint="eastAsia" w:ascii="仿宋_GB2312" w:hAnsi="仿宋_GB2312" w:cs="仿宋_GB2312"/>
          <w:szCs w:val="32"/>
        </w:rPr>
        <w:t>业务的相关材料，包括但不限于主营业务及XR智能终端相关产品介绍、相关业务合同等</w:t>
      </w:r>
      <w:r>
        <w:rPr>
          <w:rFonts w:hint="eastAsia" w:ascii="仿宋_GB2312" w:hAnsi="仿宋_GB2312" w:cs="仿宋_GB2312"/>
          <w:szCs w:val="32"/>
          <w:lang w:val="en-US" w:eastAsia="zh-CN"/>
        </w:rPr>
        <w:t>,</w:t>
      </w:r>
      <w:r>
        <w:rPr>
          <w:rFonts w:hint="eastAsia" w:ascii="仿宋_GB2312" w:hAnsi="仿宋_GB2312" w:cs="仿宋_GB2312"/>
          <w:szCs w:val="32"/>
        </w:rPr>
        <w:t>合同原件彩色扫描上传，其他佐证材料加盖公章，彩色扫描上传；</w:t>
      </w:r>
    </w:p>
    <w:p w14:paraId="53F01F4C">
      <w:pPr>
        <w:ind w:firstLine="640" w:firstLineChars="200"/>
        <w:rPr>
          <w:rFonts w:hint="eastAsia" w:ascii="仿宋_GB2312" w:hAnsi="仿宋_GB2312" w:cs="仿宋_GB2312"/>
          <w:szCs w:val="32"/>
        </w:rPr>
      </w:pPr>
      <w:r>
        <w:rPr>
          <w:rFonts w:hint="eastAsia" w:ascii="仿宋_GB2312" w:hAnsi="仿宋_GB2312" w:cs="仿宋_GB2312"/>
          <w:szCs w:val="32"/>
          <w:lang w:val="en-US" w:eastAsia="zh-CN"/>
        </w:rPr>
        <w:t>6.</w:t>
      </w:r>
      <w:r>
        <w:rPr>
          <w:rFonts w:hint="eastAsia" w:ascii="仿宋_GB2312" w:hAnsi="仿宋_GB2312" w:cs="仿宋_GB2312"/>
          <w:szCs w:val="32"/>
        </w:rPr>
        <w:t>2025年12月《北京市社会保险个人权益记录(单位缴费信息)》，</w:t>
      </w:r>
      <w:r>
        <w:rPr>
          <w:rFonts w:hint="eastAsia" w:ascii="仿宋_GB2312" w:hAnsi="仿宋_GB2312" w:cs="仿宋_GB2312"/>
          <w:szCs w:val="32"/>
          <w:lang w:eastAsia="zh-CN"/>
        </w:rPr>
        <w:t>原件</w:t>
      </w:r>
      <w:r>
        <w:rPr>
          <w:rFonts w:hint="eastAsia" w:ascii="仿宋_GB2312" w:hAnsi="仿宋_GB2312" w:cs="仿宋_GB2312"/>
          <w:szCs w:val="32"/>
        </w:rPr>
        <w:t>彩色扫描上传；</w:t>
      </w:r>
    </w:p>
    <w:p w14:paraId="6F1DBFF4">
      <w:pPr>
        <w:ind w:firstLine="640" w:firstLineChars="200"/>
        <w:jc w:val="left"/>
        <w:rPr>
          <w:rFonts w:hint="eastAsia" w:ascii="仿宋_GB2312" w:hAnsi="仿宋_GB2312" w:cs="仿宋_GB2312"/>
          <w:szCs w:val="32"/>
          <w:lang w:eastAsia="zh-CN"/>
        </w:rPr>
      </w:pPr>
      <w:r>
        <w:rPr>
          <w:rFonts w:hint="eastAsia" w:ascii="仿宋_GB2312" w:hAnsi="仿宋_GB2312" w:cs="仿宋_GB2312"/>
          <w:szCs w:val="32"/>
          <w:lang w:val="en-US" w:eastAsia="zh-CN"/>
        </w:rPr>
        <w:t>7.</w:t>
      </w:r>
      <w:r>
        <w:rPr>
          <w:rFonts w:hint="eastAsia" w:ascii="仿宋_GB2312" w:hAnsi="仿宋_GB2312" w:cs="仿宋_GB2312"/>
          <w:szCs w:val="32"/>
        </w:rPr>
        <w:t>2025年度处于有效租赁期限内的场地租赁合同</w:t>
      </w:r>
      <w:r>
        <w:rPr>
          <w:rFonts w:hint="eastAsia" w:ascii="仿宋_GB2312" w:hAnsi="仿宋_GB2312" w:cs="仿宋_GB2312"/>
          <w:szCs w:val="32"/>
          <w:lang w:eastAsia="zh-CN"/>
        </w:rPr>
        <w:t>及对应发票</w:t>
      </w:r>
      <w:r>
        <w:rPr>
          <w:rFonts w:hint="eastAsia" w:ascii="仿宋_GB2312" w:hAnsi="仿宋_GB2312" w:cs="仿宋_GB2312"/>
          <w:szCs w:val="32"/>
        </w:rPr>
        <w:t>，</w:t>
      </w:r>
      <w:r>
        <w:rPr>
          <w:rFonts w:hint="eastAsia" w:ascii="仿宋_GB2312" w:hAnsi="仿宋_GB2312" w:cs="仿宋_GB2312"/>
          <w:szCs w:val="32"/>
          <w:lang w:eastAsia="zh-CN"/>
        </w:rPr>
        <w:t>原件</w:t>
      </w:r>
      <w:r>
        <w:rPr>
          <w:rFonts w:hint="eastAsia" w:ascii="仿宋_GB2312" w:hAnsi="仿宋_GB2312" w:cs="仿宋_GB2312"/>
          <w:szCs w:val="32"/>
        </w:rPr>
        <w:t>彩色扫描上传</w:t>
      </w:r>
      <w:r>
        <w:rPr>
          <w:rFonts w:hint="eastAsia" w:ascii="仿宋_GB2312" w:hAnsi="仿宋_GB2312" w:cs="仿宋_GB2312"/>
          <w:szCs w:val="32"/>
          <w:lang w:eastAsia="zh-CN"/>
        </w:rPr>
        <w:t>；</w:t>
      </w:r>
    </w:p>
    <w:p w14:paraId="1E4151B6">
      <w:pPr>
        <w:ind w:firstLine="640" w:firstLineChars="200"/>
        <w:rPr>
          <w:rFonts w:hint="eastAsia" w:ascii="仿宋_GB2312" w:hAnsi="仿宋_GB2312" w:cs="仿宋_GB2312"/>
          <w:szCs w:val="32"/>
          <w:lang w:val="en-US" w:eastAsia="zh-CN"/>
        </w:rPr>
      </w:pPr>
      <w:r>
        <w:rPr>
          <w:rFonts w:hint="eastAsia" w:ascii="仿宋_GB2312" w:hAnsi="仿宋_GB2312" w:cs="仿宋_GB2312"/>
          <w:szCs w:val="32"/>
          <w:lang w:val="en-US" w:eastAsia="zh-CN"/>
        </w:rPr>
        <w:t>8.申报单位企业资质证明（科技型中小企业、国高新、专精特新等省级、国家级资质），原件彩色扫描上传；</w:t>
      </w:r>
    </w:p>
    <w:p w14:paraId="52BECBA3">
      <w:pPr>
        <w:ind w:firstLine="640" w:firstLineChars="200"/>
        <w:rPr>
          <w:rFonts w:hint="eastAsia" w:ascii="仿宋_GB2312" w:hAnsi="仿宋_GB2312" w:cs="仿宋_GB2312"/>
          <w:szCs w:val="32"/>
          <w:lang w:val="en-US" w:eastAsia="zh-CN"/>
        </w:rPr>
      </w:pPr>
      <w:r>
        <w:rPr>
          <w:rFonts w:hint="eastAsia" w:ascii="仿宋_GB2312" w:hAnsi="仿宋_GB2312" w:cs="仿宋_GB2312"/>
          <w:szCs w:val="32"/>
          <w:lang w:val="en-US" w:eastAsia="zh-CN"/>
        </w:rPr>
        <w:t>9.申报单位发明专利、软件著作权、PCT国际专利或中国专利奖证明等，原件彩色扫描上传；</w:t>
      </w:r>
    </w:p>
    <w:p w14:paraId="4922388D">
      <w:pPr>
        <w:ind w:firstLine="640" w:firstLineChars="200"/>
        <w:rPr>
          <w:rFonts w:hint="eastAsia" w:ascii="仿宋_GB2312" w:hAnsi="仿宋_GB2312" w:cs="仿宋_GB2312"/>
          <w:szCs w:val="32"/>
          <w:lang w:val="en-US" w:eastAsia="zh-CN"/>
        </w:rPr>
      </w:pPr>
      <w:r>
        <w:rPr>
          <w:rFonts w:hint="eastAsia" w:ascii="仿宋_GB2312" w:hAnsi="仿宋_GB2312" w:cs="仿宋_GB2312"/>
          <w:szCs w:val="32"/>
          <w:lang w:val="en-US" w:eastAsia="zh-CN"/>
        </w:rPr>
        <w:t>10.申报单位参与制定国家标准、地方标准证明，原件彩色扫描上传；</w:t>
      </w:r>
      <w:bookmarkStart w:id="3" w:name="_GoBack"/>
      <w:bookmarkEnd w:id="3"/>
    </w:p>
    <w:p w14:paraId="7F57B223">
      <w:pPr>
        <w:ind w:firstLine="640" w:firstLineChars="200"/>
        <w:rPr>
          <w:rFonts w:hint="eastAsia" w:ascii="仿宋_GB2312" w:hAnsi="仿宋_GB2312" w:cs="仿宋_GB2312"/>
          <w:szCs w:val="32"/>
          <w:lang w:val="en-US" w:eastAsia="zh-CN"/>
        </w:rPr>
      </w:pPr>
      <w:r>
        <w:rPr>
          <w:rFonts w:hint="eastAsia" w:ascii="仿宋_GB2312" w:hAnsi="仿宋_GB2312" w:cs="仿宋_GB2312"/>
          <w:szCs w:val="32"/>
          <w:lang w:val="en-US" w:eastAsia="zh-CN"/>
        </w:rPr>
        <w:t>11.申报单位研发人员学历证明（硕士研究生、博士研究生）,原件彩色扫描上传。</w:t>
      </w:r>
    </w:p>
    <w:p w14:paraId="6A1BD381">
      <w:pPr>
        <w:ind w:firstLine="640" w:firstLineChars="200"/>
        <w:rPr>
          <w:rFonts w:ascii="黑体" w:hAnsi="黑体" w:eastAsia="黑体" w:cs="黑体"/>
          <w:szCs w:val="32"/>
        </w:rPr>
      </w:pPr>
      <w:r>
        <w:rPr>
          <w:rFonts w:hint="eastAsia" w:ascii="黑体" w:hAnsi="黑体" w:eastAsia="黑体" w:cs="黑体"/>
          <w:szCs w:val="32"/>
        </w:rPr>
        <w:t>六、办理程序</w:t>
      </w:r>
    </w:p>
    <w:p w14:paraId="1BEBC9A6">
      <w:pPr>
        <w:pStyle w:val="9"/>
        <w:shd w:val="clear" w:color="auto" w:fill="auto"/>
        <w:spacing w:beforeAutospacing="0" w:afterAutospacing="0"/>
        <w:ind w:firstLine="640"/>
        <w:jc w:val="both"/>
        <w:rPr>
          <w:rFonts w:ascii="仿宋_GB2312" w:hAnsi="Segoe UI" w:cs="Segoe UI"/>
          <w:color w:val="000000"/>
          <w:sz w:val="32"/>
        </w:rPr>
      </w:pPr>
      <w:r>
        <w:rPr>
          <w:rFonts w:hint="eastAsia" w:ascii="仿宋_GB2312" w:hAnsi="仿宋_GB2312" w:cs="仿宋_GB2312"/>
          <w:b w:val="0"/>
          <w:bCs w:val="0"/>
          <w:color w:val="000000"/>
          <w:kern w:val="2"/>
          <w:sz w:val="32"/>
        </w:rPr>
        <w:t>（一）</w:t>
      </w:r>
      <w:r>
        <w:rPr>
          <w:rFonts w:hint="eastAsia" w:ascii="仿宋_GB2312" w:hAnsi="仿宋_GB2312" w:cs="仿宋_GB2312"/>
          <w:b/>
          <w:bCs/>
          <w:color w:val="000000"/>
          <w:kern w:val="2"/>
          <w:sz w:val="32"/>
        </w:rPr>
        <w:t>网上申报：</w:t>
      </w:r>
      <w:r>
        <w:rPr>
          <w:rFonts w:hint="eastAsia" w:ascii="仿宋_GB2312" w:hAnsi="仿宋_GB2312" w:cs="仿宋_GB2312"/>
          <w:sz w:val="32"/>
          <w:lang w:bidi="ar"/>
        </w:rPr>
        <w:t>申报主体通过北京市人民政府门户网站“政策兑现</w:t>
      </w:r>
      <w:r>
        <w:rPr>
          <w:rFonts w:hint="eastAsia" w:ascii="仿宋_GB2312" w:hAnsi="仿宋_GB2312" w:cs="仿宋_GB2312"/>
          <w:sz w:val="32"/>
          <w:lang w:val="en-US" w:eastAsia="zh-CN" w:bidi="ar"/>
        </w:rPr>
        <w:t>专区</w:t>
      </w:r>
      <w:r>
        <w:rPr>
          <w:rFonts w:hint="eastAsia" w:ascii="仿宋_GB2312" w:hAnsi="仿宋_GB2312" w:cs="仿宋_GB2312"/>
          <w:sz w:val="32"/>
          <w:lang w:bidi="ar"/>
        </w:rPr>
        <w:t>”(https://zhengce.beijing.gov.cn)或经开区官网“政策兑现”栏目(zcdx.kfqgw.beijing.gov.cn)进入政策兑现综合服务平台，注册登录后进行自主申报。如未在规定时间内提交申请的，视为自动放弃。</w:t>
      </w:r>
    </w:p>
    <w:p w14:paraId="4473B6E1">
      <w:pPr>
        <w:pStyle w:val="9"/>
        <w:widowControl/>
        <w:numPr>
          <w:ilvl w:val="-1"/>
          <w:numId w:val="0"/>
        </w:numPr>
        <w:shd w:val="clear" w:color="auto" w:fill="auto"/>
        <w:spacing w:beforeAutospacing="0" w:afterAutospacing="0"/>
        <w:ind w:firstLine="640" w:firstLineChars="0"/>
        <w:jc w:val="both"/>
        <w:rPr>
          <w:rFonts w:hint="default" w:ascii="仿宋_GB2312" w:hAnsi="仿宋_GB2312" w:eastAsia="仿宋_GB2312" w:cs="仿宋_GB2312"/>
          <w:color w:val="000000"/>
          <w:kern w:val="2"/>
          <w:sz w:val="32"/>
          <w:lang w:val="en-US" w:eastAsia="zh-CN"/>
        </w:rPr>
      </w:pPr>
      <w:r>
        <w:rPr>
          <w:rFonts w:hint="eastAsia" w:ascii="仿宋_GB2312" w:hAnsi="仿宋_GB2312" w:cs="仿宋_GB2312"/>
          <w:b w:val="0"/>
          <w:bCs w:val="0"/>
          <w:color w:val="000000"/>
          <w:kern w:val="2"/>
          <w:sz w:val="32"/>
        </w:rPr>
        <w:t>（二）</w:t>
      </w:r>
      <w:r>
        <w:rPr>
          <w:rFonts w:hint="eastAsia" w:ascii="仿宋_GB2312" w:hAnsi="仿宋_GB2312" w:cs="仿宋_GB2312"/>
          <w:b/>
          <w:bCs/>
          <w:color w:val="000000"/>
          <w:kern w:val="2"/>
          <w:sz w:val="32"/>
          <w:lang w:val="en-US" w:eastAsia="zh-CN"/>
        </w:rPr>
        <w:t>初审：</w:t>
      </w:r>
      <w:r>
        <w:rPr>
          <w:rFonts w:hint="eastAsia" w:ascii="仿宋_GB2312" w:hAnsi="仿宋_GB2312" w:cs="仿宋_GB2312"/>
          <w:b w:val="0"/>
          <w:bCs w:val="0"/>
          <w:color w:val="000000"/>
          <w:kern w:val="2"/>
          <w:sz w:val="32"/>
          <w:lang w:val="en-US" w:eastAsia="zh-CN"/>
        </w:rPr>
        <w:t>经开区营商环境建设局对申报主体提交的材料进行完整性审查，材料不齐全或不符合要求的，告知申报主体补齐补正。</w:t>
      </w:r>
    </w:p>
    <w:p w14:paraId="0F2F2BE4">
      <w:pPr>
        <w:widowControl/>
        <w:shd w:val="clear" w:color="auto"/>
        <w:spacing w:beforeAutospacing="0" w:afterAutospacing="0"/>
        <w:ind w:firstLine="640" w:firstLineChars="200"/>
        <w:jc w:val="both"/>
        <w:rPr>
          <w:rFonts w:hint="eastAsia" w:ascii="仿宋_GB2312" w:hAnsi="仿宋_GB2312" w:cs="仿宋_GB2312"/>
          <w:color w:val="000000"/>
          <w:kern w:val="2"/>
          <w:sz w:val="32"/>
        </w:rPr>
      </w:pPr>
      <w:r>
        <w:rPr>
          <w:rFonts w:hint="eastAsia" w:ascii="仿宋_GB2312" w:hAnsi="仿宋_GB2312" w:cs="仿宋_GB2312"/>
          <w:b w:val="0"/>
          <w:bCs w:val="0"/>
          <w:color w:val="000000"/>
          <w:kern w:val="2"/>
          <w:sz w:val="32"/>
          <w:shd w:val="clear"/>
        </w:rPr>
        <w:t>（三）</w:t>
      </w:r>
      <w:r>
        <w:rPr>
          <w:rFonts w:hint="eastAsia" w:ascii="仿宋_GB2312" w:hAnsi="仿宋_GB2312" w:eastAsia="仿宋_GB2312" w:cs="仿宋_GB2312"/>
          <w:b/>
          <w:bCs/>
          <w:sz w:val="32"/>
          <w:szCs w:val="32"/>
          <w:shd w:val="clear"/>
          <w:lang w:val="en-US" w:eastAsia="zh-CN"/>
        </w:rPr>
        <w:t>审核</w:t>
      </w:r>
      <w:r>
        <w:rPr>
          <w:rFonts w:hint="eastAsia" w:ascii="仿宋_GB2312" w:hAnsi="仿宋_GB2312" w:eastAsia="仿宋_GB2312" w:cs="仿宋_GB2312"/>
          <w:sz w:val="32"/>
          <w:szCs w:val="32"/>
          <w:shd w:val="clear"/>
          <w:lang w:val="en-US" w:eastAsia="zh-CN"/>
        </w:rPr>
        <w:t>：经开区信息技术产业局对申请材料进行实质审核。</w:t>
      </w:r>
    </w:p>
    <w:p w14:paraId="29F0D2F5">
      <w:pPr>
        <w:widowControl/>
        <w:ind w:firstLine="640"/>
        <w:jc w:val="left"/>
        <w:rPr>
          <w:rFonts w:hint="eastAsia" w:ascii="仿宋_GB2312" w:hAnsi="仿宋_GB2312" w:cs="仿宋_GB2312"/>
          <w:kern w:val="0"/>
          <w:lang w:bidi="ar"/>
        </w:rPr>
      </w:pPr>
      <w:r>
        <w:rPr>
          <w:rFonts w:hint="eastAsia" w:ascii="仿宋_GB2312" w:hAnsi="仿宋_GB2312" w:cs="仿宋_GB2312"/>
          <w:b w:val="0"/>
          <w:bCs w:val="0"/>
          <w:color w:val="000000"/>
        </w:rPr>
        <w:t>（四）</w:t>
      </w:r>
      <w:r>
        <w:rPr>
          <w:rFonts w:hint="eastAsia" w:ascii="仿宋_GB2312" w:hAnsi="仿宋_GB2312" w:cs="仿宋_GB2312"/>
          <w:b/>
          <w:bCs/>
          <w:color w:val="000000"/>
        </w:rPr>
        <w:t>专家评审：</w:t>
      </w:r>
      <w:r>
        <w:rPr>
          <w:rFonts w:hint="eastAsia" w:ascii="仿宋_GB2312" w:hAnsi="仿宋_GB2312" w:cs="仿宋_GB2312"/>
          <w:color w:val="000000"/>
        </w:rPr>
        <w:t>经开区</w:t>
      </w:r>
      <w:r>
        <w:rPr>
          <w:rFonts w:hint="eastAsia" w:ascii="仿宋_GB2312" w:hAnsi="仿宋_GB2312" w:cs="仿宋_GB2312"/>
          <w:kern w:val="0"/>
          <w:lang w:bidi="ar"/>
        </w:rPr>
        <w:t>信息技术产业局组织专家对申请材料进行评审，评审后将结果上传到系统。</w:t>
      </w:r>
    </w:p>
    <w:p w14:paraId="349775C8">
      <w:pPr>
        <w:pStyle w:val="9"/>
        <w:widowControl/>
        <w:shd w:val="clear" w:color="auto" w:fill="auto"/>
        <w:spacing w:beforeAutospacing="0" w:afterAutospacing="0"/>
        <w:ind w:firstLine="640"/>
        <w:rPr>
          <w:rFonts w:hint="eastAsia" w:ascii="仿宋_GB2312" w:hAnsi="仿宋_GB2312" w:cs="仿宋_GB2312"/>
          <w:color w:val="000000"/>
          <w:kern w:val="2"/>
          <w:sz w:val="32"/>
        </w:rPr>
      </w:pPr>
      <w:r>
        <w:rPr>
          <w:rFonts w:hint="eastAsia" w:ascii="仿宋_GB2312" w:hAnsi="仿宋_GB2312" w:cs="仿宋_GB2312"/>
          <w:b w:val="0"/>
          <w:bCs w:val="0"/>
          <w:color w:val="000000"/>
          <w:kern w:val="2"/>
          <w:sz w:val="32"/>
        </w:rPr>
        <w:t>（五）</w:t>
      </w:r>
      <w:r>
        <w:rPr>
          <w:rFonts w:hint="eastAsia" w:ascii="仿宋_GB2312" w:hAnsi="仿宋_GB2312" w:cs="仿宋_GB2312"/>
          <w:b/>
          <w:bCs/>
          <w:color w:val="000000"/>
          <w:kern w:val="2"/>
          <w:sz w:val="32"/>
        </w:rPr>
        <w:t>确定支持结果：</w:t>
      </w:r>
      <w:r>
        <w:rPr>
          <w:rFonts w:hint="eastAsia" w:ascii="仿宋_GB2312" w:hAnsi="仿宋_GB2312" w:cs="仿宋_GB2312"/>
          <w:color w:val="000000"/>
          <w:kern w:val="2"/>
          <w:sz w:val="32"/>
        </w:rPr>
        <w:t>经开区信息技术产业局对审核通过的申报主体拟定兑现支持奖励</w:t>
      </w:r>
      <w:r>
        <w:rPr>
          <w:rFonts w:hint="eastAsia" w:ascii="仿宋_GB2312" w:hAnsi="仿宋_GB2312" w:cs="仿宋_GB2312"/>
          <w:color w:val="000000"/>
          <w:kern w:val="2"/>
          <w:sz w:val="32"/>
          <w:lang w:val="en-US" w:eastAsia="zh-CN"/>
        </w:rPr>
        <w:t>年限及</w:t>
      </w:r>
      <w:r>
        <w:rPr>
          <w:rFonts w:hint="eastAsia" w:ascii="仿宋_GB2312" w:hAnsi="仿宋_GB2312" w:cs="仿宋_GB2312"/>
          <w:color w:val="000000"/>
          <w:kern w:val="2"/>
          <w:sz w:val="32"/>
        </w:rPr>
        <w:t>金额。</w:t>
      </w:r>
    </w:p>
    <w:p w14:paraId="6AE36F69">
      <w:pPr>
        <w:pStyle w:val="9"/>
        <w:widowControl/>
        <w:shd w:val="clear" w:color="auto" w:fill="auto"/>
        <w:spacing w:beforeAutospacing="0" w:afterAutospacing="0"/>
        <w:ind w:firstLine="640"/>
        <w:rPr>
          <w:rFonts w:hint="eastAsia" w:ascii="仿宋_GB2312" w:hAnsi="仿宋_GB2312" w:cs="仿宋_GB2312"/>
          <w:color w:val="000000"/>
          <w:kern w:val="2"/>
          <w:sz w:val="32"/>
        </w:rPr>
      </w:pPr>
      <w:r>
        <w:rPr>
          <w:rFonts w:hint="eastAsia" w:ascii="仿宋_GB2312" w:hAnsi="仿宋_GB2312" w:cs="仿宋_GB2312"/>
          <w:b w:val="0"/>
          <w:bCs w:val="0"/>
          <w:color w:val="000000"/>
          <w:kern w:val="2"/>
          <w:sz w:val="32"/>
        </w:rPr>
        <w:t>（六）</w:t>
      </w:r>
      <w:r>
        <w:rPr>
          <w:rFonts w:hint="eastAsia" w:ascii="仿宋_GB2312" w:hAnsi="仿宋_GB2312" w:cs="仿宋_GB2312"/>
          <w:b/>
          <w:bCs/>
          <w:color w:val="000000"/>
          <w:kern w:val="2"/>
          <w:sz w:val="32"/>
        </w:rPr>
        <w:t>公示：</w:t>
      </w:r>
      <w:r>
        <w:rPr>
          <w:rFonts w:hint="eastAsia" w:ascii="仿宋_GB2312" w:hAnsi="仿宋_GB2312" w:cs="仿宋_GB2312"/>
          <w:color w:val="000000"/>
          <w:sz w:val="32"/>
          <w:lang w:val="en-US" w:eastAsia="zh-CN"/>
        </w:rPr>
        <w:t>经开区信息技术产业局通过政策兑现综合服务平台对拟支持主体进行公示。</w:t>
      </w:r>
    </w:p>
    <w:p w14:paraId="174287C5">
      <w:pPr>
        <w:keepNext w:val="0"/>
        <w:keepLines w:val="0"/>
        <w:pageBreakBefore w:val="0"/>
        <w:widowControl/>
        <w:kinsoku/>
        <w:wordWrap/>
        <w:overflowPunct/>
        <w:topLinePunct w:val="0"/>
        <w:autoSpaceDE/>
        <w:autoSpaceDN/>
        <w:bidi w:val="0"/>
        <w:adjustRightInd/>
        <w:snapToGrid/>
        <w:ind w:left="0" w:leftChars="0" w:firstLine="640"/>
        <w:jc w:val="left"/>
        <w:textAlignment w:val="auto"/>
        <w:rPr>
          <w:rFonts w:ascii="仿宋_GB2312" w:hAnsi="Segoe UI" w:cs="Segoe UI"/>
          <w:color w:val="000000"/>
        </w:rPr>
      </w:pPr>
      <w:r>
        <w:rPr>
          <w:rFonts w:hint="eastAsia" w:ascii="仿宋_GB2312" w:hAnsi="仿宋_GB2312" w:cs="仿宋_GB2312"/>
          <w:b w:val="0"/>
          <w:bCs w:val="0"/>
          <w:color w:val="000000"/>
        </w:rPr>
        <w:t>（七）</w:t>
      </w:r>
      <w:r>
        <w:rPr>
          <w:rFonts w:hint="eastAsia" w:ascii="仿宋_GB2312" w:hAnsi="仿宋_GB2312" w:cs="仿宋_GB2312"/>
          <w:b/>
          <w:bCs/>
          <w:color w:val="000000"/>
        </w:rPr>
        <w:t>资金拨付：</w:t>
      </w:r>
      <w:r>
        <w:rPr>
          <w:rFonts w:hint="eastAsia" w:ascii="仿宋_GB2312" w:hAnsi="微软雅黑" w:cs="Segoe UI"/>
          <w:color w:val="000000"/>
        </w:rPr>
        <w:t>经公示无异议的，完成资金拨付。</w:t>
      </w:r>
    </w:p>
    <w:p w14:paraId="0599C46E">
      <w:pPr>
        <w:ind w:firstLine="640" w:firstLineChars="200"/>
        <w:rPr>
          <w:rFonts w:ascii="黑体" w:hAnsi="黑体" w:eastAsia="黑体" w:cs="黑体"/>
          <w:szCs w:val="32"/>
        </w:rPr>
      </w:pPr>
      <w:r>
        <w:rPr>
          <w:rFonts w:hint="eastAsia" w:ascii="黑体" w:hAnsi="黑体" w:eastAsia="黑体" w:cs="黑体"/>
          <w:szCs w:val="32"/>
        </w:rPr>
        <w:t>七、主责部门</w:t>
      </w:r>
    </w:p>
    <w:p w14:paraId="75C5BDB3">
      <w:pPr>
        <w:ind w:firstLine="640" w:firstLineChars="200"/>
        <w:rPr>
          <w:rFonts w:ascii="仿宋_GB2312" w:hAnsi="仿宋_GB2312" w:cs="仿宋_GB2312"/>
          <w:szCs w:val="32"/>
        </w:rPr>
      </w:pPr>
      <w:r>
        <w:rPr>
          <w:rFonts w:hint="eastAsia" w:ascii="仿宋_GB2312" w:hAnsi="仿宋_GB2312" w:cs="仿宋_GB2312"/>
          <w:szCs w:val="32"/>
        </w:rPr>
        <w:t>经开区信息技术产业局</w:t>
      </w:r>
    </w:p>
    <w:p w14:paraId="018EB443">
      <w:pPr>
        <w:ind w:firstLine="640" w:firstLineChars="200"/>
        <w:rPr>
          <w:rFonts w:ascii="黑体" w:hAnsi="黑体" w:eastAsia="黑体" w:cs="黑体"/>
          <w:szCs w:val="32"/>
        </w:rPr>
      </w:pPr>
      <w:r>
        <w:rPr>
          <w:rFonts w:hint="eastAsia" w:ascii="黑体" w:hAnsi="黑体" w:eastAsia="黑体" w:cs="黑体"/>
          <w:szCs w:val="32"/>
        </w:rPr>
        <w:t>八、受理窗口</w:t>
      </w:r>
    </w:p>
    <w:p w14:paraId="3274C898">
      <w:pPr>
        <w:keepNext w:val="0"/>
        <w:keepLines w:val="0"/>
        <w:pageBreakBefore w:val="0"/>
        <w:kinsoku/>
        <w:wordWrap/>
        <w:overflowPunct/>
        <w:topLinePunct w:val="0"/>
        <w:autoSpaceDE/>
        <w:autoSpaceDN/>
        <w:bidi w:val="0"/>
        <w:adjustRightInd/>
        <w:snapToGrid/>
        <w:ind w:left="0" w:leftChars="0" w:firstLine="640"/>
        <w:textAlignment w:val="auto"/>
        <w:outlineLvl w:val="0"/>
        <w:rPr>
          <w:rFonts w:hint="eastAsia" w:ascii="仿宋_GB2312" w:hAnsi="仿宋_GB2312" w:cs="仿宋_GB2312"/>
        </w:rPr>
      </w:pPr>
      <w:r>
        <w:rPr>
          <w:rFonts w:hint="eastAsia" w:ascii="仿宋_GB2312" w:hAnsi="仿宋_GB2312" w:cs="仿宋_GB2312"/>
        </w:rPr>
        <w:t>北京经济技术开发区万源街4号政务服务大厅“政策申报”窗口</w:t>
      </w:r>
    </w:p>
    <w:p w14:paraId="08E1D017">
      <w:pPr>
        <w:keepNext w:val="0"/>
        <w:keepLines w:val="0"/>
        <w:pageBreakBefore w:val="0"/>
        <w:kinsoku/>
        <w:wordWrap/>
        <w:overflowPunct/>
        <w:topLinePunct w:val="0"/>
        <w:autoSpaceDE/>
        <w:autoSpaceDN/>
        <w:bidi w:val="0"/>
        <w:adjustRightInd/>
        <w:snapToGrid/>
        <w:ind w:left="0" w:leftChars="0" w:firstLine="640"/>
        <w:textAlignment w:val="auto"/>
        <w:outlineLvl w:val="0"/>
        <w:rPr>
          <w:rFonts w:hint="eastAsia" w:ascii="黑体" w:hAnsi="黑体" w:eastAsia="黑体" w:cs="黑体"/>
        </w:rPr>
      </w:pPr>
      <w:r>
        <w:rPr>
          <w:rFonts w:hint="eastAsia" w:ascii="黑体" w:hAnsi="黑体" w:eastAsia="黑体" w:cs="黑体"/>
        </w:rPr>
        <w:t>九、申报时间</w:t>
      </w:r>
    </w:p>
    <w:p w14:paraId="3C895AAE">
      <w:pPr>
        <w:pStyle w:val="9"/>
        <w:keepNext w:val="0"/>
        <w:keepLines w:val="0"/>
        <w:pageBreakBefore w:val="0"/>
        <w:shd w:val="clear" w:color="auto"/>
        <w:kinsoku/>
        <w:wordWrap/>
        <w:overflowPunct/>
        <w:topLinePunct w:val="0"/>
        <w:autoSpaceDE/>
        <w:autoSpaceDN/>
        <w:bidi w:val="0"/>
        <w:adjustRightInd/>
        <w:snapToGrid/>
        <w:spacing w:beforeAutospacing="0" w:afterAutospacing="0"/>
        <w:ind w:left="0" w:leftChars="0" w:firstLine="640"/>
        <w:jc w:val="both"/>
        <w:textAlignment w:val="auto"/>
        <w:rPr>
          <w:rFonts w:hint="eastAsia" w:ascii="仿宋_GB2312" w:hAnsi="仿宋_GB2312" w:cs="仿宋_GB2312"/>
          <w:sz w:val="32"/>
          <w:highlight w:val="none"/>
          <w:lang w:bidi="ar"/>
        </w:rPr>
      </w:pPr>
      <w:r>
        <w:rPr>
          <w:rFonts w:hint="eastAsia" w:ascii="仿宋_GB2312" w:hAnsi="仿宋_GB2312" w:cs="仿宋_GB2312"/>
          <w:sz w:val="32"/>
          <w:highlight w:val="none"/>
          <w:lang w:bidi="ar"/>
        </w:rPr>
        <w:t>202</w:t>
      </w:r>
      <w:r>
        <w:rPr>
          <w:rFonts w:hint="eastAsia" w:ascii="仿宋_GB2312" w:hAnsi="仿宋_GB2312" w:cs="仿宋_GB2312"/>
          <w:sz w:val="32"/>
          <w:highlight w:val="none"/>
          <w:lang w:val="en-US" w:eastAsia="zh-CN" w:bidi="ar"/>
        </w:rPr>
        <w:t>6</w:t>
      </w:r>
      <w:r>
        <w:rPr>
          <w:rFonts w:hint="eastAsia" w:ascii="仿宋_GB2312" w:hAnsi="仿宋_GB2312" w:cs="仿宋_GB2312"/>
          <w:sz w:val="32"/>
          <w:highlight w:val="none"/>
          <w:lang w:bidi="ar"/>
        </w:rPr>
        <w:t>年</w:t>
      </w:r>
      <w:r>
        <w:rPr>
          <w:rFonts w:hint="eastAsia" w:ascii="仿宋_GB2312" w:hAnsi="仿宋_GB2312" w:cs="仿宋_GB2312"/>
          <w:sz w:val="32"/>
          <w:highlight w:val="none"/>
          <w:lang w:val="en-US" w:eastAsia="zh-CN" w:bidi="ar"/>
        </w:rPr>
        <w:t>10</w:t>
      </w:r>
      <w:r>
        <w:rPr>
          <w:rFonts w:hint="eastAsia" w:ascii="仿宋_GB2312" w:hAnsi="仿宋_GB2312" w:cs="仿宋_GB2312"/>
          <w:sz w:val="32"/>
          <w:highlight w:val="none"/>
          <w:lang w:bidi="ar"/>
        </w:rPr>
        <w:t>月</w:t>
      </w:r>
      <w:r>
        <w:rPr>
          <w:rFonts w:hint="eastAsia" w:ascii="仿宋_GB2312" w:hAnsi="仿宋_GB2312" w:cs="仿宋_GB2312"/>
          <w:sz w:val="32"/>
          <w:highlight w:val="none"/>
          <w:lang w:val="en-US" w:eastAsia="zh-CN" w:bidi="ar"/>
        </w:rPr>
        <w:t>13</w:t>
      </w:r>
      <w:r>
        <w:rPr>
          <w:rFonts w:hint="eastAsia" w:ascii="仿宋_GB2312" w:hAnsi="仿宋_GB2312" w:cs="仿宋_GB2312"/>
          <w:sz w:val="32"/>
          <w:highlight w:val="none"/>
          <w:lang w:bidi="ar"/>
        </w:rPr>
        <w:t>日至202</w:t>
      </w:r>
      <w:r>
        <w:rPr>
          <w:rFonts w:hint="eastAsia" w:ascii="仿宋_GB2312" w:hAnsi="仿宋_GB2312" w:cs="仿宋_GB2312"/>
          <w:sz w:val="32"/>
          <w:highlight w:val="none"/>
          <w:lang w:val="en-US" w:eastAsia="zh-CN" w:bidi="ar"/>
        </w:rPr>
        <w:t>6</w:t>
      </w:r>
      <w:r>
        <w:rPr>
          <w:rFonts w:hint="eastAsia" w:ascii="仿宋_GB2312" w:hAnsi="仿宋_GB2312" w:cs="仿宋_GB2312"/>
          <w:sz w:val="32"/>
          <w:highlight w:val="none"/>
          <w:lang w:bidi="ar"/>
        </w:rPr>
        <w:t>年</w:t>
      </w:r>
      <w:r>
        <w:rPr>
          <w:rFonts w:hint="eastAsia" w:ascii="仿宋_GB2312" w:hAnsi="仿宋_GB2312" w:cs="仿宋_GB2312"/>
          <w:sz w:val="32"/>
          <w:highlight w:val="none"/>
          <w:lang w:val="en-US" w:eastAsia="zh-CN" w:bidi="ar"/>
        </w:rPr>
        <w:t>11</w:t>
      </w:r>
      <w:r>
        <w:rPr>
          <w:rFonts w:hint="eastAsia" w:ascii="仿宋_GB2312" w:hAnsi="仿宋_GB2312" w:cs="仿宋_GB2312"/>
          <w:sz w:val="32"/>
          <w:highlight w:val="none"/>
          <w:lang w:bidi="ar"/>
        </w:rPr>
        <w:t>月</w:t>
      </w:r>
      <w:r>
        <w:rPr>
          <w:rFonts w:hint="eastAsia" w:ascii="仿宋_GB2312" w:hAnsi="仿宋_GB2312" w:cs="仿宋_GB2312"/>
          <w:sz w:val="32"/>
          <w:highlight w:val="none"/>
          <w:lang w:val="en-US" w:eastAsia="zh-CN" w:bidi="ar"/>
        </w:rPr>
        <w:t>3</w:t>
      </w:r>
      <w:r>
        <w:rPr>
          <w:rFonts w:hint="eastAsia" w:ascii="仿宋_GB2312" w:hAnsi="仿宋_GB2312" w:cs="仿宋_GB2312"/>
          <w:sz w:val="32"/>
          <w:highlight w:val="none"/>
          <w:lang w:bidi="ar"/>
        </w:rPr>
        <w:t>日</w:t>
      </w:r>
    </w:p>
    <w:p w14:paraId="6390E052">
      <w:pPr>
        <w:keepNext w:val="0"/>
        <w:keepLines w:val="0"/>
        <w:pageBreakBefore w:val="0"/>
        <w:kinsoku/>
        <w:wordWrap/>
        <w:overflowPunct/>
        <w:topLinePunct w:val="0"/>
        <w:autoSpaceDE/>
        <w:autoSpaceDN/>
        <w:bidi w:val="0"/>
        <w:adjustRightInd/>
        <w:snapToGrid/>
        <w:ind w:left="0" w:leftChars="0" w:firstLine="640"/>
        <w:textAlignment w:val="auto"/>
        <w:outlineLvl w:val="0"/>
        <w:rPr>
          <w:rFonts w:hint="eastAsia" w:ascii="黑体" w:hAnsi="黑体" w:eastAsia="黑体" w:cs="黑体"/>
        </w:rPr>
      </w:pPr>
      <w:r>
        <w:rPr>
          <w:rFonts w:hint="eastAsia" w:ascii="黑体" w:hAnsi="黑体" w:eastAsia="黑体" w:cs="黑体"/>
        </w:rPr>
        <w:t>十、联系方式</w:t>
      </w:r>
    </w:p>
    <w:p w14:paraId="72B8CB0A">
      <w:pPr>
        <w:keepNext w:val="0"/>
        <w:keepLines w:val="0"/>
        <w:pageBreakBefore w:val="0"/>
        <w:kinsoku/>
        <w:wordWrap/>
        <w:overflowPunct/>
        <w:topLinePunct w:val="0"/>
        <w:autoSpaceDE/>
        <w:autoSpaceDN/>
        <w:bidi w:val="0"/>
        <w:adjustRightInd/>
        <w:snapToGrid/>
        <w:ind w:left="0" w:leftChars="0" w:firstLine="640"/>
        <w:textAlignment w:val="auto"/>
        <w:outlineLvl w:val="0"/>
        <w:rPr>
          <w:rFonts w:ascii="仿宋_GB2312" w:hAnsi="Segoe UI" w:cs="Segoe UI"/>
        </w:rPr>
      </w:pPr>
      <w:r>
        <w:rPr>
          <w:rFonts w:hint="eastAsia" w:ascii="仿宋_GB2312" w:hAnsi="Segoe UI" w:cs="Segoe UI"/>
        </w:rPr>
        <w:t>政策咨询：</w:t>
      </w:r>
    </w:p>
    <w:p w14:paraId="57EFEE18">
      <w:pPr>
        <w:ind w:firstLine="640"/>
        <w:outlineLvl w:val="0"/>
        <w:rPr>
          <w:rFonts w:hint="eastAsia" w:ascii="仿宋_GB2312" w:hAnsi="仿宋_GB2312" w:cs="仿宋_GB2312"/>
          <w:color w:val="000000"/>
          <w:sz w:val="32"/>
          <w:lang w:val="en-US" w:eastAsia="zh-CN"/>
        </w:rPr>
      </w:pPr>
      <w:r>
        <w:rPr>
          <w:rFonts w:hint="eastAsia" w:ascii="仿宋_GB2312" w:hAnsi="仿宋_GB2312" w:cs="仿宋_GB2312"/>
          <w:color w:val="000000"/>
          <w:sz w:val="32"/>
          <w:lang w:val="en-US" w:eastAsia="zh-CN"/>
        </w:rPr>
        <w:t>经开区政务服务大厅“政策申报”窗口，联系电话：010-67857878转4、010-67857687，工作日上午9:00—12:00，下午1:30—5:00。</w:t>
      </w:r>
    </w:p>
    <w:p w14:paraId="5033EF3F">
      <w:pPr>
        <w:ind w:firstLine="640"/>
        <w:outlineLvl w:val="0"/>
        <w:rPr>
          <w:rFonts w:hint="eastAsia" w:ascii="仿宋_GB2312" w:hAnsi="仿宋_GB2312" w:cs="仿宋_GB2312"/>
          <w:color w:val="000000"/>
          <w:sz w:val="32"/>
          <w:lang w:val="en-US" w:eastAsia="zh-CN"/>
        </w:rPr>
      </w:pPr>
      <w:r>
        <w:rPr>
          <w:rFonts w:hint="eastAsia" w:ascii="仿宋_GB2312" w:hAnsi="仿宋_GB2312" w:cs="仿宋_GB2312"/>
          <w:color w:val="000000"/>
          <w:sz w:val="32"/>
          <w:lang w:val="en-US" w:eastAsia="zh-CN"/>
        </w:rPr>
        <w:t>经开区信息技术产业局，联系人：王昕，联系电话：010-67883162，工作日上午9:00—12:00，下午2:00—6:00。</w:t>
      </w:r>
    </w:p>
    <w:p w14:paraId="5643FC40">
      <w:pPr>
        <w:ind w:firstLine="640"/>
        <w:outlineLvl w:val="0"/>
        <w:rPr>
          <w:rFonts w:hint="eastAsia" w:ascii="仿宋_GB2312" w:hAnsi="仿宋_GB2312" w:cs="仿宋_GB2312"/>
          <w:color w:val="000000"/>
          <w:sz w:val="32"/>
          <w:lang w:val="en-US" w:eastAsia="zh-CN"/>
        </w:rPr>
      </w:pPr>
      <w:r>
        <w:rPr>
          <w:rFonts w:hint="eastAsia" w:ascii="仿宋_GB2312" w:hAnsi="仿宋_GB2312" w:cs="仿宋_GB2312"/>
          <w:color w:val="000000"/>
          <w:sz w:val="32"/>
          <w:lang w:val="en-US" w:eastAsia="zh-CN"/>
        </w:rPr>
        <w:t>技术支持：</w:t>
      </w:r>
    </w:p>
    <w:p w14:paraId="0DEF529C">
      <w:pPr>
        <w:ind w:firstLine="640" w:firstLineChars="200"/>
        <w:rPr>
          <w:rFonts w:hint="eastAsia" w:ascii="仿宋_GB2312" w:hAnsi="仿宋_GB2312" w:cs="仿宋_GB2312"/>
          <w:color w:val="000000"/>
          <w:sz w:val="32"/>
          <w:lang w:val="en-US" w:eastAsia="zh-CN"/>
        </w:rPr>
      </w:pPr>
      <w:r>
        <w:rPr>
          <w:rFonts w:hint="eastAsia" w:ascii="仿宋_GB2312" w:hAnsi="仿宋_GB2312" w:cs="仿宋_GB2312"/>
          <w:color w:val="000000"/>
          <w:sz w:val="32"/>
          <w:lang w:val="en-US" w:eastAsia="zh-CN"/>
        </w:rPr>
        <w:t>联系电话：010-83509638，工作日上午9:00—12:00，下午2:00—6:00。</w:t>
      </w:r>
    </w:p>
    <w:p w14:paraId="7CA242A5">
      <w:pPr>
        <w:ind w:firstLine="640" w:firstLineChars="200"/>
        <w:rPr>
          <w:rFonts w:ascii="黑体" w:hAnsi="黑体" w:eastAsia="黑体" w:cs="黑体"/>
          <w:szCs w:val="32"/>
        </w:rPr>
      </w:pPr>
      <w:r>
        <w:rPr>
          <w:rFonts w:hint="eastAsia" w:ascii="黑体" w:hAnsi="黑体" w:eastAsia="黑体" w:cs="黑体"/>
          <w:szCs w:val="32"/>
        </w:rPr>
        <w:t>十一、收费标准</w:t>
      </w:r>
    </w:p>
    <w:p w14:paraId="0F68E868">
      <w:pPr>
        <w:ind w:firstLine="640" w:firstLineChars="200"/>
        <w:rPr>
          <w:rFonts w:ascii="仿宋_GB2312" w:hAnsi="仿宋_GB2312" w:cs="仿宋_GB2312"/>
          <w:szCs w:val="32"/>
        </w:rPr>
      </w:pPr>
      <w:r>
        <w:rPr>
          <w:rFonts w:hint="eastAsia" w:ascii="仿宋_GB2312" w:hAnsi="仿宋_GB2312" w:cs="仿宋_GB2312"/>
          <w:szCs w:val="32"/>
        </w:rPr>
        <w:t>不收费</w:t>
      </w:r>
    </w:p>
    <w:p w14:paraId="5AB328B0">
      <w:pPr>
        <w:keepNext w:val="0"/>
        <w:keepLines w:val="0"/>
        <w:pageBreakBefore w:val="0"/>
        <w:kinsoku/>
        <w:wordWrap/>
        <w:overflowPunct/>
        <w:topLinePunct w:val="0"/>
        <w:autoSpaceDE/>
        <w:autoSpaceDN/>
        <w:bidi w:val="0"/>
        <w:adjustRightInd/>
        <w:snapToGrid/>
        <w:ind w:left="0" w:leftChars="0" w:firstLine="640"/>
        <w:textAlignment w:val="auto"/>
        <w:rPr>
          <w:rFonts w:hint="eastAsia" w:ascii="黑体" w:hAnsi="黑体" w:eastAsia="黑体" w:cs="仿宋_GB2312"/>
        </w:rPr>
      </w:pPr>
      <w:r>
        <w:rPr>
          <w:rFonts w:hint="eastAsia" w:ascii="黑体" w:hAnsi="黑体" w:eastAsia="黑体" w:cs="仿宋_GB2312"/>
        </w:rPr>
        <w:t>十二、特别说明</w:t>
      </w:r>
    </w:p>
    <w:p w14:paraId="6E98D6CA">
      <w:pPr>
        <w:keepNext w:val="0"/>
        <w:keepLines w:val="0"/>
        <w:pageBreakBefore w:val="0"/>
        <w:kinsoku/>
        <w:wordWrap/>
        <w:overflowPunct/>
        <w:topLinePunct w:val="0"/>
        <w:autoSpaceDE/>
        <w:autoSpaceDN/>
        <w:bidi w:val="0"/>
        <w:adjustRightInd/>
        <w:snapToGrid/>
        <w:ind w:left="0" w:leftChars="0" w:firstLine="640" w:firstLineChars="0"/>
        <w:textAlignment w:val="auto"/>
        <w:outlineLvl w:val="9"/>
        <w:rPr>
          <w:rFonts w:ascii="仿宋_GB2312" w:hAnsi="仿宋_GB2312" w:cs="仿宋_GB2312"/>
          <w:szCs w:val="32"/>
        </w:rPr>
      </w:pPr>
      <w:r>
        <w:rPr>
          <w:rFonts w:hint="eastAsia" w:ascii="仿宋_GB2312" w:hAnsi="黑体" w:cs="仿宋_GB2312"/>
        </w:rPr>
        <w:t>无</w:t>
      </w:r>
    </w:p>
    <w:sectPr>
      <w:pgSz w:w="11906" w:h="16838"/>
      <w:pgMar w:top="2098" w:right="1508" w:bottom="1984" w:left="1587" w:header="851" w:footer="992" w:gutter="0"/>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43ECBBD-D1B8-495B-895B-884859AB026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4451608D-A60D-49DE-88D2-5062AF34D317}"/>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embedRegular r:id="rId3" w:fontKey="{863AB742-FCD8-4E3C-B4DE-6790BC931784}"/>
  </w:font>
  <w:font w:name="Segoe UI">
    <w:panose1 w:val="020B0502040204020203"/>
    <w:charset w:val="00"/>
    <w:family w:val="swiss"/>
    <w:pitch w:val="default"/>
    <w:sig w:usb0="E10022FF" w:usb1="C000E47F" w:usb2="00000029" w:usb3="00000000" w:csb0="200001DF" w:csb1="20000000"/>
    <w:embedRegular r:id="rId4" w:fontKey="{8DBFBEED-A002-47C1-B924-084D5E3FDC42}"/>
  </w:font>
  <w:font w:name="微软雅黑">
    <w:panose1 w:val="020B0503020204020204"/>
    <w:charset w:val="86"/>
    <w:family w:val="swiss"/>
    <w:pitch w:val="default"/>
    <w:sig w:usb0="80000287" w:usb1="280F3C52" w:usb2="00000016" w:usb3="00000000" w:csb0="0004001F" w:csb1="00000000"/>
    <w:embedRegular r:id="rId5" w:fontKey="{3F1D78A4-D7AC-4A51-9703-18F67177895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BB3E01"/>
    <w:rsid w:val="00136ABC"/>
    <w:rsid w:val="002F3A88"/>
    <w:rsid w:val="003109B5"/>
    <w:rsid w:val="003319E1"/>
    <w:rsid w:val="00524578"/>
    <w:rsid w:val="006B7FE8"/>
    <w:rsid w:val="006D48BB"/>
    <w:rsid w:val="007767A8"/>
    <w:rsid w:val="007D3BF8"/>
    <w:rsid w:val="0080048C"/>
    <w:rsid w:val="00873780"/>
    <w:rsid w:val="008C4F1A"/>
    <w:rsid w:val="009340BD"/>
    <w:rsid w:val="009852FF"/>
    <w:rsid w:val="009D7A91"/>
    <w:rsid w:val="00A77D7F"/>
    <w:rsid w:val="00AE174D"/>
    <w:rsid w:val="00B85053"/>
    <w:rsid w:val="00BB4242"/>
    <w:rsid w:val="00EB7956"/>
    <w:rsid w:val="00F66705"/>
    <w:rsid w:val="00FB48E2"/>
    <w:rsid w:val="02714395"/>
    <w:rsid w:val="033E4C41"/>
    <w:rsid w:val="048A7527"/>
    <w:rsid w:val="04F95453"/>
    <w:rsid w:val="057B33E1"/>
    <w:rsid w:val="07061D77"/>
    <w:rsid w:val="074C4559"/>
    <w:rsid w:val="087034CF"/>
    <w:rsid w:val="091B47B8"/>
    <w:rsid w:val="0D8519A7"/>
    <w:rsid w:val="0E5077D5"/>
    <w:rsid w:val="0EBC46F4"/>
    <w:rsid w:val="0F672DA8"/>
    <w:rsid w:val="10465159"/>
    <w:rsid w:val="12635BF0"/>
    <w:rsid w:val="13115D7B"/>
    <w:rsid w:val="142E5E02"/>
    <w:rsid w:val="1588725F"/>
    <w:rsid w:val="1C5D7A0C"/>
    <w:rsid w:val="1C890801"/>
    <w:rsid w:val="1E1164E5"/>
    <w:rsid w:val="1E923FE9"/>
    <w:rsid w:val="1EB071C3"/>
    <w:rsid w:val="1F327FB5"/>
    <w:rsid w:val="1F417171"/>
    <w:rsid w:val="1FFDB89E"/>
    <w:rsid w:val="20797299"/>
    <w:rsid w:val="211014F1"/>
    <w:rsid w:val="21BC51D5"/>
    <w:rsid w:val="2262553E"/>
    <w:rsid w:val="260B3AF2"/>
    <w:rsid w:val="26673911"/>
    <w:rsid w:val="2791701A"/>
    <w:rsid w:val="2D5A30FD"/>
    <w:rsid w:val="2E776019"/>
    <w:rsid w:val="30323FB6"/>
    <w:rsid w:val="328A2F12"/>
    <w:rsid w:val="33751688"/>
    <w:rsid w:val="33AA196E"/>
    <w:rsid w:val="34443494"/>
    <w:rsid w:val="399E06DC"/>
    <w:rsid w:val="3A121F53"/>
    <w:rsid w:val="3BCA05C9"/>
    <w:rsid w:val="3EBA22C2"/>
    <w:rsid w:val="42234DDB"/>
    <w:rsid w:val="42AE4146"/>
    <w:rsid w:val="430D5439"/>
    <w:rsid w:val="430F7403"/>
    <w:rsid w:val="43670FED"/>
    <w:rsid w:val="44D53D34"/>
    <w:rsid w:val="454951AF"/>
    <w:rsid w:val="479D0F71"/>
    <w:rsid w:val="4924528A"/>
    <w:rsid w:val="4C86097C"/>
    <w:rsid w:val="4DD91C2C"/>
    <w:rsid w:val="4FF42907"/>
    <w:rsid w:val="50F1164D"/>
    <w:rsid w:val="51FF4CB9"/>
    <w:rsid w:val="53D12D4D"/>
    <w:rsid w:val="54640577"/>
    <w:rsid w:val="54BAEACC"/>
    <w:rsid w:val="55D8598B"/>
    <w:rsid w:val="560B59D8"/>
    <w:rsid w:val="563B2C1F"/>
    <w:rsid w:val="56FE63C1"/>
    <w:rsid w:val="5ABB3E01"/>
    <w:rsid w:val="5B411CCC"/>
    <w:rsid w:val="5E264EAE"/>
    <w:rsid w:val="5E4E219A"/>
    <w:rsid w:val="5EB95D39"/>
    <w:rsid w:val="648B5685"/>
    <w:rsid w:val="652C609E"/>
    <w:rsid w:val="65BF03BD"/>
    <w:rsid w:val="67FE616E"/>
    <w:rsid w:val="68751207"/>
    <w:rsid w:val="68AB4C28"/>
    <w:rsid w:val="6ADA17F5"/>
    <w:rsid w:val="6CEC1E3E"/>
    <w:rsid w:val="6E724961"/>
    <w:rsid w:val="6FBB11E3"/>
    <w:rsid w:val="6FFF6963"/>
    <w:rsid w:val="70865A01"/>
    <w:rsid w:val="728660C5"/>
    <w:rsid w:val="7474D4B5"/>
    <w:rsid w:val="75BF2BD2"/>
    <w:rsid w:val="767ECDDC"/>
    <w:rsid w:val="7719F4C5"/>
    <w:rsid w:val="77AFB6B0"/>
    <w:rsid w:val="783E367C"/>
    <w:rsid w:val="7DE9785A"/>
    <w:rsid w:val="7ECB2DB4"/>
    <w:rsid w:val="9FFE1863"/>
    <w:rsid w:val="A75E10FF"/>
    <w:rsid w:val="D677B4B9"/>
    <w:rsid w:val="DBFAC4E6"/>
    <w:rsid w:val="DE1B6D97"/>
    <w:rsid w:val="E7FE04A4"/>
    <w:rsid w:val="ECC774FC"/>
    <w:rsid w:val="EDDCE79A"/>
    <w:rsid w:val="EFFB3E90"/>
    <w:rsid w:val="EFFB858C"/>
    <w:rsid w:val="F69438AB"/>
    <w:rsid w:val="F7F75C21"/>
    <w:rsid w:val="FBDE0186"/>
    <w:rsid w:val="FDFB05A7"/>
    <w:rsid w:val="FDFFD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60" w:lineRule="exact"/>
      <w:jc w:val="both"/>
      <w:textAlignment w:val="baseline"/>
    </w:pPr>
    <w:rPr>
      <w:rFonts w:ascii="Times New Roman" w:hAnsi="Times New Roman" w:eastAsia="仿宋_GB2312" w:cs="Times New Roman"/>
      <w:kern w:val="2"/>
      <w:sz w:val="32"/>
      <w:lang w:val="en-US" w:eastAsia="zh-CN" w:bidi="ar-SA"/>
    </w:rPr>
  </w:style>
  <w:style w:type="paragraph" w:styleId="2">
    <w:name w:val="heading 1"/>
    <w:basedOn w:val="1"/>
    <w:next w:val="1"/>
    <w:qFormat/>
    <w:uiPriority w:val="0"/>
    <w:pPr>
      <w:outlineLvl w:val="0"/>
    </w:pPr>
    <w:rPr>
      <w:rFonts w:hint="eastAsia" w:ascii="宋体" w:hAnsi="宋体" w:eastAsia="黑体"/>
      <w:b/>
      <w:bCs/>
      <w:kern w:val="44"/>
      <w:szCs w:val="48"/>
    </w:rPr>
  </w:style>
  <w:style w:type="paragraph" w:styleId="3">
    <w:name w:val="heading 2"/>
    <w:basedOn w:val="1"/>
    <w:next w:val="1"/>
    <w:semiHidden/>
    <w:unhideWhenUsed/>
    <w:qFormat/>
    <w:uiPriority w:val="0"/>
    <w:pPr>
      <w:keepNext/>
      <w:keepLines/>
      <w:outlineLvl w:val="1"/>
    </w:pPr>
    <w:rPr>
      <w:rFonts w:ascii="Arial" w:hAnsi="Arial" w:eastAsia="楷体_GB2312"/>
      <w:b/>
    </w:rPr>
  </w:style>
  <w:style w:type="paragraph" w:styleId="4">
    <w:name w:val="heading 3"/>
    <w:basedOn w:val="1"/>
    <w:next w:val="1"/>
    <w:semiHidden/>
    <w:unhideWhenUsed/>
    <w:qFormat/>
    <w:uiPriority w:val="0"/>
    <w:pPr>
      <w:keepNext/>
      <w:keepLines/>
      <w:outlineLvl w:val="2"/>
    </w:pPr>
    <w:rPr>
      <w:rFonts w:asciiTheme="minorHAnsi" w:hAnsiTheme="minorHAnsi"/>
      <w:b/>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1"/>
    <w:qFormat/>
    <w:uiPriority w:val="0"/>
    <w:pPr>
      <w:ind w:left="420" w:leftChars="200"/>
    </w:pPr>
  </w:style>
  <w:style w:type="paragraph" w:styleId="7">
    <w:name w:val="footer"/>
    <w:basedOn w:val="1"/>
    <w:qFormat/>
    <w:uiPriority w:val="0"/>
    <w:pPr>
      <w:tabs>
        <w:tab w:val="center" w:pos="4153"/>
        <w:tab w:val="right" w:pos="8306"/>
      </w:tabs>
      <w:snapToGrid w:val="0"/>
      <w:spacing w:line="240" w:lineRule="atLeast"/>
      <w:jc w:val="left"/>
    </w:pPr>
    <w:rPr>
      <w:sz w:val="18"/>
      <w:szCs w:val="18"/>
    </w:rPr>
  </w:style>
  <w:style w:type="paragraph" w:styleId="8">
    <w:name w:val="header"/>
    <w:basedOn w:val="1"/>
    <w:qFormat/>
    <w:uiPriority w:val="0"/>
    <w:pPr>
      <w:tabs>
        <w:tab w:val="center" w:pos="4153"/>
        <w:tab w:val="right" w:pos="8306"/>
      </w:tabs>
      <w:snapToGrid w:val="0"/>
      <w:spacing w:line="240" w:lineRule="atLeast"/>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paragraph" w:customStyle="1" w:styleId="12">
    <w:name w:val="大标题"/>
    <w:qFormat/>
    <w:uiPriority w:val="8"/>
    <w:pPr>
      <w:spacing w:line="560" w:lineRule="exact"/>
      <w:ind w:firstLine="420"/>
      <w:jc w:val="center"/>
    </w:pPr>
    <w:rPr>
      <w:rFonts w:ascii="Times New Roman" w:hAnsi="Times New Roman" w:eastAsia="方正小标宋简体" w:cs="Times New Roman"/>
      <w:kern w:val="2"/>
      <w:sz w:val="4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1397</Words>
  <Characters>1596</Characters>
  <Lines>13</Lines>
  <Paragraphs>3</Paragraphs>
  <TotalTime>10</TotalTime>
  <ScaleCrop>false</ScaleCrop>
  <LinksUpToDate>false</LinksUpToDate>
  <CharactersWithSpaces>1596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2026-01-05T23:50:00Z</dcterms:created>
  <dc:creator>真心为你</dc:creator>
  <cp:lastModifiedBy>张九峰</cp:lastModifiedBy>
  <cp:lastPrinted>2026-10-12T01:30:01Z</cp:lastPrinted>
  <dcterms:modified xsi:type="dcterms:W3CDTF">2026-10-12T01:30:10Z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5A802CD30B244DDD965F5695F810340D_13</vt:lpwstr>
  </property>
  <property fmtid="{D5CDD505-2E9C-101B-9397-08002B2CF9AE}" pid="4" name="KSOTemplateDocerSaveRecord">
    <vt:lpwstr>eyJoZGlkIjoiMmMwYmNjZmFlYmZkNDhhN2I5MzI1MmE3Nzk4ZGZiMDMiLCJ1c2VySWQiOiIzNTgxMjQ0NTQifQ==</vt:lpwstr>
  </property>
</Properties>
</file>