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252B67">
      <w:pPr>
        <w:keepNext w:val="0"/>
        <w:keepLines w:val="0"/>
        <w:pageBreakBefore w:val="0"/>
        <w:widowControl/>
        <w:kinsoku/>
        <w:wordWrap/>
        <w:overflowPunct/>
        <w:topLinePunct w:val="0"/>
        <w:autoSpaceDE/>
        <w:autoSpaceDN/>
        <w:bidi w:val="0"/>
        <w:adjustRightInd/>
        <w:snapToGrid/>
        <w:ind w:left="0" w:leftChars="0" w:firstLine="0" w:firstLineChars="0"/>
        <w:jc w:val="left"/>
        <w:textAlignment w:val="auto"/>
        <w:rPr>
          <w:rFonts w:hint="default" w:ascii="黑体" w:hAnsi="黑体" w:eastAsia="黑体" w:cs="方正小标宋简体"/>
          <w:kern w:val="0"/>
          <w:lang w:val="en-US" w:eastAsia="zh-CN" w:bidi="ar"/>
        </w:rPr>
      </w:pPr>
      <w:r>
        <w:rPr>
          <w:rFonts w:hint="eastAsia" w:ascii="黑体" w:hAnsi="黑体" w:eastAsia="黑体" w:cs="方正小标宋简体"/>
          <w:kern w:val="0"/>
          <w:lang w:bidi="ar"/>
        </w:rPr>
        <w:t>附件</w:t>
      </w:r>
    </w:p>
    <w:p w14:paraId="00EA7D5C">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kern w:val="0"/>
          <w:sz w:val="44"/>
          <w:szCs w:val="44"/>
          <w:lang w:eastAsia="zh-CN" w:bidi="ar"/>
        </w:rPr>
      </w:pPr>
      <w:r>
        <w:rPr>
          <w:rFonts w:hint="eastAsia" w:ascii="方正小标宋简体" w:hAnsi="方正小标宋简体" w:eastAsia="方正小标宋简体" w:cs="方正小标宋简体"/>
          <w:kern w:val="0"/>
          <w:sz w:val="44"/>
          <w:szCs w:val="44"/>
          <w:lang w:bidi="ar"/>
        </w:rPr>
        <w:t>2026年</w:t>
      </w:r>
      <w:r>
        <w:rPr>
          <w:rFonts w:hint="eastAsia" w:ascii="方正小标宋简体" w:hAnsi="方正小标宋简体" w:eastAsia="方正小标宋简体" w:cs="方正小标宋简体"/>
          <w:kern w:val="0"/>
          <w:sz w:val="44"/>
          <w:szCs w:val="44"/>
          <w:lang w:eastAsia="zh-CN" w:bidi="ar"/>
        </w:rPr>
        <w:t>“</w:t>
      </w:r>
      <w:r>
        <w:rPr>
          <w:rFonts w:hint="eastAsia" w:ascii="方正小标宋简体" w:hAnsi="方正小标宋简体" w:eastAsia="方正小标宋简体" w:cs="方正小标宋简体"/>
          <w:kern w:val="0"/>
          <w:sz w:val="44"/>
          <w:szCs w:val="44"/>
          <w:lang w:val="en-US" w:eastAsia="zh-CN" w:bidi="ar"/>
        </w:rPr>
        <w:t>智能终端创新</w:t>
      </w:r>
      <w:r>
        <w:rPr>
          <w:rFonts w:hint="eastAsia" w:ascii="方正小标宋简体" w:hAnsi="方正小标宋简体" w:eastAsia="方正小标宋简体" w:cs="方正小标宋简体"/>
          <w:kern w:val="0"/>
          <w:sz w:val="44"/>
          <w:szCs w:val="44"/>
          <w:lang w:bidi="ar"/>
        </w:rPr>
        <w:t>技术加速转化</w:t>
      </w:r>
      <w:r>
        <w:rPr>
          <w:rFonts w:hint="eastAsia" w:ascii="方正小标宋简体" w:hAnsi="方正小标宋简体" w:eastAsia="方正小标宋简体" w:cs="方正小标宋简体"/>
          <w:kern w:val="0"/>
          <w:sz w:val="44"/>
          <w:szCs w:val="44"/>
          <w:lang w:eastAsia="zh-CN" w:bidi="ar"/>
        </w:rPr>
        <w:t>”</w:t>
      </w:r>
    </w:p>
    <w:p w14:paraId="0F877265">
      <w:pPr>
        <w:keepNext w:val="0"/>
        <w:keepLines w:val="0"/>
        <w:pageBreakBefore w:val="0"/>
        <w:widowControl/>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专项奖励办事指南</w:t>
      </w:r>
    </w:p>
    <w:p w14:paraId="72675F0E">
      <w:pPr>
        <w:keepNext w:val="0"/>
        <w:keepLines w:val="0"/>
        <w:pageBreakBefore w:val="0"/>
        <w:widowControl/>
        <w:kinsoku/>
        <w:wordWrap/>
        <w:overflowPunct/>
        <w:topLinePunct w:val="0"/>
        <w:autoSpaceDE/>
        <w:autoSpaceDN/>
        <w:bidi w:val="0"/>
        <w:adjustRightInd/>
        <w:snapToGrid/>
        <w:ind w:left="0" w:leftChars="0" w:firstLine="0" w:firstLineChars="0"/>
        <w:jc w:val="left"/>
        <w:textAlignment w:val="auto"/>
        <w:rPr>
          <w:rFonts w:hint="eastAsia" w:ascii="仿宋_GB2312" w:hAnsi="仿宋_GB2312" w:cs="仿宋_GB2312"/>
          <w:kern w:val="0"/>
          <w:lang w:bidi="ar"/>
        </w:rPr>
      </w:pPr>
    </w:p>
    <w:p w14:paraId="5C3DA26E">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rPr>
      </w:pPr>
      <w:r>
        <w:rPr>
          <w:rFonts w:hint="eastAsia" w:ascii="黑体" w:hAnsi="黑体" w:eastAsia="黑体" w:cs="黑体"/>
        </w:rPr>
        <w:t>一、政策依据</w:t>
      </w:r>
    </w:p>
    <w:p w14:paraId="3B4AD246">
      <w:pPr>
        <w:keepNext w:val="0"/>
        <w:keepLines w:val="0"/>
        <w:pageBreakBefore w:val="0"/>
        <w:widowControl/>
        <w:kinsoku/>
        <w:wordWrap/>
        <w:overflowPunct/>
        <w:topLinePunct w:val="0"/>
        <w:autoSpaceDE/>
        <w:autoSpaceDN/>
        <w:bidi w:val="0"/>
        <w:adjustRightInd/>
        <w:snapToGrid/>
        <w:ind w:left="0" w:leftChars="0" w:firstLine="640"/>
        <w:textAlignment w:val="auto"/>
        <w:rPr>
          <w:rFonts w:hint="eastAsia" w:ascii="仿宋_GB2312" w:hAnsi="仿宋_GB2312" w:cs="仿宋_GB2312"/>
          <w:kern w:val="0"/>
          <w:lang w:bidi="ar"/>
        </w:rPr>
      </w:pPr>
      <w:r>
        <w:rPr>
          <w:rFonts w:hint="eastAsia" w:ascii="仿宋_GB2312" w:hAnsi="仿宋_GB2312" w:cs="仿宋_GB2312"/>
          <w:kern w:val="0"/>
          <w:lang w:bidi="ar"/>
        </w:rPr>
        <w:t>根据《北京经济技术开发区关于推动XR智能终端产业高质量发展的若干措施》（京技管发〔202</w:t>
      </w:r>
      <w:r>
        <w:rPr>
          <w:rFonts w:hint="eastAsia" w:ascii="仿宋_GB2312" w:hAnsi="仿宋_GB2312" w:cs="仿宋_GB2312"/>
          <w:kern w:val="0"/>
          <w:lang w:val="en-US" w:eastAsia="zh-CN" w:bidi="ar"/>
        </w:rPr>
        <w:t>5</w:t>
      </w:r>
      <w:r>
        <w:rPr>
          <w:rFonts w:hint="eastAsia" w:ascii="仿宋_GB2312" w:hAnsi="仿宋_GB2312" w:cs="仿宋_GB2312"/>
          <w:kern w:val="0"/>
          <w:lang w:bidi="ar"/>
        </w:rPr>
        <w:t>〕</w:t>
      </w:r>
      <w:r>
        <w:rPr>
          <w:rFonts w:hint="eastAsia" w:ascii="仿宋_GB2312" w:hAnsi="仿宋_GB2312" w:cs="仿宋_GB2312"/>
          <w:kern w:val="0"/>
          <w:lang w:val="en-US" w:eastAsia="zh-CN" w:bidi="ar"/>
        </w:rPr>
        <w:t>27</w:t>
      </w:r>
      <w:r>
        <w:rPr>
          <w:rFonts w:hint="eastAsia" w:ascii="仿宋_GB2312" w:hAnsi="仿宋_GB2312" w:cs="仿宋_GB2312"/>
          <w:kern w:val="0"/>
          <w:lang w:bidi="ar"/>
        </w:rPr>
        <w:t>号），突破关键核心技术</w:t>
      </w:r>
      <w:r>
        <w:rPr>
          <w:rFonts w:hint="eastAsia" w:ascii="仿宋_GB2312" w:hAnsi="仿宋_GB2312" w:cs="仿宋_GB2312"/>
          <w:kern w:val="0"/>
          <w:lang w:eastAsia="zh-CN" w:bidi="ar"/>
        </w:rPr>
        <w:t>，</w:t>
      </w:r>
      <w:r>
        <w:rPr>
          <w:rFonts w:hint="eastAsia" w:ascii="仿宋_GB2312" w:hAnsi="仿宋_GB2312" w:cs="仿宋_GB2312"/>
          <w:kern w:val="0"/>
          <w:lang w:bidi="ar"/>
        </w:rPr>
        <w:t>支持颠覆性技术加速转化，挖掘遴选一批具有前瞻性、引领性的早期创新项目，给予最高200万元一次性支持。</w:t>
      </w:r>
    </w:p>
    <w:p w14:paraId="68C08395">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rPr>
      </w:pPr>
      <w:r>
        <w:rPr>
          <w:rFonts w:hint="eastAsia" w:ascii="黑体" w:hAnsi="黑体" w:eastAsia="黑体" w:cs="黑体"/>
        </w:rPr>
        <w:t>二、申报事项</w:t>
      </w:r>
    </w:p>
    <w:p w14:paraId="54380832">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lang w:bidi="ar"/>
        </w:rPr>
      </w:pPr>
      <w:r>
        <w:rPr>
          <w:rFonts w:hint="eastAsia" w:ascii="仿宋_GB2312" w:hAnsi="仿宋_GB2312" w:cs="仿宋_GB2312"/>
          <w:kern w:val="0"/>
          <w:lang w:bidi="ar"/>
        </w:rPr>
        <w:t>2026年</w:t>
      </w:r>
      <w:r>
        <w:rPr>
          <w:rFonts w:hint="eastAsia" w:ascii="仿宋_GB2312" w:hAnsi="仿宋_GB2312" w:cs="仿宋_GB2312"/>
          <w:kern w:val="0"/>
          <w:lang w:eastAsia="zh-CN" w:bidi="ar"/>
        </w:rPr>
        <w:t>“</w:t>
      </w:r>
      <w:r>
        <w:rPr>
          <w:rFonts w:hint="eastAsia" w:ascii="仿宋_GB2312" w:hAnsi="仿宋_GB2312" w:cs="仿宋_GB2312"/>
          <w:kern w:val="0"/>
          <w:lang w:val="en-US" w:eastAsia="zh-CN" w:bidi="ar"/>
        </w:rPr>
        <w:t>智能终端创新</w:t>
      </w:r>
      <w:r>
        <w:rPr>
          <w:rFonts w:hint="eastAsia" w:ascii="仿宋_GB2312" w:hAnsi="仿宋_GB2312" w:cs="仿宋_GB2312"/>
          <w:kern w:val="0"/>
          <w:lang w:bidi="ar"/>
        </w:rPr>
        <w:t>技术加速转化</w:t>
      </w:r>
      <w:r>
        <w:rPr>
          <w:rFonts w:hint="eastAsia" w:ascii="仿宋_GB2312" w:hAnsi="仿宋_GB2312" w:cs="仿宋_GB2312"/>
          <w:kern w:val="0"/>
          <w:lang w:eastAsia="zh-CN" w:bidi="ar"/>
        </w:rPr>
        <w:t>”</w:t>
      </w:r>
      <w:r>
        <w:rPr>
          <w:rFonts w:hint="eastAsia" w:ascii="仿宋_GB2312" w:hAnsi="仿宋_GB2312" w:cs="仿宋_GB2312"/>
          <w:kern w:val="0"/>
          <w:lang w:bidi="ar"/>
        </w:rPr>
        <w:t>专项奖励</w:t>
      </w:r>
    </w:p>
    <w:p w14:paraId="01855C3F">
      <w:pPr>
        <w:keepNext w:val="0"/>
        <w:keepLines w:val="0"/>
        <w:pageBreakBefore w:val="0"/>
        <w:widowControl/>
        <w:kinsoku/>
        <w:wordWrap/>
        <w:overflowPunct/>
        <w:topLinePunct w:val="0"/>
        <w:autoSpaceDE/>
        <w:autoSpaceDN/>
        <w:bidi w:val="0"/>
        <w:adjustRightInd/>
        <w:snapToGrid/>
        <w:ind w:left="0" w:leftChars="0" w:firstLine="640"/>
        <w:jc w:val="left"/>
        <w:textAlignment w:val="auto"/>
        <w:outlineLvl w:val="0"/>
        <w:rPr>
          <w:rFonts w:hint="eastAsia" w:ascii="黑体" w:hAnsi="黑体" w:eastAsia="黑体" w:cs="黑体"/>
          <w:kern w:val="0"/>
          <w:highlight w:val="none"/>
          <w:lang w:bidi="ar"/>
        </w:rPr>
      </w:pPr>
      <w:r>
        <w:rPr>
          <w:rFonts w:hint="eastAsia" w:ascii="黑体" w:hAnsi="黑体" w:eastAsia="黑体" w:cs="黑体"/>
          <w:kern w:val="0"/>
          <w:highlight w:val="none"/>
          <w:lang w:bidi="ar"/>
        </w:rPr>
        <w:t>三、申报条件</w:t>
      </w:r>
    </w:p>
    <w:p w14:paraId="4D3EEBBA">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bidi="ar"/>
        </w:rPr>
      </w:pPr>
      <w:r>
        <w:rPr>
          <w:rFonts w:hint="eastAsia" w:ascii="仿宋_GB2312" w:hAnsi="仿宋_GB2312" w:eastAsia="仿宋_GB2312" w:cs="仿宋_GB2312"/>
          <w:kern w:val="0"/>
          <w:sz w:val="32"/>
          <w:szCs w:val="32"/>
          <w:highlight w:val="none"/>
          <w:lang w:bidi="ar"/>
        </w:rPr>
        <w:t>（一）申报主体为在亦庄新城225平方公里范围内实际经营，近3年无重大行政处罚记录和刑事犯罪记录，未列入严重违法失信主体名单的企事业单位及社会组织。</w:t>
      </w:r>
    </w:p>
    <w:p w14:paraId="126AAD8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（二）项目负责人应在本领域内具有较高的学术或者技术水平；项目团队具有足够的技术研发能力。项目负责人和团队成员应具有良好的科研诚信，无不良学术和不良科研记录。</w:t>
      </w:r>
    </w:p>
    <w:p w14:paraId="1D62C7E6">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bidi="ar"/>
        </w:rPr>
      </w:pPr>
      <w:r>
        <w:rPr>
          <w:rFonts w:hint="eastAsia" w:ascii="仿宋_GB2312" w:hAnsi="仿宋_GB2312" w:eastAsia="仿宋_GB2312" w:cs="仿宋_GB2312"/>
          <w:kern w:val="0"/>
          <w:sz w:val="32"/>
          <w:szCs w:val="32"/>
          <w:highlight w:val="none"/>
          <w:lang w:val="en-US" w:eastAsia="zh-CN" w:bidi="ar"/>
        </w:rPr>
        <w:t>（三）</w:t>
      </w:r>
      <w:r>
        <w:rPr>
          <w:rFonts w:hint="eastAsia" w:ascii="仿宋_GB2312" w:hAnsi="仿宋_GB2312" w:cs="仿宋_GB2312"/>
          <w:kern w:val="0"/>
          <w:sz w:val="32"/>
          <w:szCs w:val="32"/>
          <w:highlight w:val="none"/>
          <w:lang w:val="en-US" w:eastAsia="zh-CN" w:bidi="ar"/>
        </w:rPr>
        <w:t>所</w:t>
      </w:r>
      <w:r>
        <w:rPr>
          <w:rFonts w:hint="eastAsia" w:ascii="仿宋_GB2312" w:hAnsi="仿宋_GB2312" w:eastAsia="仿宋_GB2312" w:cs="仿宋_GB2312"/>
          <w:kern w:val="0"/>
          <w:sz w:val="32"/>
          <w:szCs w:val="32"/>
          <w:highlight w:val="none"/>
          <w:lang w:val="en-US" w:eastAsia="zh-CN" w:bidi="ar"/>
        </w:rPr>
        <w:t>申报项目符合国家战略需求与经开区产业发展方向，且为具有前瞻性、引领性的早期创新项目，具有良好的创新技术加速转化能力和商业化潜力；项目成果、技术秘密、知识产权等权属清晰无纠纷。申报项目已经具备一定的工作基础，且可通过量化成果进行考核。</w:t>
      </w:r>
    </w:p>
    <w:p w14:paraId="3C7C0D4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kern w:val="0"/>
          <w:sz w:val="32"/>
          <w:szCs w:val="32"/>
          <w:highlight w:val="none"/>
          <w:lang w:val="en-US" w:eastAsia="zh-CN" w:bidi="ar"/>
        </w:rPr>
      </w:pPr>
      <w:r>
        <w:rPr>
          <w:rFonts w:hint="eastAsia" w:ascii="仿宋_GB2312" w:hAnsi="仿宋_GB2312" w:cs="仿宋_GB2312"/>
          <w:kern w:val="0"/>
          <w:sz w:val="32"/>
          <w:szCs w:val="32"/>
          <w:highlight w:val="none"/>
          <w:lang w:val="en-US" w:eastAsia="zh-CN" w:bidi="ar"/>
        </w:rPr>
        <w:t>（四）本次申报项目启动时间原则上应不早于2025年1月1日且不晚于申报截止日期，</w:t>
      </w:r>
      <w:r>
        <w:rPr>
          <w:rFonts w:hint="eastAsia" w:ascii="仿宋_GB2312" w:hAnsi="仿宋_GB2312" w:eastAsia="仿宋_GB2312" w:cs="仿宋_GB2312"/>
          <w:kern w:val="0"/>
          <w:sz w:val="32"/>
          <w:szCs w:val="32"/>
          <w:highlight w:val="none"/>
          <w:lang w:val="en-US" w:eastAsia="zh-CN" w:bidi="ar"/>
        </w:rPr>
        <w:t>项目周期最高不超过2年。</w:t>
      </w:r>
    </w:p>
    <w:p w14:paraId="2934C38F">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ascii="仿宋_GB2312" w:hAnsi="仿宋_GB2312" w:eastAsia="仿宋_GB2312" w:cs="仿宋_GB2312"/>
          <w:kern w:val="0"/>
          <w:sz w:val="32"/>
          <w:szCs w:val="32"/>
          <w:highlight w:val="yellow"/>
          <w:shd w:val="clear" w:color="auto" w:fill="FFFFFF"/>
          <w:lang w:val="en-US" w:eastAsia="zh-CN" w:bidi="ar-SA"/>
        </w:rPr>
      </w:pPr>
      <w:r>
        <w:rPr>
          <w:rFonts w:hint="eastAsia" w:ascii="仿宋_GB2312" w:hAnsi="仿宋_GB2312" w:eastAsia="仿宋_GB2312" w:cs="仿宋_GB2312"/>
          <w:kern w:val="0"/>
          <w:sz w:val="32"/>
          <w:szCs w:val="32"/>
          <w:highlight w:val="none"/>
          <w:lang w:val="en-US" w:eastAsia="zh-CN" w:bidi="ar"/>
        </w:rPr>
        <w:t>（</w:t>
      </w:r>
      <w:r>
        <w:rPr>
          <w:rFonts w:hint="eastAsia" w:ascii="仿宋_GB2312" w:hAnsi="仿宋_GB2312" w:cs="仿宋_GB2312"/>
          <w:kern w:val="0"/>
          <w:sz w:val="32"/>
          <w:szCs w:val="32"/>
          <w:highlight w:val="none"/>
          <w:lang w:val="en-US" w:eastAsia="zh-CN" w:bidi="ar"/>
        </w:rPr>
        <w:t>五</w:t>
      </w:r>
      <w:r>
        <w:rPr>
          <w:rFonts w:hint="eastAsia" w:ascii="仿宋_GB2312" w:hAnsi="仿宋_GB2312" w:eastAsia="仿宋_GB2312" w:cs="仿宋_GB2312"/>
          <w:kern w:val="0"/>
          <w:sz w:val="32"/>
          <w:szCs w:val="32"/>
          <w:highlight w:val="none"/>
          <w:lang w:val="en-US" w:eastAsia="zh-CN" w:bidi="ar"/>
        </w:rPr>
        <w:t>）</w:t>
      </w:r>
      <w:r>
        <w:rPr>
          <w:rFonts w:hint="eastAsia" w:ascii="仿宋_GB2312" w:hAnsi="仿宋_GB2312" w:eastAsia="仿宋_GB2312" w:cs="仿宋_GB2312"/>
          <w:kern w:val="0"/>
          <w:sz w:val="32"/>
          <w:szCs w:val="32"/>
          <w:highlight w:val="none"/>
          <w:lang w:bidi="ar"/>
        </w:rPr>
        <w:t>本次申报方向</w:t>
      </w:r>
      <w:r>
        <w:rPr>
          <w:rFonts w:hint="eastAsia" w:ascii="仿宋_GB2312" w:hAnsi="仿宋_GB2312" w:eastAsia="仿宋_GB2312" w:cs="仿宋_GB2312"/>
          <w:sz w:val="32"/>
          <w:szCs w:val="32"/>
          <w:highlight w:val="none"/>
          <w:lang w:val="en-US" w:eastAsia="zh-CN"/>
        </w:rPr>
        <w:t>包括但不限于</w:t>
      </w:r>
      <w:r>
        <w:rPr>
          <w:rFonts w:hint="eastAsia" w:ascii="仿宋_GB2312" w:hAnsi="仿宋_GB2312" w:eastAsia="仿宋_GB2312" w:cs="仿宋_GB2312"/>
          <w:kern w:val="0"/>
          <w:sz w:val="32"/>
          <w:szCs w:val="32"/>
          <w:highlight w:val="none"/>
          <w:lang w:eastAsia="zh-CN" w:bidi="ar"/>
        </w:rPr>
        <w:t>：</w:t>
      </w:r>
      <w:r>
        <w:rPr>
          <w:rFonts w:hint="eastAsia" w:ascii="仿宋_GB2312" w:hAnsi="仿宋_GB2312" w:eastAsia="仿宋_GB2312" w:cs="仿宋_GB2312"/>
          <w:kern w:val="0"/>
          <w:sz w:val="32"/>
          <w:szCs w:val="32"/>
          <w:highlight w:val="none"/>
          <w:lang w:bidi="ar"/>
        </w:rPr>
        <w:t>微显示器件（Micro OLED、Micro LED等）、光学器件（碳化硅衬底、光波导、包含电致变色与近视镜片智能光学技术等）、空间计算（空间音视频，</w:t>
      </w:r>
      <w:r>
        <w:rPr>
          <w:rFonts w:hint="eastAsia" w:ascii="仿宋_GB2312" w:hAnsi="仿宋_GB2312" w:eastAsia="仿宋_GB2312" w:cs="仿宋_GB2312"/>
          <w:kern w:val="0"/>
          <w:sz w:val="32"/>
          <w:szCs w:val="32"/>
          <w:highlight w:val="none"/>
          <w:lang w:eastAsia="zh-CN" w:bidi="ar"/>
        </w:rPr>
        <w:t>三维重建</w:t>
      </w:r>
      <w:r>
        <w:rPr>
          <w:rFonts w:hint="eastAsia" w:ascii="仿宋_GB2312" w:hAnsi="仿宋_GB2312" w:eastAsia="仿宋_GB2312" w:cs="仿宋_GB2312"/>
          <w:kern w:val="0"/>
          <w:sz w:val="32"/>
          <w:szCs w:val="32"/>
          <w:highlight w:val="none"/>
          <w:lang w:bidi="ar"/>
        </w:rPr>
        <w:t>与渲染，空间感知与定位，空间智能）、自然交互（眼动，手势，语音，肌电，触觉反馈等多模态人机交互）</w:t>
      </w:r>
      <w:r>
        <w:rPr>
          <w:rFonts w:hint="eastAsia" w:ascii="仿宋_GB2312" w:hAnsi="仿宋_GB2312" w:cs="仿宋_GB2312"/>
          <w:kern w:val="0"/>
          <w:sz w:val="32"/>
          <w:szCs w:val="32"/>
          <w:highlight w:val="none"/>
          <w:lang w:val="en-US" w:eastAsia="zh-CN" w:bidi="ar"/>
        </w:rPr>
        <w:t>等</w:t>
      </w:r>
      <w:r>
        <w:rPr>
          <w:rFonts w:hint="eastAsia" w:ascii="仿宋_GB2312" w:hAnsi="仿宋_GB2312" w:eastAsia="仿宋_GB2312" w:cs="仿宋_GB2312"/>
          <w:kern w:val="0"/>
          <w:sz w:val="32"/>
          <w:szCs w:val="32"/>
          <w:highlight w:val="none"/>
          <w:lang w:bidi="ar"/>
        </w:rPr>
        <w:t>。</w:t>
      </w:r>
    </w:p>
    <w:p w14:paraId="2D0560E4">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highlight w:val="none"/>
        </w:rPr>
      </w:pPr>
      <w:r>
        <w:rPr>
          <w:rFonts w:hint="eastAsia" w:ascii="黑体" w:hAnsi="黑体" w:eastAsia="黑体" w:cs="黑体"/>
          <w:highlight w:val="none"/>
        </w:rPr>
        <w:t>四、支持内容和标准</w:t>
      </w:r>
    </w:p>
    <w:p w14:paraId="45795374">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default" w:ascii="仿宋_GB2312" w:hAnsi="仿宋_GB2312" w:cs="仿宋_GB2312"/>
          <w:highlight w:val="none"/>
        </w:rPr>
      </w:pPr>
      <w:r>
        <w:rPr>
          <w:rFonts w:hint="eastAsia" w:ascii="仿宋_GB2312" w:hAnsi="仿宋_GB2312" w:cs="仿宋_GB2312"/>
          <w:highlight w:val="none"/>
          <w:lang w:eastAsia="zh-CN"/>
        </w:rPr>
        <w:t>（一）</w:t>
      </w:r>
      <w:r>
        <w:rPr>
          <w:rFonts w:hint="default" w:ascii="仿宋_GB2312" w:hAnsi="仿宋_GB2312" w:cs="仿宋_GB2312"/>
          <w:highlight w:val="none"/>
        </w:rPr>
        <w:t>信息技术产业局根据申报</w:t>
      </w:r>
      <w:r>
        <w:rPr>
          <w:rFonts w:hint="eastAsia" w:ascii="仿宋_GB2312" w:hAnsi="仿宋_GB2312" w:cs="仿宋_GB2312"/>
          <w:highlight w:val="none"/>
          <w:lang w:eastAsia="zh-CN"/>
        </w:rPr>
        <w:t>主体</w:t>
      </w:r>
      <w:r>
        <w:rPr>
          <w:rFonts w:hint="default" w:ascii="仿宋_GB2312" w:hAnsi="仿宋_GB2312" w:cs="仿宋_GB2312"/>
          <w:highlight w:val="none"/>
        </w:rPr>
        <w:t>智能终端创新技术加速转化能力和发展潜力</w:t>
      </w:r>
      <w:r>
        <w:rPr>
          <w:rFonts w:hint="eastAsia" w:ascii="仿宋_GB2312" w:hAnsi="仿宋_GB2312" w:cs="仿宋_GB2312"/>
          <w:highlight w:val="none"/>
          <w:lang w:val="en-US" w:eastAsia="zh-CN"/>
        </w:rPr>
        <w:t>情况</w:t>
      </w:r>
      <w:r>
        <w:rPr>
          <w:rFonts w:hint="default" w:ascii="仿宋_GB2312" w:hAnsi="仿宋_GB2312" w:cs="仿宋_GB2312"/>
          <w:highlight w:val="none"/>
        </w:rPr>
        <w:t>，对</w:t>
      </w:r>
      <w:r>
        <w:rPr>
          <w:rFonts w:hint="eastAsia" w:ascii="仿宋_GB2312" w:hAnsi="仿宋_GB2312" w:cs="仿宋_GB2312"/>
          <w:highlight w:val="none"/>
          <w:lang w:val="en-US" w:eastAsia="zh-CN"/>
        </w:rPr>
        <w:t>省部级创新创业</w:t>
      </w:r>
      <w:r>
        <w:rPr>
          <w:rFonts w:hint="default" w:ascii="仿宋_GB2312" w:hAnsi="仿宋_GB2312" w:cs="仿宋_GB2312"/>
          <w:highlight w:val="none"/>
        </w:rPr>
        <w:t>赛事获奖申报项目（包括但不限于HICOOL大赛第一、二、三等奖获奖项目、中国创新创业大赛、全国颠覆性技术创新大赛第一等次奖项获奖项目）与科技投资机构、创业孵化平台（包括但不限于科创学院、奇绩创谈、京东Aidol创造营）推荐申报项目</w:t>
      </w:r>
      <w:r>
        <w:rPr>
          <w:rFonts w:hint="eastAsia" w:ascii="仿宋_GB2312" w:hAnsi="仿宋_GB2312" w:cs="仿宋_GB2312"/>
          <w:highlight w:val="none"/>
          <w:lang w:val="en-US" w:eastAsia="zh-CN"/>
        </w:rPr>
        <w:t>择优</w:t>
      </w:r>
      <w:r>
        <w:rPr>
          <w:rFonts w:hint="default" w:ascii="仿宋_GB2312" w:hAnsi="仿宋_GB2312" w:cs="仿宋_GB2312"/>
          <w:highlight w:val="none"/>
        </w:rPr>
        <w:t>予以支持。经评审，对综合评分在80分及以上的项目按照三个档位给予支持，其中综合评分在80分至84分的项目给予不超过50万元资金支持；综合评分在85分至89分的项目给予不超过100万元资金支持；综合评分在90分及以上的项目给予不超过200万元资金支持，</w:t>
      </w:r>
      <w:r>
        <w:rPr>
          <w:rFonts w:hint="eastAsia" w:ascii="仿宋_GB2312" w:hAnsi="仿宋_GB2312" w:eastAsia="仿宋_GB2312" w:cs="仿宋_GB2312"/>
          <w:sz w:val="32"/>
          <w:szCs w:val="32"/>
          <w:highlight w:val="none"/>
          <w:lang w:val="en-US" w:eastAsia="zh-CN"/>
        </w:rPr>
        <w:t>且支持资金不超过企业自筹资金</w:t>
      </w:r>
      <w:r>
        <w:rPr>
          <w:rFonts w:hint="default" w:ascii="仿宋_GB2312" w:hAnsi="仿宋_GB2312" w:cs="仿宋_GB2312"/>
          <w:highlight w:val="none"/>
        </w:rPr>
        <w:t>。</w:t>
      </w:r>
    </w:p>
    <w:p w14:paraId="2B846626">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eastAsia="仿宋_GB2312" w:cs="仿宋_GB2312"/>
          <w:lang w:eastAsia="zh-CN"/>
        </w:rPr>
      </w:pPr>
      <w:r>
        <w:rPr>
          <w:rFonts w:hint="eastAsia" w:ascii="仿宋_GB2312" w:hAnsi="仿宋_GB2312" w:cs="仿宋_GB2312"/>
          <w:highlight w:val="none"/>
          <w:lang w:eastAsia="zh-CN"/>
        </w:rPr>
        <w:t>（二）</w:t>
      </w:r>
      <w:r>
        <w:rPr>
          <w:rFonts w:hint="default" w:ascii="仿宋_GB2312" w:hAnsi="仿宋_GB2312" w:cs="仿宋_GB2312"/>
          <w:highlight w:val="none"/>
        </w:rPr>
        <w:t>奖励金额以万元为单位，保留一位小数，不足千元部分舍去。</w:t>
      </w:r>
    </w:p>
    <w:p w14:paraId="1AEBB4F5">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黑体" w:hAnsi="黑体" w:eastAsia="黑体" w:cs="仿宋_GB2312"/>
          <w:kern w:val="0"/>
          <w:lang w:bidi="ar"/>
        </w:rPr>
      </w:pPr>
      <w:r>
        <w:rPr>
          <w:rFonts w:hint="eastAsia" w:ascii="黑体" w:hAnsi="黑体" w:eastAsia="黑体" w:cs="仿宋_GB2312"/>
          <w:kern w:val="0"/>
          <w:lang w:bidi="ar"/>
        </w:rPr>
        <w:t>五、申报材料及要求</w:t>
      </w:r>
    </w:p>
    <w:p w14:paraId="6EF2992E">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lang w:bidi="ar"/>
        </w:rPr>
      </w:pPr>
      <w:r>
        <w:rPr>
          <w:rFonts w:hint="eastAsia" w:ascii="仿宋_GB2312" w:hAnsi="仿宋_GB2312" w:cs="仿宋_GB2312"/>
          <w:kern w:val="0"/>
          <w:lang w:val="en-US" w:eastAsia="zh-CN" w:bidi="ar"/>
        </w:rPr>
        <w:t>1.2026年“</w:t>
      </w:r>
      <w:r>
        <w:rPr>
          <w:rFonts w:hint="eastAsia" w:ascii="仿宋_GB2312" w:hAnsi="仿宋_GB2312" w:cs="仿宋_GB2312"/>
          <w:kern w:val="0"/>
          <w:lang w:bidi="ar"/>
        </w:rPr>
        <w:t>智能终端创新技术加速转化</w:t>
      </w:r>
      <w:r>
        <w:rPr>
          <w:rFonts w:hint="eastAsia" w:ascii="仿宋_GB2312" w:hAnsi="仿宋_GB2312" w:cs="仿宋_GB2312"/>
          <w:kern w:val="0"/>
          <w:lang w:eastAsia="zh-CN" w:bidi="ar"/>
        </w:rPr>
        <w:t>”</w:t>
      </w:r>
      <w:r>
        <w:rPr>
          <w:rFonts w:hint="eastAsia" w:ascii="仿宋_GB2312" w:hAnsi="仿宋_GB2312" w:cs="仿宋_GB2312"/>
          <w:kern w:val="0"/>
          <w:lang w:bidi="ar"/>
        </w:rPr>
        <w:t>专项奖励申报表，在线填写；</w:t>
      </w:r>
    </w:p>
    <w:p w14:paraId="6D690412">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lang w:bidi="ar"/>
        </w:rPr>
      </w:pPr>
      <w:r>
        <w:rPr>
          <w:rFonts w:hint="eastAsia" w:ascii="仿宋_GB2312" w:hAnsi="仿宋_GB2312" w:cs="仿宋_GB2312"/>
          <w:kern w:val="0"/>
          <w:lang w:val="en-US" w:eastAsia="zh-CN" w:bidi="ar"/>
        </w:rPr>
        <w:t>2.</w:t>
      </w:r>
      <w:r>
        <w:rPr>
          <w:rFonts w:hint="eastAsia" w:ascii="仿宋_GB2312" w:hAnsi="仿宋_GB2312" w:cs="仿宋_GB2312"/>
          <w:kern w:val="0"/>
          <w:lang w:bidi="ar"/>
        </w:rPr>
        <w:t>企业营业执照，选取电子证照；</w:t>
      </w:r>
    </w:p>
    <w:p w14:paraId="62C084DB">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lang w:bidi="ar"/>
        </w:rPr>
      </w:pPr>
      <w:r>
        <w:rPr>
          <w:rFonts w:hint="eastAsia" w:ascii="仿宋_GB2312" w:hAnsi="仿宋_GB2312" w:cs="仿宋_GB2312"/>
          <w:kern w:val="0"/>
          <w:lang w:val="en-US" w:eastAsia="zh-CN" w:bidi="ar"/>
        </w:rPr>
        <w:t>3.</w:t>
      </w:r>
      <w:r>
        <w:rPr>
          <w:rFonts w:hint="eastAsia" w:ascii="仿宋_GB2312" w:hAnsi="仿宋_GB2312" w:cs="仿宋_GB2312"/>
          <w:kern w:val="0"/>
          <w:lang w:bidi="ar"/>
        </w:rPr>
        <w:t>承诺书，下载模板填写，签字、加盖公章，彩色扫描上传；</w:t>
      </w:r>
    </w:p>
    <w:p w14:paraId="5AB878FB">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lang w:bidi="ar"/>
        </w:rPr>
      </w:pPr>
      <w:r>
        <w:rPr>
          <w:rFonts w:hint="eastAsia" w:ascii="仿宋_GB2312" w:hAnsi="仿宋_GB2312" w:cs="仿宋_GB2312"/>
          <w:kern w:val="0"/>
          <w:lang w:val="en-US" w:eastAsia="zh-CN" w:bidi="ar"/>
        </w:rPr>
        <w:t>4.</w:t>
      </w:r>
      <w:r>
        <w:rPr>
          <w:rFonts w:hint="eastAsia" w:ascii="仿宋_GB2312" w:hAnsi="仿宋_GB2312" w:cs="仿宋_GB2312"/>
          <w:kern w:val="0"/>
          <w:lang w:bidi="ar"/>
        </w:rPr>
        <w:t>银行账户信息，下载模板填写，加盖公章，彩色扫描上传；</w:t>
      </w:r>
    </w:p>
    <w:p w14:paraId="46A70996">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lang w:bidi="ar"/>
        </w:rPr>
      </w:pPr>
      <w:r>
        <w:rPr>
          <w:rFonts w:hint="eastAsia" w:ascii="仿宋_GB2312" w:hAnsi="仿宋_GB2312" w:cs="仿宋_GB2312"/>
          <w:kern w:val="0"/>
          <w:lang w:val="en-US" w:eastAsia="zh-CN" w:bidi="ar"/>
        </w:rPr>
        <w:t>5.2026年</w:t>
      </w:r>
      <w:r>
        <w:rPr>
          <w:rFonts w:hint="eastAsia" w:ascii="仿宋_GB2312" w:hAnsi="仿宋_GB2312" w:cs="仿宋_GB2312"/>
          <w:kern w:val="0"/>
          <w:lang w:bidi="ar"/>
        </w:rPr>
        <w:t>智能终端创新技术加速转化</w:t>
      </w:r>
      <w:r>
        <w:rPr>
          <w:rFonts w:hint="eastAsia" w:ascii="仿宋_GB2312" w:hAnsi="仿宋_GB2312" w:cs="仿宋_GB2312"/>
          <w:kern w:val="0"/>
          <w:highlight w:val="none"/>
          <w:lang w:bidi="ar"/>
        </w:rPr>
        <w:t>项目</w:t>
      </w:r>
      <w:r>
        <w:rPr>
          <w:rFonts w:hint="eastAsia" w:ascii="仿宋_GB2312" w:hAnsi="仿宋_GB2312" w:cs="仿宋_GB2312"/>
          <w:kern w:val="0"/>
          <w:lang w:bidi="ar"/>
        </w:rPr>
        <w:t>申报书，下载模板填写，加盖公章，彩色扫描上传；</w:t>
      </w:r>
    </w:p>
    <w:p w14:paraId="74F12BC3">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default" w:ascii="仿宋_GB2312" w:hAnsi="仿宋_GB2312" w:eastAsia="仿宋_GB2312" w:cs="仿宋_GB2312"/>
          <w:kern w:val="0"/>
          <w:highlight w:val="none"/>
          <w:lang w:val="en-US" w:eastAsia="zh-CN" w:bidi="ar"/>
        </w:rPr>
      </w:pPr>
      <w:r>
        <w:rPr>
          <w:rFonts w:hint="eastAsia" w:ascii="仿宋_GB2312" w:hAnsi="仿宋_GB2312" w:cs="仿宋_GB2312"/>
          <w:kern w:val="0"/>
          <w:highlight w:val="none"/>
          <w:lang w:val="en-US" w:eastAsia="zh-CN" w:bidi="ar"/>
        </w:rPr>
        <w:t>6</w:t>
      </w:r>
      <w:r>
        <w:rPr>
          <w:rFonts w:hint="eastAsia" w:ascii="仿宋_GB2312" w:hAnsi="仿宋_GB2312" w:cs="仿宋_GB2312"/>
          <w:kern w:val="0"/>
          <w:highlight w:val="none"/>
          <w:lang w:bidi="ar"/>
        </w:rPr>
        <w:t>.申报</w:t>
      </w:r>
      <w:r>
        <w:rPr>
          <w:rFonts w:hint="eastAsia" w:ascii="仿宋_GB2312" w:hAnsi="仿宋_GB2312" w:cs="仿宋_GB2312"/>
          <w:kern w:val="0"/>
          <w:highlight w:val="none"/>
          <w:lang w:eastAsia="zh-CN" w:bidi="ar"/>
        </w:rPr>
        <w:t>主体</w:t>
      </w:r>
      <w:r>
        <w:rPr>
          <w:rFonts w:hint="eastAsia" w:ascii="仿宋_GB2312" w:hAnsi="仿宋_GB2312" w:cs="仿宋_GB2312"/>
          <w:kern w:val="0"/>
          <w:highlight w:val="none"/>
          <w:lang w:bidi="ar"/>
        </w:rPr>
        <w:t>近3年</w:t>
      </w:r>
      <w:r>
        <w:rPr>
          <w:rFonts w:hint="eastAsia" w:ascii="仿宋_GB2312" w:hAnsi="仿宋_GB2312" w:cs="仿宋_GB2312"/>
          <w:kern w:val="0"/>
          <w:highlight w:val="none"/>
          <w:lang w:eastAsia="zh-CN" w:bidi="ar"/>
        </w:rPr>
        <w:t>《</w:t>
      </w:r>
      <w:r>
        <w:rPr>
          <w:rFonts w:hint="eastAsia" w:ascii="仿宋_GB2312" w:hAnsi="仿宋_GB2312" w:cs="仿宋_GB2312"/>
          <w:kern w:val="0"/>
          <w:highlight w:val="none"/>
          <w:lang w:bidi="ar"/>
        </w:rPr>
        <w:t>财务审计报告</w:t>
      </w:r>
      <w:r>
        <w:rPr>
          <w:rFonts w:hint="eastAsia" w:ascii="仿宋_GB2312" w:hAnsi="仿宋_GB2312" w:cs="仿宋_GB2312"/>
          <w:kern w:val="0"/>
          <w:highlight w:val="none"/>
          <w:lang w:eastAsia="zh-CN" w:bidi="ar"/>
        </w:rPr>
        <w:t>》</w:t>
      </w:r>
      <w:r>
        <w:rPr>
          <w:rFonts w:hint="eastAsia" w:ascii="仿宋_GB2312" w:hAnsi="仿宋_GB2312" w:cs="仿宋_GB2312"/>
          <w:kern w:val="0"/>
          <w:highlight w:val="none"/>
          <w:lang w:bidi="ar"/>
        </w:rPr>
        <w:t>（</w:t>
      </w:r>
      <w:r>
        <w:rPr>
          <w:rFonts w:hint="eastAsia" w:ascii="仿宋_GB2312" w:hAnsi="仿宋_GB2312" w:cs="仿宋_GB2312"/>
          <w:kern w:val="0"/>
          <w:highlight w:val="none"/>
          <w:lang w:eastAsia="zh-CN" w:bidi="ar"/>
        </w:rPr>
        <w:t>需</w:t>
      </w:r>
      <w:r>
        <w:rPr>
          <w:rFonts w:hint="eastAsia" w:ascii="仿宋_GB2312" w:hAnsi="仿宋_GB2312" w:cs="仿宋_GB2312"/>
          <w:kern w:val="0"/>
          <w:highlight w:val="none"/>
          <w:lang w:bidi="ar"/>
        </w:rPr>
        <w:t>包含研发情况）</w:t>
      </w:r>
      <w:r>
        <w:rPr>
          <w:rFonts w:hint="eastAsia" w:ascii="仿宋_GB2312" w:hAnsi="仿宋_GB2312" w:cs="仿宋_GB2312"/>
          <w:kern w:val="0"/>
          <w:highlight w:val="none"/>
          <w:lang w:eastAsia="zh-CN" w:bidi="ar"/>
        </w:rPr>
        <w:t>，原件彩色扫描上传（如无财务审计报告，可提供财务报表，加盖公章，彩色扫描上传）</w:t>
      </w:r>
      <w:r>
        <w:rPr>
          <w:rFonts w:hint="eastAsia" w:ascii="仿宋_GB2312" w:hAnsi="仿宋_GB2312" w:cs="仿宋_GB2312"/>
          <w:kern w:val="0"/>
          <w:highlight w:val="none"/>
          <w:lang w:bidi="ar"/>
        </w:rPr>
        <w:t>；</w:t>
      </w:r>
    </w:p>
    <w:p w14:paraId="340EE8B3">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highlight w:val="none"/>
          <w:lang w:bidi="ar"/>
        </w:rPr>
      </w:pPr>
      <w:r>
        <w:rPr>
          <w:rFonts w:hint="eastAsia" w:ascii="仿宋_GB2312" w:hAnsi="仿宋_GB2312" w:cs="仿宋_GB2312"/>
          <w:kern w:val="0"/>
          <w:highlight w:val="none"/>
          <w:lang w:val="en-US" w:eastAsia="zh-CN" w:bidi="ar"/>
        </w:rPr>
        <w:t>7</w:t>
      </w:r>
      <w:r>
        <w:rPr>
          <w:rFonts w:hint="eastAsia" w:ascii="仿宋_GB2312" w:hAnsi="仿宋_GB2312" w:cs="仿宋_GB2312"/>
          <w:kern w:val="0"/>
          <w:highlight w:val="none"/>
          <w:lang w:bidi="ar"/>
        </w:rPr>
        <w:t>.申报</w:t>
      </w:r>
      <w:r>
        <w:rPr>
          <w:rFonts w:hint="eastAsia" w:ascii="仿宋_GB2312" w:hAnsi="仿宋_GB2312" w:cs="仿宋_GB2312"/>
          <w:kern w:val="0"/>
          <w:highlight w:val="none"/>
          <w:lang w:eastAsia="zh-CN" w:bidi="ar"/>
        </w:rPr>
        <w:t>主体</w:t>
      </w:r>
      <w:r>
        <w:rPr>
          <w:rFonts w:hint="eastAsia" w:ascii="仿宋_GB2312" w:hAnsi="仿宋_GB2312" w:cs="仿宋_GB2312"/>
          <w:kern w:val="0"/>
          <w:highlight w:val="none"/>
          <w:lang w:bidi="ar"/>
        </w:rPr>
        <w:t>近3年获得的相关资质、荣誉凭证</w:t>
      </w:r>
      <w:r>
        <w:rPr>
          <w:rFonts w:hint="eastAsia" w:ascii="仿宋_GB2312" w:hAnsi="仿宋_GB2312" w:cs="仿宋_GB2312"/>
          <w:kern w:val="0"/>
          <w:highlight w:val="none"/>
          <w:lang w:eastAsia="zh-CN" w:bidi="ar"/>
        </w:rPr>
        <w:t>，原件彩色扫描上传</w:t>
      </w:r>
      <w:r>
        <w:rPr>
          <w:rFonts w:hint="eastAsia" w:ascii="仿宋_GB2312" w:hAnsi="仿宋_GB2312" w:cs="仿宋_GB2312"/>
          <w:kern w:val="0"/>
          <w:highlight w:val="none"/>
          <w:lang w:bidi="ar"/>
        </w:rPr>
        <w:t>；</w:t>
      </w:r>
    </w:p>
    <w:p w14:paraId="6B925D07">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hint="eastAsia" w:ascii="仿宋_GB2312" w:hAnsi="仿宋_GB2312" w:cs="仿宋_GB2312"/>
          <w:kern w:val="0"/>
          <w:highlight w:val="none"/>
          <w:lang w:bidi="ar"/>
        </w:rPr>
      </w:pPr>
      <w:r>
        <w:rPr>
          <w:rFonts w:hint="eastAsia" w:ascii="仿宋_GB2312" w:hAnsi="仿宋_GB2312" w:cs="仿宋_GB2312"/>
          <w:kern w:val="0"/>
          <w:highlight w:val="none"/>
          <w:lang w:val="en-US" w:eastAsia="zh-CN" w:bidi="ar"/>
        </w:rPr>
        <w:t>8</w:t>
      </w:r>
      <w:r>
        <w:rPr>
          <w:rFonts w:hint="eastAsia" w:ascii="仿宋_GB2312" w:hAnsi="仿宋_GB2312" w:cs="仿宋_GB2312"/>
          <w:kern w:val="0"/>
          <w:highlight w:val="none"/>
          <w:lang w:bidi="ar"/>
        </w:rPr>
        <w:t>.申报</w:t>
      </w:r>
      <w:r>
        <w:rPr>
          <w:rFonts w:hint="eastAsia" w:ascii="仿宋_GB2312" w:hAnsi="仿宋_GB2312" w:cs="仿宋_GB2312"/>
          <w:kern w:val="0"/>
          <w:highlight w:val="none"/>
          <w:lang w:eastAsia="zh-CN" w:bidi="ar"/>
        </w:rPr>
        <w:t>主体</w:t>
      </w:r>
      <w:r>
        <w:rPr>
          <w:rFonts w:hint="eastAsia" w:ascii="仿宋_GB2312" w:hAnsi="仿宋_GB2312" w:cs="仿宋_GB2312"/>
          <w:kern w:val="0"/>
          <w:highlight w:val="none"/>
          <w:lang w:bidi="ar"/>
        </w:rPr>
        <w:t>近3年取得的与申报项目相关联的</w:t>
      </w:r>
      <w:r>
        <w:rPr>
          <w:rFonts w:hint="eastAsia" w:ascii="仿宋_GB2312" w:hAnsi="仿宋_GB2312" w:cs="仿宋_GB2312"/>
          <w:kern w:val="0"/>
          <w:highlight w:val="none"/>
          <w:lang w:val="en-US" w:eastAsia="zh-CN" w:bidi="ar"/>
        </w:rPr>
        <w:t>赛事获奖证书或凭证、</w:t>
      </w:r>
      <w:r>
        <w:rPr>
          <w:rFonts w:hint="eastAsia" w:ascii="仿宋_GB2312" w:hAnsi="仿宋_GB2312" w:cs="仿宋_GB2312"/>
          <w:kern w:val="0"/>
          <w:highlight w:val="none"/>
          <w:lang w:bidi="ar"/>
        </w:rPr>
        <w:t>发明专利、软著证书</w:t>
      </w:r>
      <w:r>
        <w:rPr>
          <w:rFonts w:hint="eastAsia" w:ascii="仿宋_GB2312" w:hAnsi="仿宋_GB2312" w:cs="仿宋_GB2312"/>
          <w:kern w:val="0"/>
          <w:highlight w:val="none"/>
          <w:lang w:val="en-US" w:eastAsia="zh-CN" w:bidi="ar"/>
        </w:rPr>
        <w:t>等</w:t>
      </w:r>
      <w:r>
        <w:rPr>
          <w:rFonts w:hint="eastAsia" w:ascii="仿宋_GB2312" w:hAnsi="仿宋" w:eastAsia="仿宋_GB2312" w:cs="仿宋_GB2312"/>
          <w:color w:val="000000"/>
          <w:sz w:val="32"/>
          <w:szCs w:val="32"/>
          <w:highlight w:val="none"/>
          <w:lang w:val="en-US" w:eastAsia="zh-CN"/>
        </w:rPr>
        <w:t>证明材料</w:t>
      </w:r>
      <w:r>
        <w:rPr>
          <w:rFonts w:hint="eastAsia" w:ascii="仿宋_GB2312" w:hAnsi="仿宋_GB2312" w:cs="仿宋_GB2312"/>
          <w:kern w:val="0"/>
          <w:highlight w:val="none"/>
          <w:lang w:eastAsia="zh-CN" w:bidi="ar"/>
        </w:rPr>
        <w:t>，原件彩色扫描上传</w:t>
      </w:r>
      <w:r>
        <w:rPr>
          <w:rFonts w:hint="eastAsia" w:ascii="仿宋_GB2312" w:hAnsi="仿宋_GB2312" w:cs="仿宋_GB2312"/>
          <w:kern w:val="0"/>
          <w:highlight w:val="none"/>
          <w:lang w:bidi="ar"/>
        </w:rPr>
        <w:t>；</w:t>
      </w:r>
    </w:p>
    <w:p w14:paraId="0D584994">
      <w:pPr>
        <w:keepNext w:val="0"/>
        <w:keepLines w:val="0"/>
        <w:pageBreakBefore w:val="0"/>
        <w:widowControl/>
        <w:kinsoku/>
        <w:wordWrap/>
        <w:overflowPunct/>
        <w:topLinePunct w:val="0"/>
        <w:autoSpaceDE/>
        <w:autoSpaceDN/>
        <w:bidi w:val="0"/>
        <w:adjustRightInd/>
        <w:snapToGrid/>
        <w:ind w:left="0" w:leftChars="0" w:firstLine="640"/>
        <w:jc w:val="left"/>
        <w:textAlignment w:val="auto"/>
        <w:outlineLvl w:val="0"/>
        <w:rPr>
          <w:rFonts w:hint="eastAsia" w:ascii="黑体" w:hAnsi="黑体" w:eastAsia="黑体" w:cs="黑体"/>
          <w:kern w:val="0"/>
          <w:lang w:bidi="ar"/>
        </w:rPr>
      </w:pPr>
      <w:r>
        <w:rPr>
          <w:rFonts w:hint="eastAsia" w:ascii="仿宋_GB2312" w:hAnsi="仿宋_GB2312" w:cs="仿宋_GB2312"/>
          <w:kern w:val="0"/>
          <w:highlight w:val="none"/>
          <w:lang w:val="en-US" w:eastAsia="zh-CN" w:bidi="ar"/>
        </w:rPr>
        <w:t>9</w:t>
      </w:r>
      <w:r>
        <w:rPr>
          <w:rFonts w:hint="eastAsia" w:ascii="仿宋_GB2312" w:hAnsi="仿宋_GB2312" w:cs="仿宋_GB2312"/>
          <w:kern w:val="0"/>
          <w:highlight w:val="none"/>
          <w:lang w:bidi="ar"/>
        </w:rPr>
        <w:t>.</w:t>
      </w:r>
      <w:r>
        <w:rPr>
          <w:rFonts w:hint="eastAsia" w:ascii="仿宋_GB2312" w:hAnsi="仿宋_GB2312" w:cs="仿宋_GB2312"/>
          <w:kern w:val="0"/>
          <w:highlight w:val="none"/>
          <w:lang w:eastAsia="zh-CN" w:bidi="ar"/>
        </w:rPr>
        <w:t>所</w:t>
      </w:r>
      <w:r>
        <w:rPr>
          <w:rFonts w:hint="eastAsia" w:ascii="仿宋_GB2312" w:hAnsi="仿宋_GB2312" w:cs="仿宋_GB2312"/>
          <w:kern w:val="0"/>
          <w:highlight w:val="none"/>
          <w:lang w:bidi="ar"/>
        </w:rPr>
        <w:t>申报项目负责人资质、经验，</w:t>
      </w:r>
      <w:r>
        <w:rPr>
          <w:rFonts w:hint="eastAsia" w:ascii="仿宋_GB2312" w:hAnsi="仿宋_GB2312" w:cs="仿宋_GB2312"/>
          <w:kern w:val="0"/>
          <w:highlight w:val="none"/>
          <w:lang w:eastAsia="zh-CN" w:bidi="ar"/>
        </w:rPr>
        <w:t>以及</w:t>
      </w:r>
      <w:r>
        <w:rPr>
          <w:rFonts w:hint="eastAsia" w:ascii="仿宋_GB2312" w:hAnsi="仿宋_GB2312" w:cs="仿宋_GB2312"/>
          <w:kern w:val="0"/>
          <w:highlight w:val="none"/>
          <w:lang w:bidi="ar"/>
        </w:rPr>
        <w:t>项目团队主要成员项目经历和工作基础等背景情况</w:t>
      </w:r>
      <w:r>
        <w:rPr>
          <w:rFonts w:hint="eastAsia" w:ascii="仿宋_GB2312" w:hAnsi="仿宋_GB2312" w:cs="仿宋_GB2312"/>
          <w:kern w:val="0"/>
          <w:highlight w:val="none"/>
          <w:lang w:eastAsia="zh-CN" w:bidi="ar"/>
        </w:rPr>
        <w:t>说明，加盖公章，彩色扫描上传；相关佐证材料，原件彩色扫描上传</w:t>
      </w:r>
      <w:r>
        <w:rPr>
          <w:rFonts w:hint="eastAsia" w:ascii="仿宋_GB2312" w:hAnsi="仿宋_GB2312" w:cs="仿宋_GB2312"/>
          <w:kern w:val="0"/>
          <w:highlight w:val="none"/>
          <w:lang w:bidi="ar"/>
        </w:rPr>
        <w:t>。</w:t>
      </w:r>
    </w:p>
    <w:p w14:paraId="573638AF">
      <w:pPr>
        <w:keepNext w:val="0"/>
        <w:keepLines w:val="0"/>
        <w:pageBreakBefore w:val="0"/>
        <w:widowControl/>
        <w:kinsoku/>
        <w:wordWrap/>
        <w:overflowPunct/>
        <w:topLinePunct w:val="0"/>
        <w:autoSpaceDE/>
        <w:autoSpaceDN/>
        <w:bidi w:val="0"/>
        <w:adjustRightInd/>
        <w:snapToGrid/>
        <w:ind w:left="0" w:leftChars="0" w:firstLine="640"/>
        <w:jc w:val="left"/>
        <w:textAlignment w:val="auto"/>
        <w:outlineLvl w:val="0"/>
        <w:rPr>
          <w:rFonts w:hint="eastAsia" w:ascii="黑体" w:hAnsi="黑体" w:eastAsia="黑体" w:cs="黑体"/>
          <w:kern w:val="0"/>
          <w:lang w:bidi="ar"/>
        </w:rPr>
      </w:pPr>
      <w:r>
        <w:rPr>
          <w:rFonts w:hint="eastAsia" w:ascii="黑体" w:hAnsi="黑体" w:eastAsia="黑体" w:cs="黑体"/>
          <w:kern w:val="0"/>
          <w:lang w:bidi="ar"/>
        </w:rPr>
        <w:t>六、办理程序</w:t>
      </w:r>
    </w:p>
    <w:p w14:paraId="1BEBC9A6">
      <w:pPr>
        <w:pStyle w:val="7"/>
        <w:shd w:val="clear" w:color="auto" w:fill="auto"/>
        <w:spacing w:beforeAutospacing="0" w:afterAutospacing="0"/>
        <w:ind w:firstLine="640"/>
        <w:jc w:val="both"/>
        <w:rPr>
          <w:rFonts w:ascii="仿宋_GB2312" w:hAnsi="Segoe UI" w:cs="Segoe UI"/>
          <w:color w:val="000000"/>
          <w:sz w:val="32"/>
        </w:rPr>
      </w:pPr>
      <w:r>
        <w:rPr>
          <w:rFonts w:hint="eastAsia" w:ascii="仿宋_GB2312" w:hAnsi="仿宋_GB2312" w:cs="仿宋_GB2312"/>
          <w:b w:val="0"/>
          <w:bCs w:val="0"/>
          <w:color w:val="000000"/>
          <w:kern w:val="2"/>
          <w:sz w:val="32"/>
        </w:rPr>
        <w:t>（一）</w:t>
      </w:r>
      <w:r>
        <w:rPr>
          <w:rFonts w:hint="eastAsia" w:ascii="仿宋_GB2312" w:hAnsi="仿宋_GB2312" w:cs="仿宋_GB2312"/>
          <w:b/>
          <w:bCs/>
          <w:color w:val="000000"/>
          <w:kern w:val="2"/>
          <w:sz w:val="32"/>
        </w:rPr>
        <w:t>网上申报：</w:t>
      </w:r>
      <w:r>
        <w:rPr>
          <w:rFonts w:hint="eastAsia" w:ascii="仿宋_GB2312" w:hAnsi="仿宋_GB2312" w:cs="仿宋_GB2312"/>
          <w:sz w:val="32"/>
          <w:lang w:bidi="ar"/>
        </w:rPr>
        <w:t>申报主体通过北京市人民政府门户网站“政策兑现</w:t>
      </w:r>
      <w:r>
        <w:rPr>
          <w:rFonts w:hint="eastAsia" w:ascii="仿宋_GB2312" w:hAnsi="仿宋_GB2312" w:cs="仿宋_GB2312"/>
          <w:sz w:val="32"/>
          <w:lang w:val="en-US" w:eastAsia="zh-CN" w:bidi="ar"/>
        </w:rPr>
        <w:t>专区</w:t>
      </w:r>
      <w:r>
        <w:rPr>
          <w:rFonts w:hint="eastAsia" w:ascii="仿宋_GB2312" w:hAnsi="仿宋_GB2312" w:cs="仿宋_GB2312"/>
          <w:sz w:val="32"/>
          <w:lang w:bidi="ar"/>
        </w:rPr>
        <w:t>”(https://zhengce.beijing.gov.cn)或经开区官网“政策兑现”栏目(zcdx.kfqgw.beijing.gov.cn)进入政策兑现综合服务平台，注册登录后进行自主申报。如未在规定时间内提交申请的，视为自动放弃。</w:t>
      </w:r>
    </w:p>
    <w:p w14:paraId="4473B6E1">
      <w:pPr>
        <w:pStyle w:val="7"/>
        <w:widowControl/>
        <w:numPr>
          <w:ilvl w:val="-1"/>
          <w:numId w:val="0"/>
        </w:numPr>
        <w:shd w:val="clear" w:color="auto" w:fill="auto"/>
        <w:spacing w:beforeAutospacing="0" w:afterAutospacing="0"/>
        <w:ind w:firstLine="640" w:firstLineChars="0"/>
        <w:jc w:val="both"/>
        <w:rPr>
          <w:rFonts w:hint="default" w:ascii="仿宋_GB2312" w:hAnsi="仿宋_GB2312" w:eastAsia="仿宋_GB2312" w:cs="仿宋_GB2312"/>
          <w:color w:val="000000"/>
          <w:kern w:val="2"/>
          <w:sz w:val="32"/>
          <w:lang w:val="en-US" w:eastAsia="zh-CN"/>
        </w:rPr>
      </w:pPr>
      <w:r>
        <w:rPr>
          <w:rFonts w:hint="eastAsia" w:ascii="仿宋_GB2312" w:hAnsi="仿宋_GB2312" w:cs="仿宋_GB2312"/>
          <w:b w:val="0"/>
          <w:bCs w:val="0"/>
          <w:color w:val="000000"/>
          <w:kern w:val="2"/>
          <w:sz w:val="32"/>
        </w:rPr>
        <w:t>（二）</w:t>
      </w:r>
      <w:r>
        <w:rPr>
          <w:rFonts w:hint="eastAsia" w:ascii="仿宋_GB2312" w:hAnsi="仿宋_GB2312" w:cs="仿宋_GB2312"/>
          <w:b/>
          <w:bCs/>
          <w:color w:val="000000"/>
          <w:kern w:val="2"/>
          <w:sz w:val="32"/>
          <w:lang w:val="en-US" w:eastAsia="zh-CN"/>
        </w:rPr>
        <w:t>初审：</w:t>
      </w:r>
      <w:r>
        <w:rPr>
          <w:rFonts w:hint="eastAsia" w:ascii="仿宋_GB2312" w:hAnsi="仿宋_GB2312" w:cs="仿宋_GB2312"/>
          <w:b w:val="0"/>
          <w:bCs w:val="0"/>
          <w:color w:val="000000"/>
          <w:kern w:val="2"/>
          <w:sz w:val="32"/>
          <w:lang w:val="en-US" w:eastAsia="zh-CN"/>
        </w:rPr>
        <w:t>经开区营商环境建设局对申报主体提交的材料进行完整性审查，材料不齐全或不符合要求的，告知申报主体补齐补正。</w:t>
      </w:r>
    </w:p>
    <w:p w14:paraId="0F2F2BE4">
      <w:pPr>
        <w:widowControl/>
        <w:shd w:val="clear" w:color="auto"/>
        <w:spacing w:beforeAutospacing="0" w:afterAutospacing="0"/>
        <w:ind w:firstLine="640" w:firstLineChars="200"/>
        <w:jc w:val="both"/>
        <w:rPr>
          <w:rFonts w:hint="eastAsia" w:ascii="仿宋_GB2312" w:hAnsi="仿宋_GB2312" w:cs="仿宋_GB2312"/>
          <w:color w:val="000000"/>
          <w:kern w:val="2"/>
          <w:sz w:val="32"/>
        </w:rPr>
      </w:pPr>
      <w:r>
        <w:rPr>
          <w:rFonts w:hint="eastAsia" w:ascii="仿宋_GB2312" w:hAnsi="仿宋_GB2312" w:cs="仿宋_GB2312"/>
          <w:b w:val="0"/>
          <w:bCs w:val="0"/>
          <w:color w:val="000000"/>
          <w:kern w:val="2"/>
          <w:sz w:val="32"/>
          <w:shd w:val="clear"/>
        </w:rPr>
        <w:t>（三）</w:t>
      </w:r>
      <w:r>
        <w:rPr>
          <w:rFonts w:hint="eastAsia" w:ascii="仿宋_GB2312" w:hAnsi="仿宋_GB2312" w:eastAsia="仿宋_GB2312" w:cs="仿宋_GB2312"/>
          <w:b/>
          <w:bCs/>
          <w:sz w:val="32"/>
          <w:szCs w:val="32"/>
          <w:shd w:val="clear"/>
          <w:lang w:val="en-US" w:eastAsia="zh-CN"/>
        </w:rPr>
        <w:t>审核</w:t>
      </w:r>
      <w:r>
        <w:rPr>
          <w:rFonts w:hint="eastAsia" w:ascii="仿宋_GB2312" w:hAnsi="仿宋_GB2312" w:eastAsia="仿宋_GB2312" w:cs="仿宋_GB2312"/>
          <w:sz w:val="32"/>
          <w:szCs w:val="32"/>
          <w:shd w:val="clear"/>
          <w:lang w:val="en-US" w:eastAsia="zh-CN"/>
        </w:rPr>
        <w:t>：经开区信息技术产业局对申请材料进行实质审核。</w:t>
      </w:r>
    </w:p>
    <w:p w14:paraId="29F0D2F5">
      <w:pPr>
        <w:widowControl/>
        <w:ind w:firstLine="640"/>
        <w:jc w:val="left"/>
        <w:rPr>
          <w:rFonts w:hint="eastAsia" w:ascii="仿宋_GB2312" w:hAnsi="仿宋_GB2312" w:cs="仿宋_GB2312"/>
          <w:kern w:val="0"/>
          <w:lang w:bidi="ar"/>
        </w:rPr>
      </w:pPr>
      <w:r>
        <w:rPr>
          <w:rFonts w:hint="eastAsia" w:ascii="仿宋_GB2312" w:hAnsi="仿宋_GB2312" w:cs="仿宋_GB2312"/>
          <w:b w:val="0"/>
          <w:bCs w:val="0"/>
          <w:color w:val="000000"/>
        </w:rPr>
        <w:t>（四）</w:t>
      </w:r>
      <w:r>
        <w:rPr>
          <w:rFonts w:hint="eastAsia" w:ascii="仿宋_GB2312" w:hAnsi="仿宋_GB2312" w:cs="仿宋_GB2312"/>
          <w:b/>
          <w:bCs/>
          <w:color w:val="000000"/>
        </w:rPr>
        <w:t>专家评审：</w:t>
      </w:r>
      <w:r>
        <w:rPr>
          <w:rFonts w:hint="eastAsia" w:ascii="仿宋_GB2312" w:hAnsi="仿宋_GB2312" w:cs="仿宋_GB2312"/>
          <w:color w:val="000000"/>
        </w:rPr>
        <w:t>经开区</w:t>
      </w:r>
      <w:r>
        <w:rPr>
          <w:rFonts w:hint="eastAsia" w:ascii="仿宋_GB2312" w:hAnsi="仿宋_GB2312" w:cs="仿宋_GB2312"/>
          <w:kern w:val="0"/>
          <w:lang w:bidi="ar"/>
        </w:rPr>
        <w:t>信息技术产业局组织专家对申请材料进行评审，评审后将结果上传到系统。</w:t>
      </w:r>
    </w:p>
    <w:p w14:paraId="349775C8">
      <w:pPr>
        <w:pStyle w:val="7"/>
        <w:widowControl/>
        <w:shd w:val="clear" w:color="auto" w:fill="auto"/>
        <w:spacing w:beforeAutospacing="0" w:afterAutospacing="0"/>
        <w:ind w:firstLine="640"/>
        <w:rPr>
          <w:rFonts w:hint="eastAsia" w:ascii="仿宋_GB2312" w:hAnsi="仿宋_GB2312" w:cs="仿宋_GB2312"/>
          <w:color w:val="000000"/>
          <w:kern w:val="2"/>
          <w:sz w:val="32"/>
        </w:rPr>
      </w:pPr>
      <w:r>
        <w:rPr>
          <w:rFonts w:hint="eastAsia" w:ascii="仿宋_GB2312" w:hAnsi="仿宋_GB2312" w:cs="仿宋_GB2312"/>
          <w:b w:val="0"/>
          <w:bCs w:val="0"/>
          <w:color w:val="000000"/>
          <w:kern w:val="2"/>
          <w:sz w:val="32"/>
        </w:rPr>
        <w:t>（五）</w:t>
      </w:r>
      <w:r>
        <w:rPr>
          <w:rFonts w:hint="eastAsia" w:ascii="仿宋_GB2312" w:hAnsi="仿宋_GB2312" w:cs="仿宋_GB2312"/>
          <w:b/>
          <w:bCs/>
          <w:color w:val="000000"/>
          <w:kern w:val="2"/>
          <w:sz w:val="32"/>
        </w:rPr>
        <w:t>确定支持结果：</w:t>
      </w:r>
      <w:r>
        <w:rPr>
          <w:rFonts w:hint="eastAsia" w:ascii="仿宋_GB2312" w:hAnsi="仿宋_GB2312" w:cs="仿宋_GB2312"/>
          <w:color w:val="000000"/>
          <w:kern w:val="2"/>
          <w:sz w:val="32"/>
        </w:rPr>
        <w:t>经开区信息技术产业局对审核通过的申报主体拟定兑现支持奖励</w:t>
      </w:r>
      <w:r>
        <w:rPr>
          <w:rFonts w:hint="eastAsia" w:ascii="仿宋_GB2312" w:hAnsi="仿宋_GB2312" w:cs="仿宋_GB2312"/>
          <w:color w:val="000000"/>
          <w:kern w:val="2"/>
          <w:sz w:val="32"/>
          <w:lang w:val="en-US" w:eastAsia="zh-CN"/>
        </w:rPr>
        <w:t>年限及</w:t>
      </w:r>
      <w:r>
        <w:rPr>
          <w:rFonts w:hint="eastAsia" w:ascii="仿宋_GB2312" w:hAnsi="仿宋_GB2312" w:cs="仿宋_GB2312"/>
          <w:color w:val="000000"/>
          <w:kern w:val="2"/>
          <w:sz w:val="32"/>
        </w:rPr>
        <w:t>金额。</w:t>
      </w:r>
    </w:p>
    <w:p w14:paraId="6AE36F69">
      <w:pPr>
        <w:pStyle w:val="7"/>
        <w:widowControl/>
        <w:shd w:val="clear" w:color="auto" w:fill="auto"/>
        <w:spacing w:beforeAutospacing="0" w:afterAutospacing="0"/>
        <w:ind w:firstLine="640"/>
        <w:rPr>
          <w:rFonts w:hint="eastAsia" w:ascii="仿宋_GB2312" w:hAnsi="仿宋_GB2312" w:cs="仿宋_GB2312"/>
          <w:color w:val="000000"/>
          <w:kern w:val="2"/>
          <w:sz w:val="32"/>
        </w:rPr>
      </w:pPr>
      <w:r>
        <w:rPr>
          <w:rFonts w:hint="eastAsia" w:ascii="仿宋_GB2312" w:hAnsi="仿宋_GB2312" w:cs="仿宋_GB2312"/>
          <w:b w:val="0"/>
          <w:bCs w:val="0"/>
          <w:color w:val="000000"/>
          <w:kern w:val="2"/>
          <w:sz w:val="32"/>
        </w:rPr>
        <w:t>（六）</w:t>
      </w:r>
      <w:r>
        <w:rPr>
          <w:rFonts w:hint="eastAsia" w:ascii="仿宋_GB2312" w:hAnsi="仿宋_GB2312" w:cs="仿宋_GB2312"/>
          <w:b/>
          <w:bCs/>
          <w:color w:val="000000"/>
          <w:kern w:val="2"/>
          <w:sz w:val="32"/>
        </w:rPr>
        <w:t>公示：</w:t>
      </w:r>
      <w:r>
        <w:rPr>
          <w:rFonts w:hint="eastAsia" w:ascii="仿宋_GB2312" w:hAnsi="仿宋_GB2312" w:cs="仿宋_GB2312"/>
          <w:color w:val="000000"/>
          <w:sz w:val="32"/>
          <w:lang w:val="en-US" w:eastAsia="zh-CN"/>
        </w:rPr>
        <w:t>经开区信息技术产业局通过政策兑现综合服务平台对拟支持主体进行公示。</w:t>
      </w:r>
    </w:p>
    <w:p w14:paraId="174287C5">
      <w:pPr>
        <w:keepNext w:val="0"/>
        <w:keepLines w:val="0"/>
        <w:pageBreakBefore w:val="0"/>
        <w:widowControl/>
        <w:kinsoku/>
        <w:wordWrap/>
        <w:overflowPunct/>
        <w:topLinePunct w:val="0"/>
        <w:autoSpaceDE/>
        <w:autoSpaceDN/>
        <w:bidi w:val="0"/>
        <w:adjustRightInd/>
        <w:snapToGrid/>
        <w:ind w:left="0" w:leftChars="0" w:firstLine="640"/>
        <w:jc w:val="left"/>
        <w:textAlignment w:val="auto"/>
        <w:rPr>
          <w:rFonts w:ascii="仿宋_GB2312" w:hAnsi="Segoe UI" w:cs="Segoe UI"/>
          <w:color w:val="000000"/>
        </w:rPr>
      </w:pPr>
      <w:r>
        <w:rPr>
          <w:rFonts w:hint="eastAsia" w:ascii="仿宋_GB2312" w:hAnsi="仿宋_GB2312" w:cs="仿宋_GB2312"/>
          <w:b w:val="0"/>
          <w:bCs w:val="0"/>
          <w:color w:val="000000"/>
        </w:rPr>
        <w:t>（七）</w:t>
      </w:r>
      <w:r>
        <w:rPr>
          <w:rFonts w:hint="eastAsia" w:ascii="仿宋_GB2312" w:hAnsi="仿宋_GB2312" w:cs="仿宋_GB2312"/>
          <w:b/>
          <w:bCs/>
          <w:color w:val="000000"/>
        </w:rPr>
        <w:t>资金拨付：</w:t>
      </w:r>
      <w:r>
        <w:rPr>
          <w:rFonts w:hint="eastAsia" w:ascii="仿宋_GB2312" w:hAnsi="微软雅黑" w:cs="Segoe UI"/>
          <w:color w:val="000000"/>
        </w:rPr>
        <w:t>经公示无异议的，完成资金拨付。</w:t>
      </w:r>
    </w:p>
    <w:p w14:paraId="0DFF683F">
      <w:pPr>
        <w:keepNext w:val="0"/>
        <w:keepLines w:val="0"/>
        <w:pageBreakBefore w:val="0"/>
        <w:kinsoku/>
        <w:wordWrap/>
        <w:overflowPunct/>
        <w:topLinePunct w:val="0"/>
        <w:autoSpaceDE/>
        <w:autoSpaceDN/>
        <w:bidi w:val="0"/>
        <w:adjustRightInd/>
        <w:snapToGrid/>
        <w:ind w:left="0" w:leftChars="0" w:firstLine="643"/>
        <w:textAlignment w:val="auto"/>
        <w:outlineLvl w:val="0"/>
        <w:rPr>
          <w:rFonts w:hint="eastAsia" w:ascii="黑体" w:hAnsi="黑体" w:eastAsia="黑体" w:cs="黑体"/>
        </w:rPr>
      </w:pPr>
      <w:r>
        <w:rPr>
          <w:rFonts w:hint="eastAsia" w:ascii="仿宋_GB2312" w:hAnsi="仿宋_GB2312" w:cs="仿宋_GB2312"/>
          <w:b/>
          <w:bCs/>
          <w:kern w:val="0"/>
          <w:lang w:bidi="ar"/>
        </w:rPr>
        <w:t>七</w:t>
      </w:r>
      <w:r>
        <w:rPr>
          <w:rFonts w:hint="eastAsia" w:ascii="黑体" w:hAnsi="黑体" w:eastAsia="黑体" w:cs="黑体"/>
        </w:rPr>
        <w:t>、主责部门</w:t>
      </w:r>
    </w:p>
    <w:p w14:paraId="335BBAD1">
      <w:pPr>
        <w:pStyle w:val="7"/>
        <w:keepNext w:val="0"/>
        <w:keepLines w:val="0"/>
        <w:pageBreakBefore w:val="0"/>
        <w:shd w:val="clear" w:color="auto"/>
        <w:kinsoku/>
        <w:wordWrap/>
        <w:overflowPunct/>
        <w:topLinePunct w:val="0"/>
        <w:autoSpaceDE/>
        <w:autoSpaceDN/>
        <w:bidi w:val="0"/>
        <w:adjustRightInd/>
        <w:snapToGrid/>
        <w:spacing w:beforeAutospacing="0" w:afterAutospacing="0"/>
        <w:ind w:left="0" w:leftChars="0" w:firstLine="640"/>
        <w:textAlignment w:val="auto"/>
        <w:rPr>
          <w:rFonts w:ascii="仿宋_GB2312" w:hAnsi="Segoe UI" w:cs="Segoe UI"/>
          <w:color w:val="000000"/>
          <w:sz w:val="32"/>
        </w:rPr>
      </w:pPr>
      <w:r>
        <w:rPr>
          <w:rFonts w:hint="eastAsia" w:ascii="仿宋_GB2312" w:hAnsi="仿宋_GB2312" w:cs="仿宋_GB2312"/>
          <w:color w:val="000000"/>
          <w:sz w:val="32"/>
          <w:lang w:val="en-US" w:eastAsia="zh-CN"/>
        </w:rPr>
        <w:t>北京</w:t>
      </w:r>
      <w:r>
        <w:rPr>
          <w:rFonts w:hint="eastAsia" w:ascii="仿宋_GB2312" w:hAnsi="微软雅黑" w:cs="Segoe UI"/>
          <w:color w:val="000000"/>
          <w:sz w:val="32"/>
        </w:rPr>
        <w:t>经开区</w:t>
      </w:r>
      <w:r>
        <w:rPr>
          <w:rFonts w:hint="eastAsia" w:ascii="仿宋_GB2312" w:hAnsi="仿宋_GB2312" w:cs="仿宋_GB2312"/>
          <w:color w:val="000000"/>
          <w:kern w:val="2"/>
          <w:sz w:val="32"/>
        </w:rPr>
        <w:t>信息技术产业局</w:t>
      </w:r>
    </w:p>
    <w:p w14:paraId="06CF57D7">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rPr>
      </w:pPr>
      <w:r>
        <w:rPr>
          <w:rFonts w:hint="eastAsia" w:ascii="黑体" w:hAnsi="黑体" w:eastAsia="黑体" w:cs="黑体"/>
        </w:rPr>
        <w:t>八、受理窗口</w:t>
      </w:r>
    </w:p>
    <w:p w14:paraId="3274C898">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仿宋_GB2312" w:hAnsi="仿宋_GB2312" w:cs="仿宋_GB2312"/>
        </w:rPr>
      </w:pPr>
      <w:r>
        <w:rPr>
          <w:rFonts w:hint="eastAsia" w:ascii="仿宋_GB2312" w:hAnsi="仿宋_GB2312" w:cs="仿宋_GB2312"/>
        </w:rPr>
        <w:t>北京经济技术开发区万源街4号政务服务大厅“政策申报”窗口</w:t>
      </w:r>
    </w:p>
    <w:p w14:paraId="08E1D017">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rPr>
      </w:pPr>
      <w:r>
        <w:rPr>
          <w:rFonts w:hint="eastAsia" w:ascii="黑体" w:hAnsi="黑体" w:eastAsia="黑体" w:cs="黑体"/>
        </w:rPr>
        <w:t>九、申报时间</w:t>
      </w:r>
    </w:p>
    <w:p w14:paraId="3C895AAE">
      <w:pPr>
        <w:pStyle w:val="7"/>
        <w:keepNext w:val="0"/>
        <w:keepLines w:val="0"/>
        <w:pageBreakBefore w:val="0"/>
        <w:shd w:val="clear" w:color="auto"/>
        <w:kinsoku/>
        <w:wordWrap/>
        <w:overflowPunct/>
        <w:topLinePunct w:val="0"/>
        <w:autoSpaceDE/>
        <w:autoSpaceDN/>
        <w:bidi w:val="0"/>
        <w:adjustRightInd/>
        <w:snapToGrid/>
        <w:spacing w:beforeAutospacing="0" w:afterAutospacing="0"/>
        <w:ind w:left="0" w:leftChars="0" w:firstLine="640"/>
        <w:jc w:val="both"/>
        <w:textAlignment w:val="auto"/>
        <w:rPr>
          <w:rFonts w:hint="eastAsia" w:ascii="仿宋_GB2312" w:hAnsi="仿宋_GB2312" w:cs="仿宋_GB2312"/>
          <w:sz w:val="32"/>
          <w:highlight w:val="none"/>
          <w:lang w:bidi="ar"/>
        </w:rPr>
      </w:pPr>
      <w:r>
        <w:rPr>
          <w:rFonts w:hint="eastAsia" w:ascii="仿宋_GB2312" w:hAnsi="仿宋_GB2312" w:cs="仿宋_GB2312"/>
          <w:sz w:val="32"/>
          <w:highlight w:val="none"/>
          <w:lang w:bidi="ar"/>
        </w:rPr>
        <w:t>202</w:t>
      </w:r>
      <w:r>
        <w:rPr>
          <w:rFonts w:hint="eastAsia" w:ascii="仿宋_GB2312" w:hAnsi="仿宋_GB2312" w:cs="仿宋_GB2312"/>
          <w:sz w:val="32"/>
          <w:highlight w:val="none"/>
          <w:lang w:val="en-US" w:eastAsia="zh-CN" w:bidi="ar"/>
        </w:rPr>
        <w:t>6</w:t>
      </w:r>
      <w:r>
        <w:rPr>
          <w:rFonts w:hint="eastAsia" w:ascii="仿宋_GB2312" w:hAnsi="仿宋_GB2312" w:cs="仿宋_GB2312"/>
          <w:sz w:val="32"/>
          <w:highlight w:val="none"/>
          <w:lang w:bidi="ar"/>
        </w:rPr>
        <w:t>年</w:t>
      </w:r>
      <w:r>
        <w:rPr>
          <w:rFonts w:hint="eastAsia" w:ascii="仿宋_GB2312" w:hAnsi="仿宋_GB2312" w:cs="仿宋_GB2312"/>
          <w:sz w:val="32"/>
          <w:highlight w:val="none"/>
          <w:lang w:val="en-US" w:eastAsia="zh-CN" w:bidi="ar"/>
        </w:rPr>
        <w:t>10</w:t>
      </w:r>
      <w:r>
        <w:rPr>
          <w:rFonts w:hint="eastAsia" w:ascii="仿宋_GB2312" w:hAnsi="仿宋_GB2312" w:cs="仿宋_GB2312"/>
          <w:sz w:val="32"/>
          <w:highlight w:val="none"/>
          <w:lang w:bidi="ar"/>
        </w:rPr>
        <w:t>月</w:t>
      </w:r>
      <w:r>
        <w:rPr>
          <w:rFonts w:hint="eastAsia" w:ascii="仿宋_GB2312" w:hAnsi="仿宋_GB2312" w:cs="仿宋_GB2312"/>
          <w:sz w:val="32"/>
          <w:highlight w:val="none"/>
          <w:lang w:val="en-US" w:eastAsia="zh-CN" w:bidi="ar"/>
        </w:rPr>
        <w:t>13</w:t>
      </w:r>
      <w:r>
        <w:rPr>
          <w:rFonts w:hint="eastAsia" w:ascii="仿宋_GB2312" w:hAnsi="仿宋_GB2312" w:cs="仿宋_GB2312"/>
          <w:sz w:val="32"/>
          <w:highlight w:val="none"/>
          <w:lang w:bidi="ar"/>
        </w:rPr>
        <w:t>日至202</w:t>
      </w:r>
      <w:r>
        <w:rPr>
          <w:rFonts w:hint="eastAsia" w:ascii="仿宋_GB2312" w:hAnsi="仿宋_GB2312" w:cs="仿宋_GB2312"/>
          <w:sz w:val="32"/>
          <w:highlight w:val="none"/>
          <w:lang w:val="en-US" w:eastAsia="zh-CN" w:bidi="ar"/>
        </w:rPr>
        <w:t>6</w:t>
      </w:r>
      <w:r>
        <w:rPr>
          <w:rFonts w:hint="eastAsia" w:ascii="仿宋_GB2312" w:hAnsi="仿宋_GB2312" w:cs="仿宋_GB2312"/>
          <w:sz w:val="32"/>
          <w:highlight w:val="none"/>
          <w:lang w:bidi="ar"/>
        </w:rPr>
        <w:t>年</w:t>
      </w:r>
      <w:r>
        <w:rPr>
          <w:rFonts w:hint="eastAsia" w:ascii="仿宋_GB2312" w:hAnsi="仿宋_GB2312" w:cs="仿宋_GB2312"/>
          <w:sz w:val="32"/>
          <w:highlight w:val="none"/>
          <w:lang w:val="en-US" w:eastAsia="zh-CN" w:bidi="ar"/>
        </w:rPr>
        <w:t>11</w:t>
      </w:r>
      <w:r>
        <w:rPr>
          <w:rFonts w:hint="eastAsia" w:ascii="仿宋_GB2312" w:hAnsi="仿宋_GB2312" w:cs="仿宋_GB2312"/>
          <w:sz w:val="32"/>
          <w:highlight w:val="none"/>
          <w:lang w:bidi="ar"/>
        </w:rPr>
        <w:t>月</w:t>
      </w:r>
      <w:r>
        <w:rPr>
          <w:rFonts w:hint="eastAsia" w:ascii="仿宋_GB2312" w:hAnsi="仿宋_GB2312" w:cs="仿宋_GB2312"/>
          <w:sz w:val="32"/>
          <w:highlight w:val="none"/>
          <w:lang w:val="en-US" w:eastAsia="zh-CN" w:bidi="ar"/>
        </w:rPr>
        <w:t>3</w:t>
      </w:r>
      <w:r>
        <w:rPr>
          <w:rFonts w:hint="eastAsia" w:ascii="仿宋_GB2312" w:hAnsi="仿宋_GB2312" w:cs="仿宋_GB2312"/>
          <w:sz w:val="32"/>
          <w:highlight w:val="none"/>
          <w:lang w:bidi="ar"/>
        </w:rPr>
        <w:t>日</w:t>
      </w:r>
    </w:p>
    <w:p w14:paraId="6390E052">
      <w:pPr>
        <w:keepNext w:val="0"/>
        <w:keepLines w:val="0"/>
        <w:pageBreakBefore w:val="0"/>
        <w:kinsoku/>
        <w:wordWrap/>
        <w:overflowPunct/>
        <w:topLinePunct w:val="0"/>
        <w:autoSpaceDE/>
        <w:autoSpaceDN/>
        <w:bidi w:val="0"/>
        <w:adjustRightInd/>
        <w:snapToGrid/>
        <w:ind w:left="0" w:leftChars="0" w:firstLine="640"/>
        <w:textAlignment w:val="auto"/>
        <w:outlineLvl w:val="0"/>
        <w:rPr>
          <w:rFonts w:hint="eastAsia" w:ascii="黑体" w:hAnsi="黑体" w:eastAsia="黑体" w:cs="黑体"/>
        </w:rPr>
      </w:pPr>
      <w:r>
        <w:rPr>
          <w:rFonts w:hint="eastAsia" w:ascii="黑体" w:hAnsi="黑体" w:eastAsia="黑体" w:cs="黑体"/>
        </w:rPr>
        <w:t>十、联系人及联系方式</w:t>
      </w:r>
    </w:p>
    <w:p w14:paraId="72B8CB0A">
      <w:pPr>
        <w:keepNext w:val="0"/>
        <w:keepLines w:val="0"/>
        <w:pageBreakBefore w:val="0"/>
        <w:kinsoku/>
        <w:wordWrap/>
        <w:overflowPunct/>
        <w:topLinePunct w:val="0"/>
        <w:autoSpaceDE/>
        <w:autoSpaceDN/>
        <w:bidi w:val="0"/>
        <w:adjustRightInd/>
        <w:snapToGrid/>
        <w:ind w:left="0" w:leftChars="0" w:firstLine="640"/>
        <w:textAlignment w:val="auto"/>
        <w:outlineLvl w:val="0"/>
        <w:rPr>
          <w:rFonts w:ascii="仿宋_GB2312" w:hAnsi="Segoe UI" w:cs="Segoe UI"/>
        </w:rPr>
      </w:pPr>
      <w:r>
        <w:rPr>
          <w:rFonts w:hint="eastAsia" w:ascii="仿宋_GB2312" w:hAnsi="Segoe UI" w:cs="Segoe UI"/>
        </w:rPr>
        <w:t>政策咨询：</w:t>
      </w:r>
    </w:p>
    <w:p w14:paraId="57EFEE18">
      <w:pPr>
        <w:ind w:firstLine="640"/>
        <w:outlineLvl w:val="0"/>
        <w:rPr>
          <w:rFonts w:hint="eastAsia" w:ascii="仿宋_GB2312" w:hAnsi="仿宋_GB2312" w:cs="仿宋_GB2312"/>
          <w:color w:val="000000"/>
          <w:sz w:val="32"/>
          <w:lang w:val="en-US" w:eastAsia="zh-CN"/>
        </w:rPr>
      </w:pPr>
      <w:r>
        <w:rPr>
          <w:rFonts w:hint="eastAsia" w:ascii="仿宋_GB2312" w:hAnsi="仿宋_GB2312" w:cs="仿宋_GB2312"/>
          <w:color w:val="000000"/>
          <w:sz w:val="32"/>
          <w:lang w:val="en-US" w:eastAsia="zh-CN"/>
        </w:rPr>
        <w:t>经开区政务服务大厅“政策申报”窗口，联系电话：010-67857878转4、010-67857687，工作日</w:t>
      </w:r>
      <w:bookmarkStart w:id="0" w:name="_GoBack"/>
      <w:bookmarkEnd w:id="0"/>
      <w:r>
        <w:rPr>
          <w:rFonts w:hint="eastAsia" w:ascii="仿宋_GB2312" w:hAnsi="仿宋_GB2312" w:cs="仿宋_GB2312"/>
          <w:color w:val="000000"/>
          <w:sz w:val="32"/>
          <w:lang w:val="en-US" w:eastAsia="zh-CN"/>
        </w:rPr>
        <w:t>上午9:00—12:00，下午1:30—5:00。</w:t>
      </w:r>
    </w:p>
    <w:p w14:paraId="5033EF3F">
      <w:pPr>
        <w:ind w:firstLine="640"/>
        <w:outlineLvl w:val="0"/>
        <w:rPr>
          <w:rFonts w:hint="eastAsia" w:ascii="仿宋_GB2312" w:hAnsi="仿宋_GB2312" w:cs="仿宋_GB2312"/>
          <w:color w:val="000000"/>
          <w:sz w:val="32"/>
          <w:lang w:val="en-US" w:eastAsia="zh-CN"/>
        </w:rPr>
      </w:pPr>
      <w:r>
        <w:rPr>
          <w:rFonts w:hint="eastAsia" w:ascii="仿宋_GB2312" w:hAnsi="仿宋_GB2312" w:cs="仿宋_GB2312"/>
          <w:color w:val="000000"/>
          <w:sz w:val="32"/>
          <w:lang w:val="en-US" w:eastAsia="zh-CN"/>
        </w:rPr>
        <w:t>经开区信息技术产业局，联系人：王昕，联系电话：010-67883162，工作日上午9:00—12:00，下午2:00—6:00。</w:t>
      </w:r>
    </w:p>
    <w:p w14:paraId="5643FC40">
      <w:pPr>
        <w:ind w:firstLine="640"/>
        <w:outlineLvl w:val="0"/>
        <w:rPr>
          <w:rFonts w:hint="eastAsia" w:ascii="仿宋_GB2312" w:hAnsi="仿宋_GB2312" w:cs="仿宋_GB2312"/>
          <w:color w:val="000000"/>
          <w:sz w:val="32"/>
          <w:lang w:val="en-US" w:eastAsia="zh-CN"/>
        </w:rPr>
      </w:pPr>
      <w:r>
        <w:rPr>
          <w:rFonts w:hint="eastAsia" w:ascii="仿宋_GB2312" w:hAnsi="仿宋_GB2312" w:cs="仿宋_GB2312"/>
          <w:color w:val="000000"/>
          <w:sz w:val="32"/>
          <w:lang w:val="en-US" w:eastAsia="zh-CN"/>
        </w:rPr>
        <w:t>技术支持：</w:t>
      </w:r>
    </w:p>
    <w:p w14:paraId="2E293638">
      <w:pPr>
        <w:ind w:firstLine="640"/>
        <w:rPr>
          <w:rFonts w:hint="eastAsia" w:ascii="黑体" w:hAnsi="黑体" w:eastAsia="黑体" w:cs="仿宋_GB2312"/>
        </w:rPr>
      </w:pPr>
      <w:r>
        <w:rPr>
          <w:rFonts w:hint="eastAsia" w:ascii="仿宋_GB2312" w:hAnsi="仿宋_GB2312" w:cs="仿宋_GB2312"/>
          <w:color w:val="000000"/>
          <w:sz w:val="32"/>
          <w:lang w:val="en-US" w:eastAsia="zh-CN"/>
        </w:rPr>
        <w:t>联系电话：010-83509638，工作日上午9:00—12:00，下午2:00—6:00。</w:t>
      </w:r>
    </w:p>
    <w:p w14:paraId="7814EB3E">
      <w:pPr>
        <w:keepNext w:val="0"/>
        <w:keepLines w:val="0"/>
        <w:pageBreakBefore w:val="0"/>
        <w:kinsoku/>
        <w:wordWrap/>
        <w:overflowPunct/>
        <w:topLinePunct w:val="0"/>
        <w:autoSpaceDE/>
        <w:autoSpaceDN/>
        <w:bidi w:val="0"/>
        <w:adjustRightInd/>
        <w:snapToGrid/>
        <w:ind w:left="0" w:leftChars="0" w:firstLine="640"/>
        <w:textAlignment w:val="auto"/>
        <w:rPr>
          <w:rFonts w:hint="eastAsia" w:ascii="黑体" w:hAnsi="黑体" w:eastAsia="黑体" w:cs="仿宋_GB2312"/>
        </w:rPr>
      </w:pPr>
      <w:r>
        <w:rPr>
          <w:rFonts w:hint="eastAsia" w:ascii="黑体" w:hAnsi="黑体" w:eastAsia="黑体" w:cs="仿宋_GB2312"/>
        </w:rPr>
        <w:t>十一、收费标准</w:t>
      </w:r>
    </w:p>
    <w:p w14:paraId="766645B8">
      <w:pPr>
        <w:keepNext w:val="0"/>
        <w:keepLines w:val="0"/>
        <w:pageBreakBefore w:val="0"/>
        <w:kinsoku/>
        <w:wordWrap/>
        <w:overflowPunct/>
        <w:topLinePunct w:val="0"/>
        <w:autoSpaceDE/>
        <w:autoSpaceDN/>
        <w:bidi w:val="0"/>
        <w:adjustRightInd/>
        <w:snapToGrid/>
        <w:ind w:left="0" w:leftChars="0" w:firstLine="640"/>
        <w:textAlignment w:val="auto"/>
        <w:rPr>
          <w:rFonts w:hint="eastAsia" w:ascii="仿宋_GB2312" w:hAnsi="黑体" w:cs="仿宋_GB2312"/>
        </w:rPr>
      </w:pPr>
      <w:r>
        <w:rPr>
          <w:rFonts w:hint="eastAsia" w:ascii="仿宋_GB2312" w:hAnsi="黑体" w:cs="仿宋_GB2312"/>
        </w:rPr>
        <w:t>不收费</w:t>
      </w:r>
    </w:p>
    <w:p w14:paraId="5AB328B0">
      <w:pPr>
        <w:keepNext w:val="0"/>
        <w:keepLines w:val="0"/>
        <w:pageBreakBefore w:val="0"/>
        <w:kinsoku/>
        <w:wordWrap/>
        <w:overflowPunct/>
        <w:topLinePunct w:val="0"/>
        <w:autoSpaceDE/>
        <w:autoSpaceDN/>
        <w:bidi w:val="0"/>
        <w:adjustRightInd/>
        <w:snapToGrid/>
        <w:ind w:left="0" w:leftChars="0" w:firstLine="640"/>
        <w:textAlignment w:val="auto"/>
        <w:rPr>
          <w:rFonts w:hint="eastAsia" w:ascii="黑体" w:hAnsi="黑体" w:eastAsia="黑体" w:cs="仿宋_GB2312"/>
        </w:rPr>
      </w:pPr>
      <w:r>
        <w:rPr>
          <w:rFonts w:hint="eastAsia" w:ascii="黑体" w:hAnsi="黑体" w:eastAsia="黑体" w:cs="仿宋_GB2312"/>
        </w:rPr>
        <w:t>十二、特别说明</w:t>
      </w:r>
    </w:p>
    <w:p w14:paraId="27332E5F">
      <w:pPr>
        <w:keepNext w:val="0"/>
        <w:keepLines w:val="0"/>
        <w:pageBreakBefore w:val="0"/>
        <w:kinsoku/>
        <w:wordWrap/>
        <w:overflowPunct/>
        <w:topLinePunct w:val="0"/>
        <w:autoSpaceDE/>
        <w:autoSpaceDN/>
        <w:bidi w:val="0"/>
        <w:adjustRightInd/>
        <w:snapToGrid/>
        <w:ind w:left="0" w:leftChars="0" w:firstLine="640" w:firstLineChars="0"/>
        <w:textAlignment w:val="auto"/>
        <w:outlineLvl w:val="9"/>
        <w:rPr>
          <w:rFonts w:hint="eastAsia" w:ascii="仿宋_GB2312" w:hAnsi="黑体" w:cs="仿宋_GB2312"/>
        </w:rPr>
      </w:pPr>
      <w:r>
        <w:rPr>
          <w:rFonts w:hint="eastAsia" w:ascii="仿宋_GB2312" w:hAnsi="黑体" w:cs="仿宋_GB2312"/>
        </w:rPr>
        <w:t>无</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508" w:bottom="1984" w:left="158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65492E5-C3B6-4DD3-8FDF-B7BAC4EA3CA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FF104D48-13F2-4F7A-A422-D1FBD2645F06}"/>
  </w:font>
  <w:font w:name="方正小标宋简体">
    <w:panose1 w:val="03000509000000000000"/>
    <w:charset w:val="86"/>
    <w:family w:val="auto"/>
    <w:pitch w:val="default"/>
    <w:sig w:usb0="00000001" w:usb1="080E0000" w:usb2="00000000" w:usb3="00000000" w:csb0="00040000" w:csb1="00000000"/>
    <w:embedRegular r:id="rId3" w:fontKey="{53DD667C-2DA2-4061-83EF-297B37235265}"/>
  </w:font>
  <w:font w:name="仿宋">
    <w:panose1 w:val="02010609060101010101"/>
    <w:charset w:val="86"/>
    <w:family w:val="modern"/>
    <w:pitch w:val="default"/>
    <w:sig w:usb0="800002BF" w:usb1="38CF7CFA" w:usb2="00000016" w:usb3="00000000" w:csb0="00040001" w:csb1="00000000"/>
    <w:embedRegular r:id="rId4" w:fontKey="{9E2ADF1C-94FD-41C5-A583-DDF24404D275}"/>
  </w:font>
  <w:font w:name="Segoe UI">
    <w:panose1 w:val="020B0502040204020203"/>
    <w:charset w:val="00"/>
    <w:family w:val="swiss"/>
    <w:pitch w:val="default"/>
    <w:sig w:usb0="E10022FF" w:usb1="C000E47F" w:usb2="00000029" w:usb3="00000000" w:csb0="200001DF" w:csb1="20000000"/>
    <w:embedRegular r:id="rId5" w:fontKey="{072EE002-C8EC-4EE8-9FF7-166587EDB536}"/>
  </w:font>
  <w:font w:name="微软雅黑">
    <w:panose1 w:val="020B0503020204020204"/>
    <w:charset w:val="86"/>
    <w:family w:val="swiss"/>
    <w:pitch w:val="default"/>
    <w:sig w:usb0="80000287" w:usb1="280F3C52" w:usb2="00000016" w:usb3="00000000" w:csb0="0004001F" w:csb1="00000000"/>
    <w:embedRegular r:id="rId6" w:fontKey="{F65C8662-23A7-4017-B78C-51D3A6EF9F2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0B5EE">
    <w:pPr>
      <w:pStyle w:val="3"/>
      <w:ind w:left="0" w:leftChars="0" w:firstLine="0" w:firstLineChars="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79060">
                          <w:pPr>
                            <w:pStyle w:val="3"/>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CF79060">
                    <w:pPr>
                      <w:pStyle w:val="3"/>
                      <w:keepNext w:val="0"/>
                      <w:keepLines w:val="0"/>
                      <w:pageBreakBefore w:val="0"/>
                      <w:widowControl w:val="0"/>
                      <w:kinsoku/>
                      <w:wordWrap/>
                      <w:overflowPunct/>
                      <w:topLinePunct w:val="0"/>
                      <w:bidi w:val="0"/>
                      <w:adjustRightInd/>
                      <w:snapToGrid w:val="0"/>
                      <w:spacing w:line="240" w:lineRule="auto"/>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BC273A">
    <w:pPr>
      <w:pStyle w:val="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121B9">
    <w:pPr>
      <w:pStyle w:val="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0F954">
    <w:pPr>
      <w:pStyle w:val="4"/>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EFA16">
    <w:pPr>
      <w:pStyle w:val="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32200">
    <w:pPr>
      <w:pStyle w:val="4"/>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WI4NTIxMWY0ODE4ZjBhYTM5ZTBjZWJjNjk1YjgifQ=="/>
  </w:docVars>
  <w:rsids>
    <w:rsidRoot w:val="66E370C7"/>
    <w:rsid w:val="000476BA"/>
    <w:rsid w:val="00150DE3"/>
    <w:rsid w:val="00172C5C"/>
    <w:rsid w:val="00371AB1"/>
    <w:rsid w:val="003A7879"/>
    <w:rsid w:val="00440B25"/>
    <w:rsid w:val="00473E47"/>
    <w:rsid w:val="004E50E8"/>
    <w:rsid w:val="0060504E"/>
    <w:rsid w:val="006C6C51"/>
    <w:rsid w:val="00721A7E"/>
    <w:rsid w:val="007B36D6"/>
    <w:rsid w:val="00884AE1"/>
    <w:rsid w:val="00911E0F"/>
    <w:rsid w:val="009F2924"/>
    <w:rsid w:val="00A1389D"/>
    <w:rsid w:val="00A430FD"/>
    <w:rsid w:val="00B152F5"/>
    <w:rsid w:val="00BE11F6"/>
    <w:rsid w:val="00C42F18"/>
    <w:rsid w:val="00DF4AA6"/>
    <w:rsid w:val="00F93ECF"/>
    <w:rsid w:val="01145609"/>
    <w:rsid w:val="012069B2"/>
    <w:rsid w:val="01714809"/>
    <w:rsid w:val="01891B53"/>
    <w:rsid w:val="019F1377"/>
    <w:rsid w:val="0217530D"/>
    <w:rsid w:val="028F43D3"/>
    <w:rsid w:val="039F7177"/>
    <w:rsid w:val="04675A50"/>
    <w:rsid w:val="05171224"/>
    <w:rsid w:val="064A12E8"/>
    <w:rsid w:val="07095017"/>
    <w:rsid w:val="072D11D3"/>
    <w:rsid w:val="07E92F34"/>
    <w:rsid w:val="0854278F"/>
    <w:rsid w:val="085B3B1D"/>
    <w:rsid w:val="087C6411"/>
    <w:rsid w:val="08A72DB3"/>
    <w:rsid w:val="08D20F96"/>
    <w:rsid w:val="08DD0260"/>
    <w:rsid w:val="08E11CBE"/>
    <w:rsid w:val="08EF6E81"/>
    <w:rsid w:val="094E3069"/>
    <w:rsid w:val="097D1872"/>
    <w:rsid w:val="09F2225A"/>
    <w:rsid w:val="0AB47265"/>
    <w:rsid w:val="0ABD0ABF"/>
    <w:rsid w:val="0B136931"/>
    <w:rsid w:val="0B28341B"/>
    <w:rsid w:val="0C1C1816"/>
    <w:rsid w:val="0CC04897"/>
    <w:rsid w:val="0CE51C08"/>
    <w:rsid w:val="0D1C7D1F"/>
    <w:rsid w:val="0D545E2B"/>
    <w:rsid w:val="0DDA3736"/>
    <w:rsid w:val="0E2844A2"/>
    <w:rsid w:val="0E8C2C83"/>
    <w:rsid w:val="106F0166"/>
    <w:rsid w:val="10861C9F"/>
    <w:rsid w:val="11056D1C"/>
    <w:rsid w:val="12541D09"/>
    <w:rsid w:val="12AD0F11"/>
    <w:rsid w:val="12B2579C"/>
    <w:rsid w:val="130C25E4"/>
    <w:rsid w:val="134156A5"/>
    <w:rsid w:val="13E80E38"/>
    <w:rsid w:val="13F16775"/>
    <w:rsid w:val="13F82B68"/>
    <w:rsid w:val="147C5547"/>
    <w:rsid w:val="149C43BD"/>
    <w:rsid w:val="16022C4D"/>
    <w:rsid w:val="163E2900"/>
    <w:rsid w:val="164A7FFD"/>
    <w:rsid w:val="17CF598E"/>
    <w:rsid w:val="183A07EC"/>
    <w:rsid w:val="196E66EE"/>
    <w:rsid w:val="19704F75"/>
    <w:rsid w:val="19F93535"/>
    <w:rsid w:val="1B442115"/>
    <w:rsid w:val="1C2320D6"/>
    <w:rsid w:val="1C4E226B"/>
    <w:rsid w:val="1DCF0496"/>
    <w:rsid w:val="1ECF0BC9"/>
    <w:rsid w:val="1EE2244B"/>
    <w:rsid w:val="1EE75CB3"/>
    <w:rsid w:val="1F332CA6"/>
    <w:rsid w:val="1F8E612F"/>
    <w:rsid w:val="1FE30BF5"/>
    <w:rsid w:val="202A38FF"/>
    <w:rsid w:val="203E5DA7"/>
    <w:rsid w:val="208C7002"/>
    <w:rsid w:val="20914128"/>
    <w:rsid w:val="2110329F"/>
    <w:rsid w:val="21380736"/>
    <w:rsid w:val="21997510"/>
    <w:rsid w:val="21A6495A"/>
    <w:rsid w:val="21F14A0A"/>
    <w:rsid w:val="22235254"/>
    <w:rsid w:val="224E0C8F"/>
    <w:rsid w:val="232F19D7"/>
    <w:rsid w:val="234A2F63"/>
    <w:rsid w:val="237B69CA"/>
    <w:rsid w:val="24121EBE"/>
    <w:rsid w:val="24863878"/>
    <w:rsid w:val="251A511A"/>
    <w:rsid w:val="26C30DB4"/>
    <w:rsid w:val="26DA5E4E"/>
    <w:rsid w:val="26E01966"/>
    <w:rsid w:val="270D09DA"/>
    <w:rsid w:val="27361586"/>
    <w:rsid w:val="276458B0"/>
    <w:rsid w:val="27B54BA0"/>
    <w:rsid w:val="28214015"/>
    <w:rsid w:val="28724840"/>
    <w:rsid w:val="29336F60"/>
    <w:rsid w:val="29BC3988"/>
    <w:rsid w:val="2B653354"/>
    <w:rsid w:val="2C6E3570"/>
    <w:rsid w:val="2CB82A3D"/>
    <w:rsid w:val="2D2D147A"/>
    <w:rsid w:val="2D88240F"/>
    <w:rsid w:val="2E155C92"/>
    <w:rsid w:val="2E793737"/>
    <w:rsid w:val="2E8B7F59"/>
    <w:rsid w:val="2FF02762"/>
    <w:rsid w:val="30110D0C"/>
    <w:rsid w:val="308C2216"/>
    <w:rsid w:val="31A2402A"/>
    <w:rsid w:val="320632FB"/>
    <w:rsid w:val="322A7F39"/>
    <w:rsid w:val="32A8395C"/>
    <w:rsid w:val="34337579"/>
    <w:rsid w:val="34D16D92"/>
    <w:rsid w:val="35F2733B"/>
    <w:rsid w:val="364D63A5"/>
    <w:rsid w:val="36504624"/>
    <w:rsid w:val="36A64625"/>
    <w:rsid w:val="373F4487"/>
    <w:rsid w:val="3774751D"/>
    <w:rsid w:val="388108C3"/>
    <w:rsid w:val="389D76B7"/>
    <w:rsid w:val="38D676C9"/>
    <w:rsid w:val="39D07618"/>
    <w:rsid w:val="3A8723CC"/>
    <w:rsid w:val="3A9E7E8D"/>
    <w:rsid w:val="3AC05299"/>
    <w:rsid w:val="3B702660"/>
    <w:rsid w:val="3C4554FD"/>
    <w:rsid w:val="3C4D31A2"/>
    <w:rsid w:val="3C4D6CFE"/>
    <w:rsid w:val="3CC72F54"/>
    <w:rsid w:val="3D120B93"/>
    <w:rsid w:val="3D8953E4"/>
    <w:rsid w:val="3EF21DDE"/>
    <w:rsid w:val="3FEE25A6"/>
    <w:rsid w:val="404B3E9C"/>
    <w:rsid w:val="40D47DB4"/>
    <w:rsid w:val="42684278"/>
    <w:rsid w:val="4315338C"/>
    <w:rsid w:val="44906321"/>
    <w:rsid w:val="4504461A"/>
    <w:rsid w:val="45216F7A"/>
    <w:rsid w:val="45490368"/>
    <w:rsid w:val="45E06E35"/>
    <w:rsid w:val="46024FFD"/>
    <w:rsid w:val="4654512D"/>
    <w:rsid w:val="46B856BC"/>
    <w:rsid w:val="46C54702"/>
    <w:rsid w:val="476C3235"/>
    <w:rsid w:val="47A125F4"/>
    <w:rsid w:val="47C06F1E"/>
    <w:rsid w:val="47E96C73"/>
    <w:rsid w:val="48C90054"/>
    <w:rsid w:val="48E4709D"/>
    <w:rsid w:val="48F350D1"/>
    <w:rsid w:val="48FF75D2"/>
    <w:rsid w:val="49177011"/>
    <w:rsid w:val="49276B29"/>
    <w:rsid w:val="4A0D21C2"/>
    <w:rsid w:val="4A325785"/>
    <w:rsid w:val="4A3634C7"/>
    <w:rsid w:val="4A3F11C0"/>
    <w:rsid w:val="4ABB53D8"/>
    <w:rsid w:val="4AF84C20"/>
    <w:rsid w:val="4B246E03"/>
    <w:rsid w:val="4B490076"/>
    <w:rsid w:val="4C1D5E36"/>
    <w:rsid w:val="4C5440F5"/>
    <w:rsid w:val="4C891136"/>
    <w:rsid w:val="4CC504AA"/>
    <w:rsid w:val="4CC90623"/>
    <w:rsid w:val="4CF72E5F"/>
    <w:rsid w:val="4D562915"/>
    <w:rsid w:val="4E8C5F86"/>
    <w:rsid w:val="4E9D1D67"/>
    <w:rsid w:val="4F2757CC"/>
    <w:rsid w:val="4F4E3061"/>
    <w:rsid w:val="4FAA0261"/>
    <w:rsid w:val="4FAA2BC4"/>
    <w:rsid w:val="501871CB"/>
    <w:rsid w:val="509727E6"/>
    <w:rsid w:val="50FF1B2E"/>
    <w:rsid w:val="5151508A"/>
    <w:rsid w:val="51575861"/>
    <w:rsid w:val="51EB103B"/>
    <w:rsid w:val="52B0193D"/>
    <w:rsid w:val="53746E0E"/>
    <w:rsid w:val="53EE6BC1"/>
    <w:rsid w:val="546E385E"/>
    <w:rsid w:val="54CD1D19"/>
    <w:rsid w:val="54E72244"/>
    <w:rsid w:val="55A54D6A"/>
    <w:rsid w:val="55A75279"/>
    <w:rsid w:val="561F12B3"/>
    <w:rsid w:val="56452993"/>
    <w:rsid w:val="56B440F1"/>
    <w:rsid w:val="56DA167E"/>
    <w:rsid w:val="57A557E8"/>
    <w:rsid w:val="58040325"/>
    <w:rsid w:val="58BB5FDE"/>
    <w:rsid w:val="593D73AB"/>
    <w:rsid w:val="59411541"/>
    <w:rsid w:val="59D836F4"/>
    <w:rsid w:val="59E24AD2"/>
    <w:rsid w:val="59F65868"/>
    <w:rsid w:val="5A9D6C4B"/>
    <w:rsid w:val="5AB102D2"/>
    <w:rsid w:val="5ACB13CB"/>
    <w:rsid w:val="5B3A23D8"/>
    <w:rsid w:val="5B4D0671"/>
    <w:rsid w:val="5BA83AF9"/>
    <w:rsid w:val="5BB92F72"/>
    <w:rsid w:val="5BDB5C7C"/>
    <w:rsid w:val="5C2C0415"/>
    <w:rsid w:val="5C484BDD"/>
    <w:rsid w:val="5CD56B70"/>
    <w:rsid w:val="5CE46DB3"/>
    <w:rsid w:val="5CFC0DD6"/>
    <w:rsid w:val="5D1A27D4"/>
    <w:rsid w:val="5D7C348F"/>
    <w:rsid w:val="5DAF5613"/>
    <w:rsid w:val="5E602469"/>
    <w:rsid w:val="5E64499C"/>
    <w:rsid w:val="5EC05B97"/>
    <w:rsid w:val="5ED73083"/>
    <w:rsid w:val="5F1D2524"/>
    <w:rsid w:val="60CE7B5E"/>
    <w:rsid w:val="60F70A35"/>
    <w:rsid w:val="61B9080E"/>
    <w:rsid w:val="624B3430"/>
    <w:rsid w:val="633D0FCB"/>
    <w:rsid w:val="63471EB6"/>
    <w:rsid w:val="64016B93"/>
    <w:rsid w:val="64087C00"/>
    <w:rsid w:val="65046244"/>
    <w:rsid w:val="66263F98"/>
    <w:rsid w:val="66680A54"/>
    <w:rsid w:val="66D165FA"/>
    <w:rsid w:val="66E370C7"/>
    <w:rsid w:val="67220183"/>
    <w:rsid w:val="682844B8"/>
    <w:rsid w:val="685C76BD"/>
    <w:rsid w:val="689475E1"/>
    <w:rsid w:val="68F2471A"/>
    <w:rsid w:val="693966D8"/>
    <w:rsid w:val="69783D56"/>
    <w:rsid w:val="69925699"/>
    <w:rsid w:val="6A294DC3"/>
    <w:rsid w:val="6B0F5943"/>
    <w:rsid w:val="6BB32BA4"/>
    <w:rsid w:val="6BF012D0"/>
    <w:rsid w:val="6C156F89"/>
    <w:rsid w:val="6C1B3411"/>
    <w:rsid w:val="6C474C68"/>
    <w:rsid w:val="6C6A4E50"/>
    <w:rsid w:val="6CA35C0F"/>
    <w:rsid w:val="6CBD4F2A"/>
    <w:rsid w:val="6D3E42BD"/>
    <w:rsid w:val="6E5673E4"/>
    <w:rsid w:val="6E81711F"/>
    <w:rsid w:val="6ECD631B"/>
    <w:rsid w:val="6EDA1DC4"/>
    <w:rsid w:val="702B68F1"/>
    <w:rsid w:val="704812DB"/>
    <w:rsid w:val="70BD22BD"/>
    <w:rsid w:val="70C40F7D"/>
    <w:rsid w:val="70F26838"/>
    <w:rsid w:val="71436346"/>
    <w:rsid w:val="71902C0D"/>
    <w:rsid w:val="719C6C6C"/>
    <w:rsid w:val="720A6E64"/>
    <w:rsid w:val="722C2936"/>
    <w:rsid w:val="728C5ACB"/>
    <w:rsid w:val="72E6485D"/>
    <w:rsid w:val="733028FA"/>
    <w:rsid w:val="73685BF0"/>
    <w:rsid w:val="73F76F74"/>
    <w:rsid w:val="751811FF"/>
    <w:rsid w:val="75FF9BB2"/>
    <w:rsid w:val="76911902"/>
    <w:rsid w:val="772A66FE"/>
    <w:rsid w:val="7779061C"/>
    <w:rsid w:val="777E1618"/>
    <w:rsid w:val="778D20C9"/>
    <w:rsid w:val="781840CF"/>
    <w:rsid w:val="78EC72C3"/>
    <w:rsid w:val="78F148D9"/>
    <w:rsid w:val="79030169"/>
    <w:rsid w:val="7941723A"/>
    <w:rsid w:val="7A6C06BC"/>
    <w:rsid w:val="7A796935"/>
    <w:rsid w:val="7B22448E"/>
    <w:rsid w:val="7B4B6542"/>
    <w:rsid w:val="7B5178B1"/>
    <w:rsid w:val="7B9D6653"/>
    <w:rsid w:val="7BC168A4"/>
    <w:rsid w:val="7C7B7C8C"/>
    <w:rsid w:val="7E48248D"/>
    <w:rsid w:val="7F8F11AB"/>
    <w:rsid w:val="7FB6C4A4"/>
    <w:rsid w:val="7FE24F7C"/>
    <w:rsid w:val="E5EA39C4"/>
    <w:rsid w:val="FF6DF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00" w:firstLineChars="200"/>
      <w:jc w:val="both"/>
    </w:pPr>
    <w:rPr>
      <w:rFonts w:ascii="Times New Roman" w:hAnsi="Times New Roman" w:eastAsia="仿宋_GB2312" w:cstheme="minorBidi"/>
      <w:kern w:val="2"/>
      <w:sz w:val="32"/>
      <w:szCs w:val="3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qFormat/>
    <w:uiPriority w:val="0"/>
    <w:pPr>
      <w:jc w:val="left"/>
    </w:pPr>
  </w:style>
  <w:style w:type="paragraph" w:styleId="3">
    <w:name w:val="footer"/>
    <w:basedOn w:val="1"/>
    <w:link w:val="14"/>
    <w:qFormat/>
    <w:uiPriority w:val="0"/>
    <w:pPr>
      <w:tabs>
        <w:tab w:val="center" w:pos="4153"/>
        <w:tab w:val="right" w:pos="8306"/>
      </w:tabs>
      <w:snapToGrid w:val="0"/>
      <w:spacing w:line="240" w:lineRule="atLeast"/>
      <w:jc w:val="left"/>
    </w:pPr>
    <w:rPr>
      <w:sz w:val="18"/>
      <w:szCs w:val="18"/>
    </w:rPr>
  </w:style>
  <w:style w:type="paragraph" w:styleId="4">
    <w:name w:val="header"/>
    <w:basedOn w:val="1"/>
    <w:link w:val="13"/>
    <w:qFormat/>
    <w:uiPriority w:val="0"/>
    <w:pPr>
      <w:tabs>
        <w:tab w:val="center" w:pos="4153"/>
        <w:tab w:val="right" w:pos="8306"/>
      </w:tabs>
      <w:snapToGrid w:val="0"/>
      <w:spacing w:line="240" w:lineRule="atLeast"/>
      <w:jc w:val="center"/>
    </w:pPr>
    <w:rPr>
      <w:sz w:val="18"/>
      <w:szCs w:val="18"/>
    </w:rPr>
  </w:style>
  <w:style w:type="paragraph" w:styleId="5">
    <w:name w:val="toc 1"/>
    <w:basedOn w:val="1"/>
    <w:next w:val="1"/>
    <w:qFormat/>
    <w:uiPriority w:val="0"/>
  </w:style>
  <w:style w:type="paragraph" w:styleId="6">
    <w:name w:val="toc 2"/>
    <w:basedOn w:val="1"/>
    <w:next w:val="1"/>
    <w:qFormat/>
    <w:uiPriority w:val="39"/>
    <w:pPr>
      <w:ind w:left="420" w:leftChars="200"/>
    </w:p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annotation subject"/>
    <w:basedOn w:val="2"/>
    <w:next w:val="2"/>
    <w:link w:val="17"/>
    <w:qFormat/>
    <w:uiPriority w:val="0"/>
    <w:rPr>
      <w:b/>
      <w:bCs/>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basedOn w:val="11"/>
    <w:qFormat/>
    <w:uiPriority w:val="0"/>
    <w:rPr>
      <w:sz w:val="21"/>
      <w:szCs w:val="21"/>
    </w:rPr>
  </w:style>
  <w:style w:type="character" w:customStyle="1" w:styleId="13">
    <w:name w:val="页眉 字符"/>
    <w:basedOn w:val="11"/>
    <w:link w:val="4"/>
    <w:qFormat/>
    <w:uiPriority w:val="0"/>
    <w:rPr>
      <w:rFonts w:eastAsia="仿宋_GB2312" w:cstheme="minorBidi"/>
      <w:kern w:val="2"/>
      <w:sz w:val="18"/>
      <w:szCs w:val="18"/>
    </w:rPr>
  </w:style>
  <w:style w:type="character" w:customStyle="1" w:styleId="14">
    <w:name w:val="页脚 字符"/>
    <w:basedOn w:val="11"/>
    <w:link w:val="3"/>
    <w:qFormat/>
    <w:uiPriority w:val="0"/>
    <w:rPr>
      <w:rFonts w:eastAsia="仿宋_GB2312" w:cstheme="minorBidi"/>
      <w:kern w:val="2"/>
      <w:sz w:val="18"/>
      <w:szCs w:val="18"/>
    </w:rPr>
  </w:style>
  <w:style w:type="paragraph" w:customStyle="1" w:styleId="15">
    <w:name w:val="修订1"/>
    <w:hidden/>
    <w:unhideWhenUsed/>
    <w:qFormat/>
    <w:uiPriority w:val="99"/>
    <w:rPr>
      <w:rFonts w:ascii="Times New Roman" w:hAnsi="Times New Roman" w:eastAsia="仿宋_GB2312" w:cstheme="minorBidi"/>
      <w:kern w:val="2"/>
      <w:sz w:val="32"/>
      <w:szCs w:val="32"/>
      <w:lang w:val="en-US" w:eastAsia="zh-CN" w:bidi="ar-SA"/>
    </w:rPr>
  </w:style>
  <w:style w:type="character" w:customStyle="1" w:styleId="16">
    <w:name w:val="批注文字 字符"/>
    <w:basedOn w:val="11"/>
    <w:link w:val="2"/>
    <w:qFormat/>
    <w:uiPriority w:val="0"/>
    <w:rPr>
      <w:rFonts w:eastAsia="仿宋_GB2312" w:cstheme="minorBidi"/>
      <w:kern w:val="2"/>
      <w:sz w:val="32"/>
      <w:szCs w:val="32"/>
    </w:rPr>
  </w:style>
  <w:style w:type="character" w:customStyle="1" w:styleId="17">
    <w:name w:val="批注主题 字符"/>
    <w:basedOn w:val="16"/>
    <w:link w:val="8"/>
    <w:qFormat/>
    <w:uiPriority w:val="0"/>
    <w:rPr>
      <w:rFonts w:eastAsia="仿宋_GB2312" w:cstheme="minorBidi"/>
      <w:b/>
      <w:bCs/>
      <w:kern w:val="2"/>
      <w:sz w:val="32"/>
      <w:szCs w:val="32"/>
    </w:rPr>
  </w:style>
  <w:style w:type="paragraph" w:customStyle="1" w:styleId="18">
    <w:name w:val="Revision"/>
    <w:hidden/>
    <w:unhideWhenUsed/>
    <w:qFormat/>
    <w:uiPriority w:val="99"/>
    <w:rPr>
      <w:rFonts w:ascii="Times New Roman" w:hAnsi="Times New Roman" w:eastAsia="仿宋_GB2312" w:cstheme="minorBidi"/>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1854</Words>
  <Characters>2071</Characters>
  <Lines>12</Lines>
  <Paragraphs>3</Paragraphs>
  <TotalTime>19</TotalTime>
  <ScaleCrop>false</ScaleCrop>
  <LinksUpToDate>false</LinksUpToDate>
  <CharactersWithSpaces>2073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2024-11-19T14:26:00Z</dcterms:created>
  <dc:creator>Ray</dc:creator>
  <cp:lastModifiedBy>张九峰</cp:lastModifiedBy>
  <cp:lastPrinted>2026-03-25T03:30:00Z</cp:lastPrinted>
  <dcterms:modified xsi:type="dcterms:W3CDTF">2026-10-12T01:10:57Z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2E3D547D27F44781A341FF0C3C0B11C5_13</vt:lpwstr>
  </property>
  <property fmtid="{D5CDD505-2E9C-101B-9397-08002B2CF9AE}" pid="4" name="KSOTemplateDocerSaveRecord">
    <vt:lpwstr>eyJoZGlkIjoiMmMwYmNjZmFlYmZkNDhhN2I5MzI1MmE3Nzk4ZGZiMDMiLCJ1c2VySWQiOiIzNTgxMjQ0NTQifQ==</vt:lpwstr>
  </property>
</Properties>
</file>