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2783E1">
      <w:pPr>
        <w:keepNext w:val="0"/>
        <w:keepLines w:val="0"/>
        <w:pageBreakBefore w:val="0"/>
        <w:kinsoku/>
        <w:wordWrap/>
        <w:overflowPunct/>
        <w:topLinePunct w:val="0"/>
        <w:autoSpaceDE/>
        <w:autoSpaceDN/>
        <w:bidi w:val="0"/>
        <w:spacing w:line="560" w:lineRule="exact"/>
        <w:jc w:val="left"/>
        <w:textAlignment w:val="auto"/>
        <w:outlineLvl w:val="0"/>
      </w:pPr>
      <w:r>
        <w:rPr>
          <w:rFonts w:hint="eastAsia" w:ascii="黑体" w:hAnsi="黑体" w:eastAsia="黑体" w:cs="黑体"/>
          <w:color w:val="auto"/>
          <w:spacing w:val="15"/>
          <w:kern w:val="0"/>
          <w:sz w:val="32"/>
          <w:szCs w:val="32"/>
          <w:shd w:val="clear" w:color="auto" w:fill="FFFFFF"/>
        </w:rPr>
        <w:t>附件</w:t>
      </w:r>
      <w:r>
        <w:rPr>
          <w:rFonts w:hint="eastAsia" w:ascii="黑体" w:hAnsi="黑体" w:eastAsia="黑体" w:cs="黑体"/>
          <w:color w:val="auto"/>
          <w:spacing w:val="15"/>
          <w:kern w:val="0"/>
          <w:sz w:val="32"/>
          <w:szCs w:val="32"/>
          <w:shd w:val="clear" w:color="auto" w:fill="FFFFFF"/>
          <w:lang w:val="en-US" w:eastAsia="zh-CN"/>
        </w:rPr>
        <w:t>4</w:t>
      </w:r>
    </w:p>
    <w:p w14:paraId="26521229">
      <w:pPr>
        <w:keepNext w:val="0"/>
        <w:keepLines w:val="0"/>
        <w:pageBreakBefore w:val="0"/>
        <w:kinsoku/>
        <w:wordWrap/>
        <w:overflowPunct/>
        <w:topLinePunct w:val="0"/>
        <w:autoSpaceDE/>
        <w:autoSpaceDN/>
        <w:bidi w:val="0"/>
        <w:spacing w:line="560" w:lineRule="exact"/>
        <w:jc w:val="center"/>
        <w:textAlignment w:val="auto"/>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2025年度举办职业电竞赛事支持</w:t>
      </w:r>
    </w:p>
    <w:p w14:paraId="4F5618AF">
      <w:pPr>
        <w:keepNext w:val="0"/>
        <w:keepLines w:val="0"/>
        <w:pageBreakBefore w:val="0"/>
        <w:kinsoku/>
        <w:wordWrap/>
        <w:overflowPunct/>
        <w:topLinePunct w:val="0"/>
        <w:autoSpaceDE/>
        <w:autoSpaceDN/>
        <w:bidi w:val="0"/>
        <w:spacing w:line="560" w:lineRule="exact"/>
        <w:jc w:val="center"/>
        <w:textAlignment w:val="auto"/>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办事指南</w:t>
      </w:r>
    </w:p>
    <w:p w14:paraId="27B4DBAA">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rPr>
      </w:pPr>
    </w:p>
    <w:p w14:paraId="2EC11029">
      <w:pPr>
        <w:keepNext w:val="0"/>
        <w:keepLines w:val="0"/>
        <w:pageBreakBefore w:val="0"/>
        <w:kinsoku/>
        <w:wordWrap/>
        <w:overflowPunct/>
        <w:topLinePunct w:val="0"/>
        <w:autoSpaceDE/>
        <w:autoSpaceDN/>
        <w:bidi w:val="0"/>
        <w:spacing w:line="560" w:lineRule="exact"/>
        <w:ind w:firstLine="640" w:firstLineChars="200"/>
        <w:textAlignment w:val="auto"/>
        <w:outlineLvl w:val="0"/>
        <w:rPr>
          <w:rFonts w:ascii="黑体" w:hAnsi="黑体" w:eastAsia="黑体" w:cs="黑体"/>
          <w:color w:val="auto"/>
          <w:kern w:val="0"/>
          <w:sz w:val="32"/>
          <w:szCs w:val="32"/>
        </w:rPr>
      </w:pPr>
      <w:r>
        <w:rPr>
          <w:rFonts w:hint="eastAsia" w:ascii="黑体" w:hAnsi="黑体" w:eastAsia="黑体" w:cs="黑体"/>
          <w:color w:val="auto"/>
          <w:sz w:val="32"/>
          <w:szCs w:val="32"/>
        </w:rPr>
        <w:t>一、政策依据</w:t>
      </w:r>
    </w:p>
    <w:p w14:paraId="30575827">
      <w:pPr>
        <w:pStyle w:val="4"/>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eastAsia="仿宋_GB2312"/>
          <w:bCs/>
          <w:color w:val="auto"/>
          <w:sz w:val="32"/>
          <w:lang w:eastAsia="zh-CN"/>
        </w:rPr>
      </w:pPr>
      <w:r>
        <w:rPr>
          <w:rFonts w:hint="eastAsia" w:ascii="仿宋_GB2312" w:hAnsi="仿宋_GB2312" w:eastAsia="仿宋_GB2312" w:cs="仿宋_GB2312"/>
          <w:sz w:val="32"/>
          <w:szCs w:val="32"/>
        </w:rPr>
        <w:t>《北京经济技术开发区关于促进游戏电竞产业高质量发展的若干措施》</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京技管发〔2026〕8号</w:t>
      </w:r>
      <w:r>
        <w:rPr>
          <w:rFonts w:hint="eastAsia" w:ascii="仿宋_GB2312" w:hAnsi="仿宋_GB2312" w:eastAsia="仿宋_GB2312" w:cs="仿宋_GB2312"/>
          <w:sz w:val="32"/>
          <w:szCs w:val="32"/>
          <w:lang w:eastAsia="zh-CN"/>
        </w:rPr>
        <w:t>）</w:t>
      </w:r>
      <w:r>
        <w:rPr>
          <w:rFonts w:hint="eastAsia" w:ascii="仿宋_GB2312" w:eastAsia="仿宋_GB2312"/>
          <w:bCs/>
          <w:color w:val="auto"/>
          <w:sz w:val="32"/>
          <w:lang w:val="en-US" w:eastAsia="zh-CN"/>
        </w:rPr>
        <w:t>中第7条</w:t>
      </w:r>
      <w:r>
        <w:rPr>
          <w:rFonts w:hint="eastAsia" w:ascii="Times New Roman" w:hAnsi="Times New Roman" w:eastAsia="仿宋_GB2312" w:cs="仿宋_GB2312"/>
          <w:sz w:val="32"/>
          <w:szCs w:val="32"/>
          <w:highlight w:val="none"/>
          <w:shd w:val="clear" w:color="auto" w:fill="FFFFFF"/>
        </w:rPr>
        <w:t>支持举办职业电竞赛事</w:t>
      </w:r>
      <w:r>
        <w:rPr>
          <w:rFonts w:hint="eastAsia" w:ascii="仿宋_GB2312" w:eastAsia="仿宋_GB2312"/>
          <w:bCs/>
          <w:color w:val="auto"/>
          <w:sz w:val="32"/>
          <w:lang w:val="en-US" w:eastAsia="zh-CN"/>
        </w:rPr>
        <w:t>中“</w:t>
      </w:r>
      <w:bookmarkStart w:id="0" w:name="OLE_LINK3"/>
      <w:r>
        <w:rPr>
          <w:rFonts w:hint="eastAsia" w:ascii="仿宋_GB2312" w:hAnsi="仿宋_GB2312" w:eastAsia="仿宋_GB2312" w:cs="仿宋_GB2312"/>
          <w:kern w:val="0"/>
          <w:sz w:val="32"/>
          <w:szCs w:val="32"/>
          <w:highlight w:val="none"/>
          <w:shd w:val="clear" w:color="auto" w:fill="FFFFFF"/>
          <w:lang w:val="en-US" w:eastAsia="zh-CN" w:bidi="ar-SA"/>
        </w:rPr>
        <w:t>支持举办国际、全国性职业电竞赛事，按照赛事主办方或承办方每年度实际支出的赛事奖金、场地租金、赛场搭建、设备租赁费用、赛事宣传推广等赛事相关费用投入的30%给予支持，国际或全国性电竞赛事活动每年最高支持1000万元。</w:t>
      </w:r>
      <w:r>
        <w:rPr>
          <w:rFonts w:hint="eastAsia" w:ascii="仿宋_GB2312" w:eastAsia="仿宋_GB2312"/>
          <w:bCs/>
          <w:color w:val="auto"/>
          <w:sz w:val="32"/>
          <w:lang w:val="en-US" w:eastAsia="zh-CN"/>
        </w:rPr>
        <w:t>”</w:t>
      </w:r>
    </w:p>
    <w:bookmarkEnd w:id="0"/>
    <w:p w14:paraId="134F80D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ascii="黑体" w:hAnsi="黑体" w:eastAsia="黑体" w:cs="黑体"/>
          <w:color w:val="auto"/>
          <w:sz w:val="32"/>
          <w:szCs w:val="32"/>
        </w:rPr>
      </w:pPr>
      <w:r>
        <w:rPr>
          <w:rFonts w:hint="eastAsia" w:ascii="黑体" w:hAnsi="黑体" w:eastAsia="黑体" w:cs="黑体"/>
          <w:color w:val="auto"/>
          <w:sz w:val="32"/>
          <w:szCs w:val="32"/>
        </w:rPr>
        <w:t>二、申报事项</w:t>
      </w:r>
    </w:p>
    <w:p w14:paraId="694CAA6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kern w:val="0"/>
          <w:sz w:val="32"/>
          <w:szCs w:val="32"/>
          <w:highlight w:val="none"/>
          <w:shd w:val="clear" w:color="auto" w:fill="FFFFFF"/>
          <w:lang w:val="en-US" w:eastAsia="zh-CN" w:bidi="ar-SA"/>
        </w:rPr>
      </w:pPr>
      <w:r>
        <w:rPr>
          <w:rFonts w:hint="eastAsia" w:ascii="仿宋_GB2312" w:hAnsi="仿宋_GB2312" w:eastAsia="仿宋_GB2312" w:cs="仿宋_GB2312"/>
          <w:kern w:val="0"/>
          <w:sz w:val="32"/>
          <w:szCs w:val="32"/>
          <w:highlight w:val="none"/>
          <w:shd w:val="clear" w:color="auto" w:fill="FFFFFF"/>
          <w:lang w:val="en-US" w:eastAsia="zh-CN" w:bidi="ar-SA"/>
        </w:rPr>
        <w:t>2025年度举办职业电竞赛事支持</w:t>
      </w:r>
    </w:p>
    <w:p w14:paraId="4E722C2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ascii="黑体" w:hAnsi="黑体" w:eastAsia="黑体" w:cs="黑体"/>
          <w:bCs/>
          <w:color w:val="auto"/>
          <w:kern w:val="0"/>
          <w:sz w:val="32"/>
          <w:szCs w:val="32"/>
        </w:rPr>
      </w:pPr>
      <w:r>
        <w:rPr>
          <w:rFonts w:hint="eastAsia" w:ascii="黑体" w:hAnsi="黑体" w:eastAsia="黑体" w:cs="黑体"/>
          <w:bCs/>
          <w:color w:val="auto"/>
          <w:kern w:val="0"/>
          <w:sz w:val="32"/>
          <w:szCs w:val="32"/>
        </w:rPr>
        <w:t>三、申报条件</w:t>
      </w:r>
    </w:p>
    <w:p w14:paraId="282A6357">
      <w:pPr>
        <w:keepNext w:val="0"/>
        <w:keepLines w:val="0"/>
        <w:pageBreakBefore w:val="0"/>
        <w:kinsoku/>
        <w:wordWrap/>
        <w:overflowPunct/>
        <w:topLinePunct w:val="0"/>
        <w:autoSpaceDE/>
        <w:autoSpaceDN/>
        <w:bidi w:val="0"/>
        <w:spacing w:line="560" w:lineRule="exact"/>
        <w:ind w:firstLine="640" w:firstLineChars="200"/>
        <w:textAlignment w:val="auto"/>
        <w:rPr>
          <w:rStyle w:val="12"/>
          <w:rFonts w:hint="eastAsia" w:ascii="仿宋_GB2312" w:hAnsi="仿宋_GB2312" w:eastAsia="仿宋_GB2312" w:cs="仿宋_GB2312"/>
          <w:b w:val="0"/>
          <w:bCs/>
          <w:color w:val="auto"/>
          <w:sz w:val="32"/>
          <w:szCs w:val="32"/>
          <w:highlight w:val="none"/>
          <w:lang w:val="en-US" w:eastAsia="zh-CN"/>
        </w:rPr>
      </w:pPr>
      <w:r>
        <w:rPr>
          <w:rFonts w:hint="eastAsia" w:ascii="仿宋_GB2312" w:eastAsia="仿宋_GB2312"/>
          <w:bCs/>
          <w:color w:val="auto"/>
          <w:sz w:val="32"/>
          <w:szCs w:val="18"/>
        </w:rPr>
        <w:t>（一）</w:t>
      </w:r>
      <w:r>
        <w:rPr>
          <w:rFonts w:hint="eastAsia" w:ascii="仿宋_GB2312" w:eastAsia="仿宋_GB2312"/>
          <w:bCs/>
          <w:color w:val="000000"/>
          <w:sz w:val="32"/>
          <w:szCs w:val="18"/>
        </w:rPr>
        <w:t>申报主体应具有独立法人资格、实行独立核算</w:t>
      </w:r>
      <w:r>
        <w:rPr>
          <w:rFonts w:hint="eastAsia" w:ascii="仿宋_GB2312" w:eastAsia="仿宋_GB2312"/>
          <w:bCs/>
          <w:color w:val="000000"/>
          <w:sz w:val="32"/>
          <w:szCs w:val="18"/>
          <w:lang w:val="en-US" w:eastAsia="zh-CN"/>
        </w:rPr>
        <w:t>的企事业单位</w:t>
      </w:r>
      <w:r>
        <w:rPr>
          <w:rFonts w:hint="eastAsia" w:ascii="仿宋_GB2312" w:eastAsia="仿宋_GB2312"/>
          <w:bCs/>
          <w:color w:val="000000"/>
          <w:sz w:val="32"/>
          <w:szCs w:val="18"/>
        </w:rPr>
        <w:t>，在</w:t>
      </w:r>
      <w:r>
        <w:rPr>
          <w:rFonts w:hint="eastAsia" w:ascii="仿宋_GB2312" w:hAnsi="仿宋_GB2312" w:eastAsia="仿宋_GB2312" w:cs="仿宋_GB2312"/>
          <w:kern w:val="0"/>
          <w:sz w:val="32"/>
          <w:szCs w:val="32"/>
          <w:lang w:bidi="ar"/>
        </w:rPr>
        <w:t>亦庄新城225平方公里范围内</w:t>
      </w:r>
      <w:r>
        <w:rPr>
          <w:rFonts w:hint="eastAsia" w:ascii="仿宋_GB2312" w:eastAsia="仿宋_GB2312"/>
          <w:bCs/>
          <w:color w:val="000000"/>
          <w:sz w:val="32"/>
          <w:szCs w:val="18"/>
        </w:rPr>
        <w:t>依法</w:t>
      </w:r>
      <w:r>
        <w:rPr>
          <w:rFonts w:hint="eastAsia" w:ascii="仿宋_GB2312" w:eastAsia="仿宋_GB2312"/>
          <w:bCs/>
          <w:color w:val="000000"/>
          <w:sz w:val="32"/>
          <w:szCs w:val="18"/>
          <w:lang w:val="en-US" w:eastAsia="zh-CN"/>
        </w:rPr>
        <w:t>实际经营</w:t>
      </w:r>
      <w:r>
        <w:rPr>
          <w:rFonts w:hint="eastAsia" w:ascii="仿宋_GB2312" w:eastAsia="仿宋_GB2312"/>
          <w:bCs/>
          <w:color w:val="000000"/>
          <w:sz w:val="32"/>
          <w:szCs w:val="18"/>
          <w:lang w:eastAsia="zh-CN"/>
        </w:rPr>
        <w:t>，</w:t>
      </w:r>
      <w:r>
        <w:rPr>
          <w:rFonts w:hint="eastAsia" w:ascii="仿宋_GB2312" w:hAnsi="仿宋_GB2312" w:eastAsia="仿宋_GB2312" w:cs="仿宋_GB2312"/>
          <w:kern w:val="0"/>
          <w:sz w:val="32"/>
          <w:szCs w:val="32"/>
          <w:lang w:bidi="ar"/>
        </w:rPr>
        <w:t>近</w:t>
      </w:r>
      <w:r>
        <w:rPr>
          <w:rFonts w:hint="eastAsia" w:ascii="仿宋_GB2312" w:hAnsi="仿宋_GB2312" w:eastAsia="仿宋_GB2312" w:cs="仿宋_GB2312"/>
          <w:kern w:val="0"/>
          <w:sz w:val="32"/>
          <w:szCs w:val="32"/>
          <w:lang w:val="en-US" w:eastAsia="zh-CN" w:bidi="ar"/>
        </w:rPr>
        <w:t>三</w:t>
      </w:r>
      <w:r>
        <w:rPr>
          <w:rFonts w:hint="eastAsia" w:ascii="仿宋_GB2312" w:hAnsi="仿宋_GB2312" w:eastAsia="仿宋_GB2312" w:cs="仿宋_GB2312"/>
          <w:kern w:val="0"/>
          <w:sz w:val="32"/>
          <w:szCs w:val="32"/>
          <w:lang w:bidi="ar"/>
        </w:rPr>
        <w:t>年无重大行政处罚记录和刑事犯罪记录</w:t>
      </w:r>
      <w:r>
        <w:rPr>
          <w:rFonts w:hint="eastAsia" w:ascii="仿宋_GB2312" w:hAnsi="仿宋_GB2312" w:eastAsia="仿宋_GB2312" w:cs="仿宋_GB2312"/>
          <w:kern w:val="0"/>
          <w:sz w:val="32"/>
          <w:szCs w:val="32"/>
          <w:lang w:eastAsia="zh-CN" w:bidi="ar"/>
        </w:rPr>
        <w:t>，</w:t>
      </w:r>
      <w:r>
        <w:rPr>
          <w:rFonts w:hint="eastAsia" w:ascii="仿宋_GB2312" w:hAnsi="仿宋_GB2312" w:eastAsia="仿宋_GB2312" w:cs="仿宋_GB2312"/>
          <w:kern w:val="0"/>
          <w:sz w:val="32"/>
          <w:szCs w:val="32"/>
          <w:lang w:bidi="ar"/>
        </w:rPr>
        <w:t>未列入严重违法失信主体名单</w:t>
      </w:r>
      <w:r>
        <w:rPr>
          <w:rStyle w:val="12"/>
          <w:rFonts w:hint="eastAsia" w:ascii="仿宋_GB2312" w:hAnsi="仿宋_GB2312" w:eastAsia="仿宋_GB2312" w:cs="仿宋_GB2312"/>
          <w:b w:val="0"/>
          <w:bCs/>
          <w:color w:val="auto"/>
          <w:sz w:val="32"/>
          <w:szCs w:val="32"/>
          <w:highlight w:val="none"/>
          <w:lang w:val="en-US" w:eastAsia="zh-CN"/>
        </w:rPr>
        <w:t>。</w:t>
      </w:r>
    </w:p>
    <w:p w14:paraId="6F6FA2A4">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bidi="ar"/>
        </w:rPr>
        <w:t>（</w:t>
      </w:r>
      <w:r>
        <w:rPr>
          <w:rFonts w:hint="eastAsia" w:ascii="仿宋_GB2312" w:hAnsi="仿宋_GB2312" w:eastAsia="仿宋_GB2312" w:cs="仿宋_GB2312"/>
          <w:kern w:val="0"/>
          <w:sz w:val="32"/>
          <w:szCs w:val="32"/>
          <w:lang w:val="en-US" w:eastAsia="zh-CN" w:bidi="ar"/>
        </w:rPr>
        <w:t>二</w:t>
      </w:r>
      <w:r>
        <w:rPr>
          <w:rFonts w:hint="eastAsia" w:ascii="仿宋_GB2312" w:hAnsi="仿宋_GB2312" w:eastAsia="仿宋_GB2312" w:cs="仿宋_GB2312"/>
          <w:kern w:val="0"/>
          <w:sz w:val="32"/>
          <w:szCs w:val="32"/>
          <w:lang w:bidi="ar"/>
        </w:rPr>
        <w:t>）</w:t>
      </w:r>
      <w:r>
        <w:rPr>
          <w:rFonts w:hint="eastAsia" w:ascii="仿宋_GB2312" w:hAnsi="仿宋_GB2312" w:eastAsia="仿宋_GB2312" w:cs="仿宋_GB2312"/>
          <w:kern w:val="0"/>
          <w:sz w:val="32"/>
          <w:szCs w:val="32"/>
          <w:lang w:val="en-US" w:eastAsia="zh-CN" w:bidi="ar"/>
        </w:rPr>
        <w:t>申报主体举办职业电竞赛事应在亦庄新城范围内，且在2025年已按期举办完成。</w:t>
      </w:r>
    </w:p>
    <w:p w14:paraId="2A9C9F7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0" w:firstLineChars="200"/>
        <w:textAlignment w:val="auto"/>
        <w:rPr>
          <w:rFonts w:hint="eastAsia" w:ascii="仿宋_GB2312" w:eastAsia="仿宋_GB2312" w:cs="仿宋_GB2312"/>
          <w:color w:val="000000"/>
          <w:sz w:val="32"/>
          <w:szCs w:val="32"/>
          <w:lang w:val="en-US" w:eastAsia="zh-CN"/>
        </w:rPr>
      </w:pPr>
      <w:r>
        <w:rPr>
          <w:rFonts w:hint="eastAsia" w:ascii="仿宋_GB2312" w:eastAsia="仿宋_GB2312"/>
          <w:bCs/>
          <w:color w:val="auto"/>
          <w:sz w:val="32"/>
          <w:szCs w:val="18"/>
          <w:lang w:val="en-US" w:eastAsia="zh-CN"/>
        </w:rPr>
        <w:t>（三）</w:t>
      </w:r>
      <w:r>
        <w:rPr>
          <w:rStyle w:val="12"/>
          <w:rFonts w:hint="eastAsia" w:ascii="仿宋_GB2312" w:hAnsi="仿宋_GB2312" w:eastAsia="仿宋_GB2312" w:cs="仿宋_GB2312"/>
          <w:b w:val="0"/>
          <w:bCs/>
          <w:color w:val="auto"/>
          <w:sz w:val="32"/>
          <w:szCs w:val="32"/>
          <w:highlight w:val="none"/>
          <w:lang w:val="en-US" w:eastAsia="zh-CN"/>
        </w:rPr>
        <w:t>申报主体举办的</w:t>
      </w:r>
      <w:r>
        <w:rPr>
          <w:rFonts w:hint="eastAsia" w:ascii="仿宋_GB2312" w:hAnsi="仿宋_GB2312" w:eastAsia="仿宋_GB2312" w:cs="仿宋_GB2312"/>
          <w:kern w:val="0"/>
          <w:sz w:val="32"/>
          <w:szCs w:val="32"/>
          <w:lang w:val="en-US" w:eastAsia="zh-CN" w:bidi="ar"/>
        </w:rPr>
        <w:t>国际职业电竞赛事、全国职业电竞赛事标准参考团体标准《北京市电子竞技赛事分级标准》（T / 2020BEIDA-001-2025）</w:t>
      </w:r>
      <w:r>
        <w:rPr>
          <w:rStyle w:val="12"/>
          <w:rFonts w:hint="eastAsia" w:ascii="仿宋_GB2312" w:hAnsi="仿宋_GB2312" w:eastAsia="仿宋_GB2312" w:cs="仿宋_GB2312"/>
          <w:b w:val="0"/>
          <w:bCs/>
          <w:color w:val="auto"/>
          <w:sz w:val="32"/>
          <w:szCs w:val="32"/>
          <w:highlight w:val="none"/>
          <w:lang w:val="en-US" w:eastAsia="zh-CN"/>
        </w:rPr>
        <w:t>，其相关国际、全国职业电竞赛事</w:t>
      </w:r>
      <w:r>
        <w:rPr>
          <w:rFonts w:hint="eastAsia" w:ascii="仿宋_GB2312" w:eastAsia="仿宋_GB2312" w:cs="仿宋_GB2312"/>
          <w:color w:val="000000"/>
          <w:sz w:val="32"/>
          <w:szCs w:val="32"/>
          <w:lang w:val="en-US" w:eastAsia="zh-CN"/>
        </w:rPr>
        <w:t>如下：</w:t>
      </w:r>
    </w:p>
    <w:p w14:paraId="6129431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0" w:firstLineChars="200"/>
        <w:textAlignment w:val="auto"/>
        <w:rPr>
          <w:rStyle w:val="12"/>
          <w:rFonts w:hint="default" w:ascii="仿宋_GB2312" w:hAnsi="仿宋_GB2312" w:eastAsia="仿宋_GB2312" w:cs="仿宋_GB2312"/>
          <w:b w:val="0"/>
          <w:bCs/>
          <w:color w:val="auto"/>
          <w:sz w:val="32"/>
          <w:szCs w:val="32"/>
          <w:highlight w:val="none"/>
          <w:lang w:val="en-US" w:eastAsia="zh-CN"/>
        </w:rPr>
      </w:pPr>
      <w:r>
        <w:rPr>
          <w:rStyle w:val="12"/>
          <w:rFonts w:hint="default" w:ascii="仿宋_GB2312" w:hAnsi="仿宋_GB2312" w:eastAsia="仿宋_GB2312" w:cs="仿宋_GB2312"/>
          <w:b w:val="0"/>
          <w:bCs/>
          <w:color w:val="auto"/>
          <w:sz w:val="32"/>
          <w:szCs w:val="32"/>
          <w:highlight w:val="none"/>
          <w:lang w:val="en-US" w:eastAsia="zh-CN"/>
        </w:rPr>
        <w:t>1.《英雄联盟》相关赛事</w:t>
      </w:r>
    </w:p>
    <w:p w14:paraId="74C02EAA">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0" w:firstLineChars="200"/>
        <w:textAlignment w:val="auto"/>
        <w:rPr>
          <w:rStyle w:val="12"/>
          <w:rFonts w:hint="default" w:ascii="仿宋_GB2312" w:hAnsi="仿宋_GB2312" w:eastAsia="仿宋_GB2312" w:cs="仿宋_GB2312"/>
          <w:b w:val="0"/>
          <w:bCs/>
          <w:color w:val="auto"/>
          <w:sz w:val="32"/>
          <w:szCs w:val="32"/>
          <w:highlight w:val="none"/>
          <w:lang w:val="en-US" w:eastAsia="zh-CN"/>
        </w:rPr>
      </w:pPr>
      <w:r>
        <w:rPr>
          <w:rStyle w:val="12"/>
          <w:rFonts w:hint="default" w:ascii="仿宋_GB2312" w:hAnsi="仿宋_GB2312" w:eastAsia="仿宋_GB2312" w:cs="仿宋_GB2312"/>
          <w:b w:val="0"/>
          <w:bCs/>
          <w:color w:val="auto"/>
          <w:sz w:val="32"/>
          <w:szCs w:val="32"/>
          <w:highlight w:val="none"/>
          <w:lang w:val="en-US" w:eastAsia="zh-CN"/>
        </w:rPr>
        <w:t>英雄联盟全球总决赛（S赛）【锦标赛】、英雄联盟季中冠军赛【锦标赛】、英雄联盟职业联赛（LPL）【联赛】。</w:t>
      </w:r>
    </w:p>
    <w:p w14:paraId="6A9869DC">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0" w:firstLineChars="200"/>
        <w:textAlignment w:val="auto"/>
        <w:rPr>
          <w:rStyle w:val="12"/>
          <w:rFonts w:hint="default" w:ascii="仿宋_GB2312" w:hAnsi="仿宋_GB2312" w:eastAsia="仿宋_GB2312" w:cs="仿宋_GB2312"/>
          <w:b w:val="0"/>
          <w:bCs/>
          <w:color w:val="auto"/>
          <w:sz w:val="32"/>
          <w:szCs w:val="32"/>
          <w:highlight w:val="none"/>
          <w:lang w:val="en-US" w:eastAsia="zh-CN"/>
        </w:rPr>
      </w:pPr>
      <w:r>
        <w:rPr>
          <w:rStyle w:val="12"/>
          <w:rFonts w:hint="default" w:ascii="仿宋_GB2312" w:hAnsi="仿宋_GB2312" w:eastAsia="仿宋_GB2312" w:cs="仿宋_GB2312"/>
          <w:b w:val="0"/>
          <w:bCs/>
          <w:color w:val="auto"/>
          <w:sz w:val="32"/>
          <w:szCs w:val="32"/>
          <w:highlight w:val="none"/>
          <w:lang w:val="en-US" w:eastAsia="zh-CN"/>
        </w:rPr>
        <w:t>2.《王者荣耀》相关赛事</w:t>
      </w:r>
    </w:p>
    <w:p w14:paraId="6A401EAE">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0" w:firstLineChars="200"/>
        <w:textAlignment w:val="auto"/>
        <w:rPr>
          <w:rStyle w:val="12"/>
          <w:rFonts w:hint="default" w:ascii="仿宋_GB2312" w:hAnsi="仿宋_GB2312" w:eastAsia="仿宋_GB2312" w:cs="仿宋_GB2312"/>
          <w:b w:val="0"/>
          <w:bCs/>
          <w:color w:val="auto"/>
          <w:sz w:val="32"/>
          <w:szCs w:val="32"/>
          <w:highlight w:val="none"/>
          <w:lang w:val="en-US" w:eastAsia="zh-CN"/>
        </w:rPr>
      </w:pPr>
      <w:r>
        <w:rPr>
          <w:rStyle w:val="12"/>
          <w:rFonts w:hint="default" w:ascii="仿宋_GB2312" w:hAnsi="仿宋_GB2312" w:eastAsia="仿宋_GB2312" w:cs="仿宋_GB2312"/>
          <w:b w:val="0"/>
          <w:bCs/>
          <w:color w:val="auto"/>
          <w:sz w:val="32"/>
          <w:szCs w:val="32"/>
          <w:highlight w:val="none"/>
          <w:lang w:val="en-US" w:eastAsia="zh-CN"/>
        </w:rPr>
        <w:t>王者荣耀年度总决赛【锦标赛】、王者荣耀挑战者杯【锦标赛】、王者荣耀职业联赛（KPL）【联赛】。</w:t>
      </w:r>
    </w:p>
    <w:p w14:paraId="2894AE6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0" w:firstLineChars="200"/>
        <w:textAlignment w:val="auto"/>
        <w:rPr>
          <w:rStyle w:val="12"/>
          <w:rFonts w:hint="default" w:ascii="仿宋_GB2312" w:hAnsi="仿宋_GB2312" w:eastAsia="仿宋_GB2312" w:cs="仿宋_GB2312"/>
          <w:b w:val="0"/>
          <w:bCs/>
          <w:color w:val="auto"/>
          <w:sz w:val="32"/>
          <w:szCs w:val="32"/>
          <w:highlight w:val="none"/>
          <w:lang w:val="en-US" w:eastAsia="zh-CN"/>
        </w:rPr>
      </w:pPr>
      <w:r>
        <w:rPr>
          <w:rStyle w:val="12"/>
          <w:rFonts w:hint="default" w:ascii="仿宋_GB2312" w:hAnsi="仿宋_GB2312" w:eastAsia="仿宋_GB2312" w:cs="仿宋_GB2312"/>
          <w:b w:val="0"/>
          <w:bCs/>
          <w:color w:val="auto"/>
          <w:sz w:val="32"/>
          <w:szCs w:val="32"/>
          <w:highlight w:val="none"/>
          <w:lang w:val="en-US" w:eastAsia="zh-CN"/>
        </w:rPr>
        <w:t>3.《DOTA2》相关赛事</w:t>
      </w:r>
    </w:p>
    <w:p w14:paraId="5CFAB62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0" w:firstLineChars="200"/>
        <w:textAlignment w:val="auto"/>
        <w:rPr>
          <w:rStyle w:val="12"/>
          <w:rFonts w:hint="default" w:ascii="仿宋_GB2312" w:hAnsi="仿宋_GB2312" w:eastAsia="仿宋_GB2312" w:cs="仿宋_GB2312"/>
          <w:b w:val="0"/>
          <w:bCs/>
          <w:color w:val="auto"/>
          <w:sz w:val="32"/>
          <w:szCs w:val="32"/>
          <w:highlight w:val="none"/>
          <w:lang w:val="en-US" w:eastAsia="zh-CN"/>
        </w:rPr>
      </w:pPr>
      <w:r>
        <w:rPr>
          <w:rStyle w:val="12"/>
          <w:rFonts w:hint="default" w:ascii="仿宋_GB2312" w:hAnsi="仿宋_GB2312" w:eastAsia="仿宋_GB2312" w:cs="仿宋_GB2312"/>
          <w:b w:val="0"/>
          <w:bCs/>
          <w:color w:val="auto"/>
          <w:sz w:val="32"/>
          <w:szCs w:val="32"/>
          <w:highlight w:val="none"/>
          <w:lang w:val="en-US" w:eastAsia="zh-CN"/>
        </w:rPr>
        <w:t>DOTA2国际邀请赛（TI）【锦标赛】、BLAST系列赛事【锦标赛】。</w:t>
      </w:r>
    </w:p>
    <w:p w14:paraId="18FC5B98">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0" w:firstLineChars="200"/>
        <w:textAlignment w:val="auto"/>
        <w:rPr>
          <w:rStyle w:val="12"/>
          <w:rFonts w:hint="default" w:ascii="仿宋_GB2312" w:hAnsi="仿宋_GB2312" w:eastAsia="仿宋_GB2312" w:cs="仿宋_GB2312"/>
          <w:b w:val="0"/>
          <w:bCs/>
          <w:color w:val="auto"/>
          <w:sz w:val="32"/>
          <w:szCs w:val="32"/>
          <w:highlight w:val="none"/>
          <w:lang w:val="en-US" w:eastAsia="zh-CN"/>
        </w:rPr>
      </w:pPr>
      <w:r>
        <w:rPr>
          <w:rStyle w:val="12"/>
          <w:rFonts w:hint="default" w:ascii="仿宋_GB2312" w:hAnsi="仿宋_GB2312" w:eastAsia="仿宋_GB2312" w:cs="仿宋_GB2312"/>
          <w:b w:val="0"/>
          <w:bCs/>
          <w:color w:val="auto"/>
          <w:sz w:val="32"/>
          <w:szCs w:val="32"/>
          <w:highlight w:val="none"/>
          <w:lang w:val="en-US" w:eastAsia="zh-CN"/>
        </w:rPr>
        <w:t>4.《反恐精英2》（CS2）相关赛事</w:t>
      </w:r>
    </w:p>
    <w:p w14:paraId="60336352">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0" w:firstLineChars="200"/>
        <w:textAlignment w:val="auto"/>
        <w:rPr>
          <w:rStyle w:val="12"/>
          <w:rFonts w:hint="default" w:ascii="仿宋_GB2312" w:hAnsi="仿宋_GB2312" w:eastAsia="仿宋_GB2312" w:cs="仿宋_GB2312"/>
          <w:b w:val="0"/>
          <w:bCs/>
          <w:color w:val="auto"/>
          <w:sz w:val="32"/>
          <w:szCs w:val="32"/>
          <w:highlight w:val="none"/>
          <w:lang w:val="en-US" w:eastAsia="zh-CN"/>
        </w:rPr>
      </w:pPr>
      <w:r>
        <w:rPr>
          <w:rStyle w:val="12"/>
          <w:rFonts w:hint="default" w:ascii="仿宋_GB2312" w:hAnsi="仿宋_GB2312" w:eastAsia="仿宋_GB2312" w:cs="仿宋_GB2312"/>
          <w:b w:val="0"/>
          <w:bCs/>
          <w:color w:val="auto"/>
          <w:sz w:val="32"/>
          <w:szCs w:val="32"/>
          <w:highlight w:val="none"/>
          <w:lang w:val="en-US" w:eastAsia="zh-CN"/>
        </w:rPr>
        <w:t>英特尔极限大师赛（IEM）【锦标赛】、ESL Pro League 【锦标赛】、BLAST系列赛事【锦标赛】。</w:t>
      </w:r>
    </w:p>
    <w:p w14:paraId="7D0B672C">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0" w:firstLineChars="200"/>
        <w:textAlignment w:val="auto"/>
        <w:rPr>
          <w:rStyle w:val="12"/>
          <w:rFonts w:hint="default" w:ascii="仿宋_GB2312" w:hAnsi="仿宋_GB2312" w:eastAsia="仿宋_GB2312" w:cs="仿宋_GB2312"/>
          <w:b w:val="0"/>
          <w:bCs/>
          <w:color w:val="auto"/>
          <w:sz w:val="32"/>
          <w:szCs w:val="32"/>
          <w:highlight w:val="none"/>
          <w:lang w:val="en-US" w:eastAsia="zh-CN"/>
        </w:rPr>
      </w:pPr>
      <w:r>
        <w:rPr>
          <w:rStyle w:val="12"/>
          <w:rFonts w:hint="default" w:ascii="仿宋_GB2312" w:hAnsi="仿宋_GB2312" w:eastAsia="仿宋_GB2312" w:cs="仿宋_GB2312"/>
          <w:b w:val="0"/>
          <w:bCs/>
          <w:color w:val="auto"/>
          <w:sz w:val="32"/>
          <w:szCs w:val="32"/>
          <w:highlight w:val="none"/>
          <w:lang w:val="en-US" w:eastAsia="zh-CN"/>
        </w:rPr>
        <w:t>5.《和平精英》相关赛事</w:t>
      </w:r>
    </w:p>
    <w:p w14:paraId="6D2162B0">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0" w:firstLineChars="200"/>
        <w:textAlignment w:val="auto"/>
        <w:rPr>
          <w:rStyle w:val="12"/>
          <w:rFonts w:hint="default" w:ascii="仿宋_GB2312" w:hAnsi="仿宋_GB2312" w:eastAsia="仿宋_GB2312" w:cs="仿宋_GB2312"/>
          <w:b w:val="0"/>
          <w:bCs/>
          <w:color w:val="auto"/>
          <w:sz w:val="32"/>
          <w:szCs w:val="32"/>
          <w:highlight w:val="none"/>
          <w:lang w:val="en-US" w:eastAsia="zh-CN"/>
        </w:rPr>
      </w:pPr>
      <w:r>
        <w:rPr>
          <w:rStyle w:val="12"/>
          <w:rFonts w:hint="default" w:ascii="仿宋_GB2312" w:hAnsi="仿宋_GB2312" w:eastAsia="仿宋_GB2312" w:cs="仿宋_GB2312"/>
          <w:b w:val="0"/>
          <w:bCs/>
          <w:color w:val="auto"/>
          <w:sz w:val="32"/>
          <w:szCs w:val="32"/>
          <w:highlight w:val="none"/>
          <w:lang w:val="en-US" w:eastAsia="zh-CN"/>
        </w:rPr>
        <w:t>和平精英全球总决赛（PMGC）【锦标赛】、和平精英职业联赛（PEL）【联赛】。</w:t>
      </w:r>
    </w:p>
    <w:p w14:paraId="3E56BD2E">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0" w:firstLineChars="200"/>
        <w:textAlignment w:val="auto"/>
        <w:rPr>
          <w:rStyle w:val="12"/>
          <w:rFonts w:hint="default" w:ascii="仿宋_GB2312" w:hAnsi="仿宋_GB2312" w:eastAsia="仿宋_GB2312" w:cs="仿宋_GB2312"/>
          <w:b w:val="0"/>
          <w:bCs/>
          <w:color w:val="auto"/>
          <w:sz w:val="32"/>
          <w:szCs w:val="32"/>
          <w:highlight w:val="none"/>
          <w:lang w:val="en-US" w:eastAsia="zh-CN"/>
        </w:rPr>
      </w:pPr>
      <w:r>
        <w:rPr>
          <w:rStyle w:val="12"/>
          <w:rFonts w:hint="default" w:ascii="仿宋_GB2312" w:hAnsi="仿宋_GB2312" w:eastAsia="仿宋_GB2312" w:cs="仿宋_GB2312"/>
          <w:b w:val="0"/>
          <w:bCs/>
          <w:color w:val="auto"/>
          <w:sz w:val="32"/>
          <w:szCs w:val="32"/>
          <w:highlight w:val="none"/>
          <w:lang w:val="en-US" w:eastAsia="zh-CN"/>
        </w:rPr>
        <w:t>6.《无畏契约》相关赛事</w:t>
      </w:r>
    </w:p>
    <w:p w14:paraId="2AA09B4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0" w:firstLineChars="200"/>
        <w:textAlignment w:val="auto"/>
        <w:rPr>
          <w:rStyle w:val="12"/>
          <w:rFonts w:hint="default" w:ascii="仿宋_GB2312" w:hAnsi="仿宋_GB2312" w:eastAsia="仿宋_GB2312" w:cs="仿宋_GB2312"/>
          <w:b w:val="0"/>
          <w:bCs/>
          <w:color w:val="auto"/>
          <w:sz w:val="32"/>
          <w:szCs w:val="32"/>
          <w:highlight w:val="none"/>
          <w:lang w:val="en-US" w:eastAsia="zh-CN"/>
        </w:rPr>
      </w:pPr>
      <w:r>
        <w:rPr>
          <w:rStyle w:val="12"/>
          <w:rFonts w:hint="default" w:ascii="仿宋_GB2312" w:hAnsi="仿宋_GB2312" w:eastAsia="仿宋_GB2312" w:cs="仿宋_GB2312"/>
          <w:b w:val="0"/>
          <w:bCs/>
          <w:color w:val="auto"/>
          <w:sz w:val="32"/>
          <w:szCs w:val="32"/>
          <w:highlight w:val="none"/>
          <w:lang w:val="en-US" w:eastAsia="zh-CN"/>
        </w:rPr>
        <w:t>无畏契约全球冠军赛【锦标赛】、无畏契约大师赛【锦标赛】、无畏契约冠军巡回赛CN联赛【联赛】</w:t>
      </w:r>
      <w:r>
        <w:rPr>
          <w:rStyle w:val="12"/>
          <w:rFonts w:hint="eastAsia" w:ascii="仿宋_GB2312" w:hAnsi="仿宋_GB2312" w:eastAsia="仿宋_GB2312" w:cs="仿宋_GB2312"/>
          <w:b w:val="0"/>
          <w:bCs/>
          <w:color w:val="auto"/>
          <w:sz w:val="32"/>
          <w:szCs w:val="32"/>
          <w:highlight w:val="none"/>
          <w:lang w:val="en-US" w:eastAsia="zh-CN"/>
        </w:rPr>
        <w:t>。</w:t>
      </w:r>
    </w:p>
    <w:p w14:paraId="3F0B111B">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0" w:firstLineChars="200"/>
        <w:textAlignment w:val="auto"/>
        <w:rPr>
          <w:rStyle w:val="12"/>
          <w:rFonts w:hint="default" w:ascii="仿宋_GB2312" w:hAnsi="仿宋_GB2312" w:eastAsia="仿宋_GB2312" w:cs="仿宋_GB2312"/>
          <w:b w:val="0"/>
          <w:bCs/>
          <w:color w:val="auto"/>
          <w:sz w:val="32"/>
          <w:szCs w:val="32"/>
          <w:highlight w:val="none"/>
          <w:lang w:val="en-US" w:eastAsia="zh-CN"/>
        </w:rPr>
      </w:pPr>
      <w:r>
        <w:rPr>
          <w:rStyle w:val="12"/>
          <w:rFonts w:hint="default" w:ascii="仿宋_GB2312" w:hAnsi="仿宋_GB2312" w:eastAsia="仿宋_GB2312" w:cs="仿宋_GB2312"/>
          <w:b w:val="0"/>
          <w:bCs/>
          <w:color w:val="auto"/>
          <w:sz w:val="32"/>
          <w:szCs w:val="32"/>
          <w:highlight w:val="none"/>
          <w:lang w:val="en-US" w:eastAsia="zh-CN"/>
        </w:rPr>
        <w:t>7.《决胜巅峰》相关赛事</w:t>
      </w:r>
    </w:p>
    <w:p w14:paraId="5944305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0" w:firstLineChars="200"/>
        <w:textAlignment w:val="auto"/>
        <w:rPr>
          <w:rStyle w:val="12"/>
          <w:rFonts w:hint="default" w:ascii="仿宋_GB2312" w:hAnsi="仿宋_GB2312" w:eastAsia="仿宋_GB2312" w:cs="仿宋_GB2312"/>
          <w:b w:val="0"/>
          <w:bCs/>
          <w:color w:val="auto"/>
          <w:sz w:val="32"/>
          <w:szCs w:val="32"/>
          <w:highlight w:val="none"/>
          <w:lang w:val="en-US" w:eastAsia="zh-CN"/>
        </w:rPr>
      </w:pPr>
      <w:r>
        <w:rPr>
          <w:rStyle w:val="12"/>
          <w:rFonts w:hint="default" w:ascii="仿宋_GB2312" w:hAnsi="仿宋_GB2312" w:eastAsia="仿宋_GB2312" w:cs="仿宋_GB2312"/>
          <w:b w:val="0"/>
          <w:bCs/>
          <w:color w:val="auto"/>
          <w:sz w:val="32"/>
          <w:szCs w:val="32"/>
          <w:highlight w:val="none"/>
          <w:lang w:val="en-US" w:eastAsia="zh-CN"/>
        </w:rPr>
        <w:t>决胜巅峰全球总决赛（M赛）【锦标赛】、决赛巅峰季中冠军赛【锦标赛】。</w:t>
      </w:r>
    </w:p>
    <w:p w14:paraId="0FCFD8C3">
      <w:pPr>
        <w:spacing w:line="560" w:lineRule="exact"/>
        <w:ind w:leftChars="0" w:firstLine="643" w:firstLineChars="200"/>
        <w:rPr>
          <w:rStyle w:val="12"/>
          <w:rFonts w:ascii="仿宋_GB2312" w:hAnsi="仿宋_GB2312" w:eastAsia="仿宋_GB2312" w:cs="仿宋_GB2312"/>
          <w:b w:val="0"/>
          <w:bCs/>
          <w:color w:val="auto"/>
          <w:sz w:val="32"/>
          <w:szCs w:val="32"/>
          <w:highlight w:val="none"/>
        </w:rPr>
      </w:pPr>
      <w:r>
        <w:rPr>
          <w:rStyle w:val="12"/>
          <w:rFonts w:hint="eastAsia" w:ascii="仿宋_GB2312" w:hAnsi="仿宋_GB2312" w:eastAsia="仿宋_GB2312" w:cs="仿宋_GB2312"/>
          <w:bCs/>
          <w:color w:val="auto"/>
          <w:sz w:val="32"/>
          <w:szCs w:val="32"/>
          <w:highlight w:val="none"/>
          <w:lang w:val="en-US" w:eastAsia="zh-CN"/>
        </w:rPr>
        <w:t>8.</w:t>
      </w:r>
      <w:r>
        <w:rPr>
          <w:rStyle w:val="12"/>
          <w:rFonts w:ascii="仿宋_GB2312" w:hAnsi="仿宋_GB2312" w:eastAsia="仿宋_GB2312" w:cs="仿宋_GB2312"/>
          <w:b w:val="0"/>
          <w:bCs/>
          <w:color w:val="auto"/>
          <w:sz w:val="32"/>
          <w:szCs w:val="32"/>
          <w:highlight w:val="none"/>
        </w:rPr>
        <w:t>《三角洲行动》相关赛事</w:t>
      </w:r>
    </w:p>
    <w:p w14:paraId="5D5D08B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0" w:firstLineChars="200"/>
        <w:textAlignment w:val="auto"/>
        <w:rPr>
          <w:rStyle w:val="12"/>
          <w:rFonts w:hint="default" w:ascii="仿宋_GB2312" w:hAnsi="仿宋_GB2312" w:eastAsia="仿宋_GB2312" w:cs="仿宋_GB2312"/>
          <w:b w:val="0"/>
          <w:bCs/>
          <w:color w:val="auto"/>
          <w:sz w:val="32"/>
          <w:szCs w:val="32"/>
          <w:highlight w:val="none"/>
          <w:lang w:val="en-US" w:eastAsia="zh-CN"/>
        </w:rPr>
      </w:pPr>
      <w:r>
        <w:rPr>
          <w:rStyle w:val="12"/>
          <w:rFonts w:hint="default" w:ascii="仿宋_GB2312" w:hAnsi="仿宋_GB2312" w:eastAsia="仿宋_GB2312" w:cs="仿宋_GB2312"/>
          <w:b w:val="0"/>
          <w:bCs/>
          <w:color w:val="auto"/>
          <w:sz w:val="32"/>
          <w:szCs w:val="32"/>
          <w:highlight w:val="none"/>
          <w:lang w:val="en-US" w:eastAsia="zh-CN"/>
        </w:rPr>
        <w:t>烽火世界杯【锦标赛】、烽火职业联赛（春季赛/夏季赛）【联赛】</w:t>
      </w:r>
      <w:r>
        <w:rPr>
          <w:rStyle w:val="12"/>
          <w:rFonts w:hint="eastAsia" w:ascii="仿宋_GB2312" w:hAnsi="仿宋_GB2312" w:eastAsia="仿宋_GB2312" w:cs="仿宋_GB2312"/>
          <w:b w:val="0"/>
          <w:bCs/>
          <w:color w:val="auto"/>
          <w:sz w:val="32"/>
          <w:szCs w:val="32"/>
          <w:highlight w:val="none"/>
          <w:lang w:val="en-US" w:eastAsia="zh-CN"/>
        </w:rPr>
        <w:t>。</w:t>
      </w:r>
    </w:p>
    <w:p w14:paraId="07AB839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0" w:firstLineChars="200"/>
        <w:textAlignment w:val="auto"/>
        <w:rPr>
          <w:rStyle w:val="12"/>
          <w:rFonts w:hint="default" w:ascii="仿宋_GB2312" w:hAnsi="仿宋_GB2312" w:eastAsia="仿宋_GB2312" w:cs="仿宋_GB2312"/>
          <w:b w:val="0"/>
          <w:bCs/>
          <w:color w:val="auto"/>
          <w:sz w:val="32"/>
          <w:szCs w:val="32"/>
          <w:highlight w:val="none"/>
          <w:lang w:val="en-US" w:eastAsia="zh-CN"/>
        </w:rPr>
      </w:pPr>
      <w:r>
        <w:rPr>
          <w:rStyle w:val="12"/>
          <w:rFonts w:hint="eastAsia" w:ascii="仿宋_GB2312" w:hAnsi="仿宋_GB2312" w:eastAsia="仿宋_GB2312" w:cs="仿宋_GB2312"/>
          <w:b w:val="0"/>
          <w:bCs/>
          <w:color w:val="auto"/>
          <w:sz w:val="32"/>
          <w:szCs w:val="32"/>
          <w:highlight w:val="none"/>
          <w:lang w:val="en-US" w:eastAsia="zh-CN"/>
        </w:rPr>
        <w:t>9</w:t>
      </w:r>
      <w:r>
        <w:rPr>
          <w:rStyle w:val="12"/>
          <w:rFonts w:hint="default" w:ascii="仿宋_GB2312" w:hAnsi="仿宋_GB2312" w:eastAsia="仿宋_GB2312" w:cs="仿宋_GB2312"/>
          <w:b w:val="0"/>
          <w:bCs/>
          <w:color w:val="auto"/>
          <w:sz w:val="32"/>
          <w:szCs w:val="32"/>
          <w:highlight w:val="none"/>
          <w:lang w:val="en-US" w:eastAsia="zh-CN"/>
        </w:rPr>
        <w:t>.其他热门赛事</w:t>
      </w:r>
    </w:p>
    <w:p w14:paraId="72A4CF7B">
      <w:pPr>
        <w:pStyle w:val="4"/>
        <w:spacing w:line="560" w:lineRule="exact"/>
        <w:ind w:firstLine="640" w:firstLineChars="200"/>
        <w:rPr>
          <w:rFonts w:hint="eastAsia"/>
          <w:lang w:eastAsia="zh-CN"/>
        </w:rPr>
      </w:pPr>
      <w:r>
        <w:rPr>
          <w:rStyle w:val="12"/>
          <w:rFonts w:hint="default" w:ascii="仿宋_GB2312" w:hAnsi="仿宋_GB2312" w:eastAsia="仿宋_GB2312" w:cs="仿宋_GB2312"/>
          <w:b w:val="0"/>
          <w:bCs/>
          <w:color w:val="auto"/>
          <w:sz w:val="32"/>
          <w:szCs w:val="32"/>
          <w:highlight w:val="none"/>
          <w:lang w:val="en-US" w:eastAsia="zh-CN"/>
        </w:rPr>
        <w:t>电子竞技世界杯（EWC）、亚洲电子竞技冠军联赛（ACL）等。</w:t>
      </w:r>
    </w:p>
    <w:p w14:paraId="7FFD2140">
      <w:pPr>
        <w:keepNext w:val="0"/>
        <w:keepLines w:val="0"/>
        <w:pageBreakBefore w:val="0"/>
        <w:kinsoku/>
        <w:wordWrap/>
        <w:overflowPunct/>
        <w:topLinePunct w:val="0"/>
        <w:autoSpaceDE/>
        <w:autoSpaceDN/>
        <w:bidi w:val="0"/>
        <w:spacing w:line="560" w:lineRule="exact"/>
        <w:ind w:firstLine="640" w:firstLineChars="200"/>
        <w:textAlignment w:val="auto"/>
        <w:outlineLvl w:val="0"/>
        <w:rPr>
          <w:rFonts w:hint="eastAsia" w:ascii="黑体" w:hAnsi="黑体" w:eastAsia="黑体" w:cs="黑体"/>
          <w:bCs/>
          <w:color w:val="auto"/>
          <w:kern w:val="0"/>
          <w:sz w:val="32"/>
          <w:szCs w:val="32"/>
        </w:rPr>
      </w:pPr>
      <w:r>
        <w:rPr>
          <w:rFonts w:hint="eastAsia" w:ascii="黑体" w:hAnsi="黑体" w:eastAsia="黑体" w:cs="黑体"/>
          <w:bCs/>
          <w:color w:val="auto"/>
          <w:kern w:val="0"/>
          <w:sz w:val="32"/>
          <w:szCs w:val="32"/>
        </w:rPr>
        <w:t>四、支持内容及标准</w:t>
      </w:r>
    </w:p>
    <w:p w14:paraId="71B28284">
      <w:pPr>
        <w:pStyle w:val="4"/>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bCs/>
          <w:color w:val="auto"/>
          <w:kern w:val="2"/>
          <w:sz w:val="32"/>
          <w:szCs w:val="18"/>
          <w:lang w:val="en-US" w:eastAsia="zh-CN" w:bidi="ar-SA"/>
        </w:rPr>
      </w:pPr>
      <w:r>
        <w:rPr>
          <w:rFonts w:hint="eastAsia" w:ascii="仿宋_GB2312" w:hAnsi="Times New Roman" w:eastAsia="仿宋_GB2312" w:cs="Times New Roman"/>
          <w:bCs/>
          <w:color w:val="auto"/>
          <w:kern w:val="2"/>
          <w:sz w:val="32"/>
          <w:szCs w:val="18"/>
          <w:lang w:val="en-US" w:eastAsia="zh-CN" w:bidi="ar-SA"/>
        </w:rPr>
        <w:t>（一）按照赛事主办方或承办方</w:t>
      </w:r>
      <w:r>
        <w:rPr>
          <w:rFonts w:hint="eastAsia" w:ascii="仿宋_GB2312" w:eastAsia="仿宋_GB2312" w:cs="Times New Roman"/>
          <w:bCs/>
          <w:color w:val="auto"/>
          <w:kern w:val="2"/>
          <w:sz w:val="32"/>
          <w:szCs w:val="18"/>
          <w:lang w:val="en-US" w:eastAsia="zh-CN" w:bidi="ar-SA"/>
        </w:rPr>
        <w:t>2025</w:t>
      </w:r>
      <w:r>
        <w:rPr>
          <w:rFonts w:hint="eastAsia" w:ascii="仿宋_GB2312" w:hAnsi="Times New Roman" w:eastAsia="仿宋_GB2312" w:cs="Times New Roman"/>
          <w:bCs/>
          <w:color w:val="auto"/>
          <w:kern w:val="2"/>
          <w:sz w:val="32"/>
          <w:szCs w:val="18"/>
          <w:lang w:val="en-US" w:eastAsia="zh-CN" w:bidi="ar-SA"/>
        </w:rPr>
        <w:t>年度实际支出的赛事奖金、场地租金、赛场搭建、设备租赁费用、赛事宣传推广等赛事相关费用投入30%给予支持，国际赛事每年最高支持1000万元，全国赛事每年最高500万元。</w:t>
      </w:r>
    </w:p>
    <w:p w14:paraId="09869A77">
      <w:pPr>
        <w:pStyle w:val="4"/>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eastAsia="仿宋_GB2312"/>
          <w:bCs/>
          <w:color w:val="auto"/>
          <w:sz w:val="32"/>
          <w:szCs w:val="18"/>
          <w:lang w:val="en-US" w:eastAsia="zh-CN"/>
        </w:rPr>
        <w:t>（二）</w:t>
      </w:r>
      <w:r>
        <w:rPr>
          <w:rFonts w:hint="eastAsia" w:ascii="仿宋_GB2312" w:hAnsi="仿宋_GB2312" w:eastAsia="仿宋_GB2312" w:cs="仿宋_GB2312"/>
          <w:color w:val="auto"/>
          <w:sz w:val="32"/>
          <w:szCs w:val="32"/>
        </w:rPr>
        <w:t>同一项目符合多项支持内容的，按照从高不重复的原则予以支持。</w:t>
      </w:r>
      <w:r>
        <w:rPr>
          <w:rFonts w:hint="eastAsia" w:ascii="仿宋_GB2312" w:hAnsi="仿宋_GB2312" w:eastAsia="仿宋_GB2312" w:cs="仿宋_GB2312"/>
          <w:sz w:val="32"/>
          <w:szCs w:val="32"/>
        </w:rPr>
        <w:t>支持金额以万元为单位，保留一位小数，低于1万元不予兑现，不足千元部分舍去。</w:t>
      </w:r>
    </w:p>
    <w:p w14:paraId="60D70AE6">
      <w:pPr>
        <w:keepNext w:val="0"/>
        <w:keepLines w:val="0"/>
        <w:pageBreakBefore w:val="0"/>
        <w:kinsoku/>
        <w:wordWrap/>
        <w:overflowPunct/>
        <w:topLinePunct w:val="0"/>
        <w:autoSpaceDE/>
        <w:autoSpaceDN/>
        <w:bidi w:val="0"/>
        <w:spacing w:line="560" w:lineRule="exact"/>
        <w:ind w:firstLine="640" w:firstLineChars="200"/>
        <w:textAlignment w:val="auto"/>
        <w:outlineLvl w:val="0"/>
        <w:rPr>
          <w:rFonts w:hint="eastAsia" w:ascii="黑体" w:hAnsi="黑体" w:eastAsia="黑体" w:cs="黑体"/>
          <w:bCs/>
          <w:color w:val="auto"/>
          <w:kern w:val="0"/>
          <w:sz w:val="32"/>
          <w:szCs w:val="32"/>
        </w:rPr>
      </w:pPr>
      <w:r>
        <w:rPr>
          <w:rFonts w:hint="eastAsia" w:ascii="黑体" w:hAnsi="黑体" w:eastAsia="黑体" w:cs="黑体"/>
          <w:bCs/>
          <w:color w:val="auto"/>
          <w:kern w:val="0"/>
          <w:sz w:val="32"/>
          <w:szCs w:val="32"/>
        </w:rPr>
        <w:t>五、申报材料及要求</w:t>
      </w:r>
    </w:p>
    <w:p w14:paraId="4F1AFB3C">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w:t>
      </w:r>
      <w:r>
        <w:rPr>
          <w:rFonts w:ascii="仿宋_GB2312" w:hAnsi="仿宋_GB2312" w:eastAsia="仿宋_GB2312" w:cs="仿宋_GB2312"/>
          <w:color w:val="auto"/>
          <w:sz w:val="32"/>
          <w:szCs w:val="32"/>
        </w:rPr>
        <w:t>202</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年度</w:t>
      </w:r>
      <w:r>
        <w:rPr>
          <w:rFonts w:hint="eastAsia" w:ascii="仿宋_GB2312" w:hAnsi="仿宋_GB2312" w:eastAsia="仿宋_GB2312" w:cs="仿宋_GB2312"/>
          <w:color w:val="auto"/>
          <w:sz w:val="32"/>
          <w:szCs w:val="32"/>
          <w:lang w:val="en-US" w:eastAsia="zh-CN"/>
        </w:rPr>
        <w:t>举办</w:t>
      </w:r>
      <w:r>
        <w:rPr>
          <w:rFonts w:hint="eastAsia" w:ascii="仿宋_GB2312" w:hAnsi="仿宋_GB2312" w:eastAsia="仿宋_GB2312" w:cs="仿宋_GB2312"/>
          <w:color w:val="auto"/>
          <w:sz w:val="32"/>
          <w:szCs w:val="32"/>
        </w:rPr>
        <w:t>职业电竞赛事</w:t>
      </w:r>
      <w:r>
        <w:rPr>
          <w:rFonts w:hint="eastAsia" w:ascii="仿宋_GB2312" w:hAnsi="仿宋_GB2312" w:eastAsia="仿宋_GB2312" w:cs="仿宋_GB2312"/>
          <w:color w:val="auto"/>
          <w:sz w:val="32"/>
          <w:szCs w:val="32"/>
          <w:lang w:eastAsia="zh-CN"/>
        </w:rPr>
        <w:t>支持</w:t>
      </w:r>
      <w:r>
        <w:rPr>
          <w:rFonts w:hint="eastAsia" w:ascii="仿宋_GB2312" w:hAnsi="仿宋_GB2312" w:eastAsia="仿宋_GB2312" w:cs="仿宋_GB2312"/>
          <w:color w:val="auto"/>
          <w:sz w:val="32"/>
          <w:szCs w:val="32"/>
        </w:rPr>
        <w:t>申报表，在线填写；</w:t>
      </w:r>
    </w:p>
    <w:p w14:paraId="789A1C11">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2.企业营业执照，选取电子证照；</w:t>
      </w:r>
    </w:p>
    <w:p w14:paraId="39BA52F9">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3.承诺书，下载模板填写，签字</w:t>
      </w:r>
      <w:r>
        <w:rPr>
          <w:rFonts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rPr>
        <w:t>加盖公章，</w:t>
      </w:r>
      <w:r>
        <w:rPr>
          <w:rFonts w:ascii="仿宋_GB2312" w:hAnsi="仿宋_GB2312" w:eastAsia="仿宋_GB2312" w:cs="仿宋_GB2312"/>
          <w:color w:val="auto"/>
          <w:sz w:val="32"/>
          <w:szCs w:val="32"/>
        </w:rPr>
        <w:t>彩色</w:t>
      </w:r>
      <w:r>
        <w:rPr>
          <w:rFonts w:hint="eastAsia" w:ascii="仿宋_GB2312" w:hAnsi="仿宋_GB2312" w:eastAsia="仿宋_GB2312" w:cs="仿宋_GB2312"/>
          <w:color w:val="auto"/>
          <w:sz w:val="32"/>
          <w:szCs w:val="32"/>
        </w:rPr>
        <w:t>扫描</w:t>
      </w:r>
      <w:r>
        <w:rPr>
          <w:rFonts w:ascii="仿宋_GB2312" w:hAnsi="仿宋_GB2312" w:eastAsia="仿宋_GB2312" w:cs="仿宋_GB2312"/>
          <w:color w:val="auto"/>
          <w:sz w:val="32"/>
          <w:szCs w:val="32"/>
        </w:rPr>
        <w:t>上传</w:t>
      </w:r>
      <w:r>
        <w:rPr>
          <w:rFonts w:hint="eastAsia" w:ascii="仿宋_GB2312" w:hAnsi="仿宋_GB2312" w:eastAsia="仿宋_GB2312" w:cs="仿宋_GB2312"/>
          <w:color w:val="auto"/>
          <w:sz w:val="32"/>
          <w:szCs w:val="32"/>
        </w:rPr>
        <w:t>；</w:t>
      </w:r>
    </w:p>
    <w:p w14:paraId="54F32E31">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4.银行账户信息，下载模板填写，加盖公章，彩色扫描上传；</w:t>
      </w:r>
    </w:p>
    <w:p w14:paraId="08918FB9">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highlight w:val="none"/>
        </w:rPr>
        <w:t>5.</w:t>
      </w:r>
      <w:r>
        <w:rPr>
          <w:rFonts w:hint="eastAsia" w:ascii="仿宋_GB2312" w:hAnsi="仿宋_GB2312" w:eastAsia="仿宋_GB2312" w:cs="仿宋_GB2312"/>
          <w:sz w:val="32"/>
          <w:szCs w:val="32"/>
          <w:lang w:val="en-US" w:eastAsia="zh-CN"/>
        </w:rPr>
        <w:t>申报单位2025年度财务审计报告或财务报表</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lang w:val="en-US" w:eastAsia="zh-CN"/>
        </w:rPr>
        <w:t>审计报告原件彩色扫描上传；财务报表加盖公章，彩色扫描上传</w:t>
      </w:r>
      <w:r>
        <w:rPr>
          <w:rFonts w:hint="eastAsia" w:ascii="仿宋_GB2312" w:hAnsi="仿宋_GB2312" w:eastAsia="仿宋_GB2312" w:cs="仿宋_GB2312"/>
          <w:sz w:val="32"/>
          <w:szCs w:val="32"/>
        </w:rPr>
        <w:t>；</w:t>
      </w:r>
    </w:p>
    <w:p w14:paraId="5425D169">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申报主体举办</w:t>
      </w:r>
      <w:r>
        <w:rPr>
          <w:rFonts w:hint="eastAsia" w:ascii="仿宋_GB2312" w:hAnsi="仿宋_GB2312" w:eastAsia="仿宋_GB2312" w:cs="仿宋_GB2312"/>
          <w:color w:val="auto"/>
          <w:sz w:val="32"/>
          <w:szCs w:val="32"/>
        </w:rPr>
        <w:t>职业电竞赛事</w:t>
      </w:r>
      <w:r>
        <w:rPr>
          <w:rFonts w:hint="eastAsia" w:ascii="仿宋_GB2312" w:hAnsi="仿宋_GB2312" w:eastAsia="仿宋_GB2312" w:cs="仿宋_GB2312"/>
          <w:color w:val="auto"/>
          <w:sz w:val="32"/>
          <w:szCs w:val="32"/>
          <w:lang w:val="en-US" w:eastAsia="zh-CN"/>
        </w:rPr>
        <w:t>方案</w:t>
      </w:r>
      <w:r>
        <w:rPr>
          <w:rFonts w:hint="eastAsia" w:ascii="仿宋_GB2312" w:hAnsi="仿宋_GB2312" w:eastAsia="仿宋_GB2312" w:cs="仿宋_GB2312"/>
          <w:color w:val="auto"/>
          <w:sz w:val="32"/>
          <w:szCs w:val="32"/>
          <w:highlight w:val="none"/>
          <w:lang w:val="en-US" w:eastAsia="zh-CN"/>
        </w:rPr>
        <w:t>，包括不限于赛事授权</w:t>
      </w:r>
      <w:r>
        <w:rPr>
          <w:rFonts w:hint="eastAsia" w:ascii="仿宋_GB2312" w:hAnsi="仿宋_GB2312" w:eastAsia="仿宋_GB2312" w:cs="仿宋_GB2312"/>
          <w:color w:val="auto"/>
          <w:sz w:val="32"/>
          <w:szCs w:val="32"/>
        </w:rPr>
        <w:t>文件、赛事活动执行方案</w:t>
      </w:r>
      <w:r>
        <w:rPr>
          <w:rFonts w:hint="eastAsia" w:ascii="仿宋_GB2312" w:hAnsi="仿宋_GB2312" w:eastAsia="仿宋_GB2312" w:cs="仿宋_GB2312"/>
          <w:color w:val="auto"/>
          <w:sz w:val="32"/>
          <w:szCs w:val="32"/>
          <w:lang w:eastAsia="zh-CN"/>
        </w:rPr>
        <w:t>等，</w:t>
      </w:r>
      <w:r>
        <w:rPr>
          <w:rFonts w:hint="eastAsia" w:ascii="仿宋_GB2312" w:hAnsi="仿宋_GB2312" w:eastAsia="仿宋_GB2312" w:cs="仿宋_GB2312"/>
          <w:color w:val="auto"/>
          <w:sz w:val="32"/>
          <w:szCs w:val="32"/>
          <w:highlight w:val="none"/>
        </w:rPr>
        <w:t>加盖公章，彩色扫描上传；</w:t>
      </w:r>
    </w:p>
    <w:p w14:paraId="1BB56BD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highlight w:val="none"/>
          <w:lang w:val="en-US" w:eastAsia="zh-CN"/>
        </w:rPr>
        <w:t>7.申报主体举办</w:t>
      </w:r>
      <w:r>
        <w:rPr>
          <w:rFonts w:hint="eastAsia" w:ascii="仿宋_GB2312" w:hAnsi="仿宋_GB2312" w:eastAsia="仿宋_GB2312" w:cs="仿宋_GB2312"/>
          <w:color w:val="auto"/>
          <w:sz w:val="32"/>
          <w:szCs w:val="32"/>
        </w:rPr>
        <w:t>职业电竞赛事</w:t>
      </w:r>
      <w:r>
        <w:rPr>
          <w:rFonts w:hint="eastAsia" w:ascii="仿宋_GB2312" w:hAnsi="仿宋_GB2312" w:eastAsia="仿宋_GB2312" w:cs="仿宋_GB2312"/>
          <w:color w:val="auto"/>
          <w:sz w:val="32"/>
          <w:szCs w:val="32"/>
          <w:highlight w:val="none"/>
          <w:lang w:val="en-US" w:eastAsia="zh-CN"/>
        </w:rPr>
        <w:t>2025年度</w:t>
      </w:r>
      <w:r>
        <w:rPr>
          <w:rFonts w:hint="eastAsia" w:ascii="仿宋_GB2312" w:eastAsia="仿宋_GB2312"/>
          <w:bCs/>
          <w:color w:val="auto"/>
          <w:sz w:val="32"/>
          <w:szCs w:val="18"/>
          <w:lang w:val="en-US" w:eastAsia="zh-CN"/>
        </w:rPr>
        <w:t>实际支出专项审计报告</w:t>
      </w:r>
      <w:r>
        <w:rPr>
          <w:rFonts w:hint="eastAsia" w:ascii="仿宋_GB2312" w:hAnsi="仿宋_GB2312" w:eastAsia="仿宋_GB2312" w:cs="仿宋_GB2312"/>
          <w:color w:val="auto"/>
          <w:sz w:val="32"/>
          <w:szCs w:val="32"/>
          <w:lang w:val="en-US" w:eastAsia="zh-CN"/>
        </w:rPr>
        <w:t>，原件</w:t>
      </w:r>
      <w:r>
        <w:rPr>
          <w:rFonts w:hint="eastAsia" w:ascii="仿宋_GB2312" w:hAnsi="仿宋_GB2312" w:eastAsia="仿宋_GB2312" w:cs="仿宋_GB2312"/>
          <w:color w:val="auto"/>
          <w:sz w:val="32"/>
          <w:szCs w:val="32"/>
        </w:rPr>
        <w:t>彩色扫描上传；</w:t>
      </w:r>
      <w:bookmarkStart w:id="1" w:name="_GoBack"/>
      <w:bookmarkEnd w:id="1"/>
    </w:p>
    <w:p w14:paraId="5621E96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8.申报主体举办职业电竞赛事相关证明材料，包括不限于</w:t>
      </w:r>
      <w:r>
        <w:rPr>
          <w:rFonts w:hint="eastAsia" w:ascii="仿宋_GB2312" w:hAnsi="仿宋_GB2312" w:eastAsia="仿宋_GB2312" w:cs="仿宋_GB2312"/>
          <w:color w:val="auto"/>
          <w:sz w:val="32"/>
          <w:szCs w:val="32"/>
          <w:lang w:eastAsia="zh-CN"/>
        </w:rPr>
        <w:t>媒体报道、</w:t>
      </w:r>
      <w:r>
        <w:rPr>
          <w:rFonts w:hint="eastAsia" w:ascii="仿宋_GB2312" w:hAnsi="仿宋_GB2312" w:eastAsia="仿宋_GB2312" w:cs="仿宋_GB2312"/>
          <w:color w:val="auto"/>
          <w:sz w:val="32"/>
          <w:szCs w:val="32"/>
          <w:lang w:val="en-US" w:eastAsia="zh-CN"/>
        </w:rPr>
        <w:t>活动</w:t>
      </w:r>
      <w:r>
        <w:rPr>
          <w:rFonts w:hint="eastAsia" w:ascii="仿宋_GB2312" w:hAnsi="仿宋_GB2312" w:eastAsia="仿宋_GB2312" w:cs="仿宋_GB2312"/>
          <w:color w:val="auto"/>
          <w:sz w:val="32"/>
          <w:szCs w:val="32"/>
          <w:lang w:eastAsia="zh-CN"/>
        </w:rPr>
        <w:t>照片、</w:t>
      </w:r>
      <w:r>
        <w:rPr>
          <w:rFonts w:hint="eastAsia" w:ascii="仿宋_GB2312" w:hAnsi="仿宋_GB2312" w:eastAsia="仿宋_GB2312" w:cs="仿宋_GB2312"/>
          <w:color w:val="auto"/>
          <w:sz w:val="32"/>
          <w:szCs w:val="32"/>
          <w:lang w:val="en-US" w:eastAsia="zh-CN"/>
        </w:rPr>
        <w:t>签到表、推广宣传情况等材料，</w:t>
      </w:r>
      <w:r>
        <w:rPr>
          <w:rFonts w:hint="eastAsia" w:ascii="仿宋_GB2312" w:hAnsi="仿宋_GB2312" w:eastAsia="仿宋_GB2312" w:cs="仿宋_GB2312"/>
          <w:color w:val="auto"/>
          <w:sz w:val="32"/>
          <w:szCs w:val="32"/>
        </w:rPr>
        <w:t>加盖公章，彩色扫描上传</w:t>
      </w:r>
      <w:r>
        <w:rPr>
          <w:rFonts w:hint="eastAsia" w:ascii="仿宋_GB2312" w:hAnsi="仿宋_GB2312" w:eastAsia="仿宋_GB2312" w:cs="仿宋_GB2312"/>
          <w:color w:val="auto"/>
          <w:sz w:val="32"/>
          <w:szCs w:val="32"/>
          <w:lang w:eastAsia="zh-CN"/>
        </w:rPr>
        <w:t>。</w:t>
      </w:r>
    </w:p>
    <w:p w14:paraId="6570AEF3">
      <w:pPr>
        <w:keepNext w:val="0"/>
        <w:keepLines w:val="0"/>
        <w:pageBreakBefore w:val="0"/>
        <w:kinsoku/>
        <w:wordWrap/>
        <w:overflowPunct/>
        <w:topLinePunct w:val="0"/>
        <w:autoSpaceDE/>
        <w:autoSpaceDN/>
        <w:bidi w:val="0"/>
        <w:spacing w:line="560" w:lineRule="exact"/>
        <w:ind w:firstLine="640" w:firstLineChars="200"/>
        <w:textAlignment w:val="auto"/>
        <w:outlineLvl w:val="0"/>
        <w:rPr>
          <w:rFonts w:ascii="黑体" w:hAnsi="黑体" w:eastAsia="黑体" w:cs="黑体"/>
          <w:color w:val="auto"/>
          <w:sz w:val="32"/>
          <w:szCs w:val="32"/>
        </w:rPr>
      </w:pPr>
      <w:r>
        <w:rPr>
          <w:rFonts w:hint="eastAsia" w:ascii="黑体" w:hAnsi="黑体" w:eastAsia="黑体" w:cs="黑体"/>
          <w:color w:val="auto"/>
          <w:sz w:val="32"/>
          <w:szCs w:val="32"/>
        </w:rPr>
        <w:t>六、办理程序</w:t>
      </w:r>
    </w:p>
    <w:p w14:paraId="380EE556">
      <w:pPr>
        <w:pStyle w:val="9"/>
        <w:keepNext w:val="0"/>
        <w:keepLines w:val="0"/>
        <w:pageBreakBefore w:val="0"/>
        <w:widowControl/>
        <w:shd w:val="clear" w:color="auto" w:fill="FFFFFF"/>
        <w:kinsoku/>
        <w:wordWrap/>
        <w:overflowPunct/>
        <w:topLinePunct w:val="0"/>
        <w:autoSpaceDE/>
        <w:autoSpaceDN/>
        <w:bidi w:val="0"/>
        <w:spacing w:beforeAutospacing="0" w:afterAutospacing="0" w:line="560" w:lineRule="exact"/>
        <w:ind w:firstLine="640" w:firstLineChars="200"/>
        <w:textAlignment w:val="auto"/>
        <w:rPr>
          <w:rFonts w:ascii="仿宋_GB2312" w:hAnsi="仿宋_GB2312" w:eastAsia="仿宋_GB2312" w:cs="仿宋_GB2312"/>
          <w:color w:val="000000"/>
          <w:sz w:val="32"/>
          <w:szCs w:val="32"/>
        </w:rPr>
      </w:pPr>
      <w:r>
        <w:rPr>
          <w:rFonts w:hint="eastAsia" w:ascii="仿宋_GB2312" w:eastAsia="仿宋_GB2312"/>
          <w:bCs/>
          <w:sz w:val="32"/>
          <w:szCs w:val="32"/>
        </w:rPr>
        <w:t>（一）</w:t>
      </w:r>
      <w:r>
        <w:rPr>
          <w:rFonts w:hint="eastAsia" w:ascii="仿宋_GB2312" w:eastAsia="仿宋_GB2312"/>
          <w:b/>
          <w:sz w:val="32"/>
          <w:szCs w:val="32"/>
        </w:rPr>
        <w:t>网上申报：</w:t>
      </w:r>
      <w:r>
        <w:rPr>
          <w:rFonts w:hint="eastAsia" w:ascii="仿宋_GB2312" w:hAnsi="仿宋_GB2312" w:eastAsia="仿宋_GB2312" w:cs="仿宋_GB2312"/>
          <w:color w:val="000000"/>
          <w:sz w:val="32"/>
          <w:szCs w:val="32"/>
        </w:rPr>
        <w:t>通过</w:t>
      </w:r>
      <w:r>
        <w:rPr>
          <w:rFonts w:hint="eastAsia" w:ascii="仿宋_GB2312" w:hAnsi="仿宋_GB2312" w:eastAsia="仿宋_GB2312" w:cs="仿宋_GB2312"/>
          <w:color w:val="000000"/>
          <w:sz w:val="32"/>
          <w:szCs w:val="32"/>
          <w:lang w:val="en-US" w:eastAsia="zh-CN"/>
        </w:rPr>
        <w:t>北京市人民政府门户网站“政策兑现专区”（https://zhengce.beijing.gov.cn）或</w:t>
      </w:r>
      <w:r>
        <w:rPr>
          <w:rFonts w:hint="eastAsia" w:ascii="仿宋_GB2312" w:hAnsi="仿宋_GB2312" w:eastAsia="仿宋_GB2312" w:cs="仿宋_GB2312"/>
          <w:color w:val="000000"/>
          <w:sz w:val="32"/>
          <w:szCs w:val="32"/>
        </w:rPr>
        <w:t>经开区官网</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sz w:val="32"/>
          <w:szCs w:val="32"/>
        </w:rPr>
        <w:t>政策兑现</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栏目（zcdx.kfqgw.beijing.gov.cn）</w:t>
      </w:r>
      <w:r>
        <w:rPr>
          <w:rFonts w:hint="eastAsia" w:ascii="仿宋_GB2312" w:hAnsi="仿宋_GB2312" w:eastAsia="仿宋_GB2312" w:cs="仿宋_GB2312"/>
          <w:color w:val="000000"/>
          <w:sz w:val="32"/>
          <w:szCs w:val="32"/>
        </w:rPr>
        <w:t>进入政策兑现综合服务平台，注册登录后进行项目申报。如未在规定时间内提交申请的，视为自动放弃。</w:t>
      </w:r>
    </w:p>
    <w:p w14:paraId="344E0905">
      <w:pPr>
        <w:pStyle w:val="9"/>
        <w:keepNext w:val="0"/>
        <w:keepLines w:val="0"/>
        <w:pageBreakBefore w:val="0"/>
        <w:widowControl/>
        <w:shd w:val="clear" w:color="auto" w:fill="FFFFFF"/>
        <w:kinsoku/>
        <w:wordWrap/>
        <w:overflowPunct/>
        <w:topLinePunct w:val="0"/>
        <w:autoSpaceDE/>
        <w:autoSpaceDN/>
        <w:bidi w:val="0"/>
        <w:spacing w:beforeAutospacing="0" w:afterAutospacing="0" w:line="560" w:lineRule="exact"/>
        <w:ind w:firstLine="640" w:firstLineChars="200"/>
        <w:textAlignment w:val="auto"/>
        <w:rPr>
          <w:rFonts w:ascii="仿宋_GB2312" w:eastAsia="仿宋_GB2312"/>
          <w:sz w:val="32"/>
          <w:szCs w:val="32"/>
        </w:rPr>
      </w:pPr>
      <w:r>
        <w:rPr>
          <w:rFonts w:hint="eastAsia" w:ascii="仿宋_GB2312" w:eastAsia="仿宋_GB2312"/>
          <w:bCs/>
          <w:sz w:val="32"/>
          <w:szCs w:val="32"/>
        </w:rPr>
        <w:t>（二）</w:t>
      </w:r>
      <w:r>
        <w:rPr>
          <w:rFonts w:hint="eastAsia" w:ascii="仿宋_GB2312" w:eastAsia="仿宋_GB2312"/>
          <w:b/>
          <w:sz w:val="32"/>
          <w:szCs w:val="32"/>
        </w:rPr>
        <w:t>初审：</w:t>
      </w:r>
      <w:r>
        <w:rPr>
          <w:rFonts w:ascii="仿宋_GB2312" w:hAnsi="宋体" w:eastAsia="仿宋_GB2312" w:cs="仿宋_GB2312"/>
          <w:color w:val="000000"/>
          <w:sz w:val="32"/>
          <w:szCs w:val="32"/>
        </w:rPr>
        <w:t>经开区营商环境建设局</w:t>
      </w:r>
      <w:r>
        <w:rPr>
          <w:rFonts w:hint="eastAsia" w:ascii="仿宋_GB2312" w:hAnsi="仿宋_GB2312" w:eastAsia="仿宋_GB2312" w:cs="仿宋_GB2312"/>
          <w:color w:val="000000"/>
          <w:kern w:val="2"/>
          <w:sz w:val="32"/>
          <w:szCs w:val="32"/>
        </w:rPr>
        <w:t>对申报主体提交的材料进行完整性审查，材料不齐全或不符合要求的，告知申报主体补齐补正。</w:t>
      </w:r>
    </w:p>
    <w:p w14:paraId="5B9BB973">
      <w:pPr>
        <w:pStyle w:val="9"/>
        <w:keepNext w:val="0"/>
        <w:keepLines w:val="0"/>
        <w:pageBreakBefore w:val="0"/>
        <w:widowControl/>
        <w:shd w:val="clear" w:color="auto" w:fill="FFFFFF"/>
        <w:kinsoku/>
        <w:wordWrap/>
        <w:overflowPunct/>
        <w:topLinePunct w:val="0"/>
        <w:autoSpaceDE/>
        <w:autoSpaceDN/>
        <w:bidi w:val="0"/>
        <w:spacing w:beforeAutospacing="0" w:afterAutospacing="0" w:line="560" w:lineRule="exact"/>
        <w:ind w:firstLine="640" w:firstLineChars="200"/>
        <w:textAlignment w:val="auto"/>
        <w:rPr>
          <w:rFonts w:ascii="仿宋_GB2312" w:hAnsi="仿宋_GB2312" w:eastAsia="仿宋_GB2312" w:cs="仿宋_GB2312"/>
          <w:color w:val="000000"/>
          <w:sz w:val="32"/>
          <w:szCs w:val="32"/>
        </w:rPr>
      </w:pPr>
      <w:r>
        <w:rPr>
          <w:rFonts w:hint="eastAsia" w:ascii="仿宋_GB2312" w:eastAsia="仿宋_GB2312"/>
          <w:bCs/>
          <w:sz w:val="32"/>
          <w:szCs w:val="32"/>
        </w:rPr>
        <w:t>（三）</w:t>
      </w:r>
      <w:r>
        <w:rPr>
          <w:rFonts w:hint="eastAsia" w:ascii="仿宋_GB2312" w:eastAsia="仿宋_GB2312"/>
          <w:b/>
          <w:sz w:val="32"/>
          <w:szCs w:val="32"/>
        </w:rPr>
        <w:t>审核</w:t>
      </w:r>
      <w:r>
        <w:rPr>
          <w:rFonts w:hint="eastAsia" w:ascii="仿宋_GB2312" w:eastAsia="仿宋_GB2312"/>
          <w:bCs/>
          <w:sz w:val="32"/>
          <w:szCs w:val="32"/>
        </w:rPr>
        <w:t>：经开区工委宣传文化部</w:t>
      </w:r>
      <w:r>
        <w:rPr>
          <w:rFonts w:hint="eastAsia" w:ascii="仿宋_GB2312" w:hAnsi="仿宋_GB2312" w:eastAsia="仿宋_GB2312" w:cs="仿宋_GB2312"/>
          <w:color w:val="000000"/>
          <w:sz w:val="32"/>
          <w:szCs w:val="32"/>
        </w:rPr>
        <w:t>对</w:t>
      </w:r>
      <w:r>
        <w:rPr>
          <w:rFonts w:hint="eastAsia" w:ascii="仿宋_GB2312" w:hAnsi="仿宋_GB2312" w:eastAsia="仿宋_GB2312" w:cs="仿宋_GB2312"/>
          <w:color w:val="000000"/>
          <w:sz w:val="32"/>
          <w:szCs w:val="32"/>
          <w:lang w:val="en-US" w:eastAsia="zh-CN"/>
        </w:rPr>
        <w:t>申报</w:t>
      </w:r>
      <w:r>
        <w:rPr>
          <w:rFonts w:hint="eastAsia" w:ascii="仿宋_GB2312" w:hAnsi="仿宋_GB2312" w:eastAsia="仿宋_GB2312" w:cs="仿宋_GB2312"/>
          <w:color w:val="000000"/>
          <w:sz w:val="32"/>
          <w:szCs w:val="32"/>
        </w:rPr>
        <w:t>材料进行实质审核。</w:t>
      </w:r>
    </w:p>
    <w:p w14:paraId="2558F06F">
      <w:pPr>
        <w:pStyle w:val="9"/>
        <w:keepNext w:val="0"/>
        <w:keepLines w:val="0"/>
        <w:pageBreakBefore w:val="0"/>
        <w:widowControl/>
        <w:shd w:val="clear" w:color="auto" w:fill="FFFFFF"/>
        <w:kinsoku/>
        <w:wordWrap/>
        <w:overflowPunct/>
        <w:topLinePunct w:val="0"/>
        <w:autoSpaceDE/>
        <w:autoSpaceDN/>
        <w:bidi w:val="0"/>
        <w:spacing w:beforeAutospacing="0" w:afterAutospacing="0" w:line="560" w:lineRule="exact"/>
        <w:ind w:firstLine="640" w:firstLineChars="200"/>
        <w:textAlignment w:val="auto"/>
        <w:rPr>
          <w:rFonts w:ascii="仿宋_GB2312" w:hAnsi="仿宋_GB2312" w:eastAsia="仿宋_GB2312" w:cs="仿宋_GB2312"/>
          <w:color w:val="000000"/>
          <w:kern w:val="2"/>
          <w:sz w:val="32"/>
          <w:szCs w:val="32"/>
          <w:highlight w:val="none"/>
        </w:rPr>
      </w:pPr>
      <w:r>
        <w:rPr>
          <w:rFonts w:hint="eastAsia" w:ascii="仿宋_GB2312" w:hAnsi="仿宋_GB2312" w:eastAsia="仿宋_GB2312" w:cs="仿宋_GB2312"/>
          <w:color w:val="000000"/>
          <w:kern w:val="2"/>
          <w:sz w:val="32"/>
          <w:szCs w:val="32"/>
          <w:highlight w:val="none"/>
        </w:rPr>
        <w:t>（</w:t>
      </w:r>
      <w:r>
        <w:rPr>
          <w:rFonts w:hint="eastAsia" w:ascii="仿宋_GB2312" w:hAnsi="仿宋_GB2312" w:eastAsia="仿宋_GB2312" w:cs="仿宋_GB2312"/>
          <w:color w:val="000000"/>
          <w:kern w:val="2"/>
          <w:sz w:val="32"/>
          <w:szCs w:val="32"/>
          <w:highlight w:val="none"/>
          <w:lang w:val="en-US" w:eastAsia="zh-CN"/>
        </w:rPr>
        <w:t>四</w:t>
      </w:r>
      <w:r>
        <w:rPr>
          <w:rFonts w:hint="eastAsia" w:ascii="仿宋_GB2312" w:hAnsi="仿宋_GB2312" w:eastAsia="仿宋_GB2312" w:cs="仿宋_GB2312"/>
          <w:color w:val="000000"/>
          <w:kern w:val="2"/>
          <w:sz w:val="32"/>
          <w:szCs w:val="32"/>
          <w:highlight w:val="none"/>
        </w:rPr>
        <w:t>）</w:t>
      </w:r>
      <w:r>
        <w:rPr>
          <w:rFonts w:hint="eastAsia" w:ascii="仿宋_GB2312" w:hAnsi="仿宋_GB2312" w:eastAsia="仿宋_GB2312" w:cs="仿宋_GB2312"/>
          <w:b/>
          <w:bCs/>
          <w:color w:val="000000"/>
          <w:kern w:val="2"/>
          <w:sz w:val="32"/>
          <w:szCs w:val="32"/>
          <w:highlight w:val="none"/>
        </w:rPr>
        <w:t>专家评审：</w:t>
      </w:r>
      <w:r>
        <w:rPr>
          <w:rFonts w:hint="eastAsia" w:ascii="仿宋_GB2312" w:hAnsi="仿宋_GB2312" w:eastAsia="仿宋_GB2312" w:cs="仿宋_GB2312"/>
          <w:color w:val="000000"/>
          <w:kern w:val="2"/>
          <w:sz w:val="32"/>
          <w:szCs w:val="32"/>
          <w:highlight w:val="none"/>
        </w:rPr>
        <w:t>经开区工委宣传文化部组织专家</w:t>
      </w:r>
      <w:r>
        <w:rPr>
          <w:rFonts w:hint="eastAsia" w:ascii="仿宋_GB2312" w:hAnsi="仿宋_GB2312" w:eastAsia="仿宋_GB2312" w:cs="仿宋_GB2312"/>
          <w:color w:val="000000"/>
          <w:kern w:val="2"/>
          <w:sz w:val="32"/>
          <w:szCs w:val="32"/>
          <w:highlight w:val="none"/>
          <w:lang w:val="en-US" w:eastAsia="zh-CN"/>
        </w:rPr>
        <w:t>对</w:t>
      </w:r>
      <w:r>
        <w:rPr>
          <w:rFonts w:hint="eastAsia" w:ascii="仿宋_GB2312" w:hAnsi="仿宋_GB2312" w:eastAsia="仿宋_GB2312" w:cs="仿宋_GB2312"/>
          <w:color w:val="000000"/>
          <w:kern w:val="2"/>
          <w:sz w:val="32"/>
          <w:szCs w:val="32"/>
          <w:highlight w:val="none"/>
        </w:rPr>
        <w:t>申请材料进行评审，评审后将结果上传到系统。</w:t>
      </w:r>
    </w:p>
    <w:p w14:paraId="2E0369CF">
      <w:pPr>
        <w:pStyle w:val="9"/>
        <w:keepNext w:val="0"/>
        <w:keepLines w:val="0"/>
        <w:pageBreakBefore w:val="0"/>
        <w:widowControl/>
        <w:shd w:val="clear" w:color="auto" w:fill="FFFFFF"/>
        <w:kinsoku/>
        <w:wordWrap/>
        <w:overflowPunct/>
        <w:topLinePunct w:val="0"/>
        <w:autoSpaceDE/>
        <w:autoSpaceDN/>
        <w:bidi w:val="0"/>
        <w:spacing w:beforeAutospacing="0" w:afterAutospacing="0" w:line="560" w:lineRule="exact"/>
        <w:ind w:firstLine="640" w:firstLineChars="200"/>
        <w:textAlignment w:val="auto"/>
        <w:rPr>
          <w:rFonts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color w:val="000000"/>
          <w:kern w:val="2"/>
          <w:sz w:val="32"/>
          <w:szCs w:val="32"/>
          <w:lang w:val="en-US" w:eastAsia="zh-CN"/>
        </w:rPr>
        <w:t>五</w:t>
      </w: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b/>
          <w:bCs/>
          <w:color w:val="000000"/>
          <w:kern w:val="2"/>
          <w:sz w:val="32"/>
          <w:szCs w:val="32"/>
        </w:rPr>
        <w:t>确定扶持结果</w:t>
      </w:r>
      <w:r>
        <w:rPr>
          <w:rFonts w:hint="eastAsia" w:ascii="仿宋_GB2312" w:hAnsi="仿宋_GB2312" w:eastAsia="仿宋_GB2312" w:cs="仿宋_GB2312"/>
          <w:color w:val="000000"/>
          <w:kern w:val="2"/>
          <w:sz w:val="32"/>
          <w:szCs w:val="32"/>
        </w:rPr>
        <w:t>：</w:t>
      </w:r>
      <w:r>
        <w:rPr>
          <w:rFonts w:hint="eastAsia" w:ascii="仿宋_GB2312" w:eastAsia="仿宋_GB2312"/>
          <w:bCs/>
          <w:sz w:val="32"/>
          <w:szCs w:val="32"/>
        </w:rPr>
        <w:t>经开区工委宣传文化部</w:t>
      </w:r>
      <w:r>
        <w:rPr>
          <w:rFonts w:hint="eastAsia" w:ascii="仿宋_GB2312" w:hAnsi="仿宋_GB2312" w:eastAsia="仿宋_GB2312" w:cs="仿宋_GB2312"/>
          <w:color w:val="000000"/>
          <w:kern w:val="2"/>
          <w:sz w:val="32"/>
          <w:szCs w:val="32"/>
        </w:rPr>
        <w:t>对审核通过的申报主体拟定兑现扶持奖励金额。</w:t>
      </w:r>
    </w:p>
    <w:p w14:paraId="6AEB7FF8">
      <w:pPr>
        <w:pStyle w:val="9"/>
        <w:keepNext w:val="0"/>
        <w:keepLines w:val="0"/>
        <w:pageBreakBefore w:val="0"/>
        <w:widowControl/>
        <w:shd w:val="clear" w:color="auto" w:fill="FFFFFF"/>
        <w:kinsoku/>
        <w:wordWrap/>
        <w:overflowPunct/>
        <w:topLinePunct w:val="0"/>
        <w:autoSpaceDE/>
        <w:autoSpaceDN/>
        <w:bidi w:val="0"/>
        <w:spacing w:beforeAutospacing="0" w:afterAutospacing="0" w:line="560" w:lineRule="exact"/>
        <w:ind w:firstLine="640" w:firstLineChars="200"/>
        <w:textAlignment w:val="auto"/>
        <w:rPr>
          <w:rFonts w:ascii="仿宋_GB2312" w:hAnsi="仿宋_GB2312" w:eastAsia="仿宋_GB2312" w:cs="仿宋_GB2312"/>
          <w:color w:val="000000"/>
          <w:kern w:val="2"/>
          <w:sz w:val="32"/>
          <w:szCs w:val="32"/>
        </w:rPr>
      </w:pPr>
      <w:r>
        <w:rPr>
          <w:rFonts w:hint="eastAsia" w:ascii="仿宋_GB2312" w:eastAsia="仿宋_GB2312"/>
          <w:bCs/>
          <w:sz w:val="32"/>
          <w:szCs w:val="32"/>
        </w:rPr>
        <w:t>（</w:t>
      </w:r>
      <w:r>
        <w:rPr>
          <w:rFonts w:hint="eastAsia" w:ascii="仿宋_GB2312" w:eastAsia="仿宋_GB2312"/>
          <w:bCs/>
          <w:sz w:val="32"/>
          <w:szCs w:val="32"/>
          <w:lang w:val="en-US" w:eastAsia="zh-CN"/>
        </w:rPr>
        <w:t>六</w:t>
      </w:r>
      <w:r>
        <w:rPr>
          <w:rFonts w:hint="eastAsia" w:ascii="仿宋_GB2312" w:eastAsia="仿宋_GB2312"/>
          <w:bCs/>
          <w:sz w:val="32"/>
          <w:szCs w:val="32"/>
        </w:rPr>
        <w:t>）</w:t>
      </w:r>
      <w:r>
        <w:rPr>
          <w:rFonts w:hint="eastAsia" w:ascii="仿宋_GB2312" w:eastAsia="仿宋_GB2312"/>
          <w:b/>
          <w:sz w:val="32"/>
          <w:szCs w:val="32"/>
        </w:rPr>
        <w:t>公示：</w:t>
      </w:r>
      <w:r>
        <w:rPr>
          <w:rFonts w:hint="eastAsia" w:ascii="仿宋_GB2312" w:hAnsi="仿宋_GB2312" w:eastAsia="仿宋_GB2312" w:cs="仿宋_GB2312"/>
          <w:color w:val="000000"/>
          <w:kern w:val="2"/>
          <w:sz w:val="32"/>
          <w:szCs w:val="32"/>
        </w:rPr>
        <w:t>经开区工委宣传文化部通过政策兑现综合服务平台对审核通过的申报主体进行公示。</w:t>
      </w:r>
    </w:p>
    <w:p w14:paraId="5750ED27">
      <w:pPr>
        <w:pStyle w:val="9"/>
        <w:keepNext w:val="0"/>
        <w:keepLines w:val="0"/>
        <w:pageBreakBefore w:val="0"/>
        <w:widowControl/>
        <w:shd w:val="clear" w:color="auto" w:fill="FFFFFF"/>
        <w:kinsoku/>
        <w:wordWrap/>
        <w:overflowPunct/>
        <w:topLinePunct w:val="0"/>
        <w:autoSpaceDE/>
        <w:autoSpaceDN/>
        <w:bidi w:val="0"/>
        <w:spacing w:beforeAutospacing="0" w:afterAutospacing="0" w:line="560" w:lineRule="exact"/>
        <w:ind w:firstLine="640" w:firstLineChars="200"/>
        <w:textAlignment w:val="auto"/>
        <w:rPr>
          <w:rFonts w:ascii="仿宋_GB2312" w:hAnsi="仿宋_GB2312" w:eastAsia="仿宋_GB2312" w:cs="仿宋_GB2312"/>
          <w:color w:val="auto"/>
          <w:kern w:val="2"/>
          <w:sz w:val="32"/>
          <w:szCs w:val="32"/>
        </w:rPr>
      </w:pP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color w:val="000000"/>
          <w:kern w:val="2"/>
          <w:sz w:val="32"/>
          <w:szCs w:val="32"/>
          <w:lang w:val="en-US" w:eastAsia="zh-CN"/>
        </w:rPr>
        <w:t>七</w:t>
      </w: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b/>
          <w:bCs/>
          <w:color w:val="000000"/>
          <w:kern w:val="2"/>
          <w:sz w:val="32"/>
          <w:szCs w:val="32"/>
        </w:rPr>
        <w:t>资金拨付</w:t>
      </w:r>
      <w:r>
        <w:rPr>
          <w:rFonts w:hint="eastAsia" w:ascii="仿宋_GB2312" w:hAnsi="仿宋_GB2312" w:eastAsia="仿宋_GB2312" w:cs="仿宋_GB2312"/>
          <w:color w:val="000000"/>
          <w:kern w:val="2"/>
          <w:sz w:val="32"/>
          <w:szCs w:val="32"/>
        </w:rPr>
        <w:t>：经公示无异议的，完成资金拨付。</w:t>
      </w:r>
    </w:p>
    <w:p w14:paraId="435E1E06">
      <w:pPr>
        <w:keepNext w:val="0"/>
        <w:keepLines w:val="0"/>
        <w:pageBreakBefore w:val="0"/>
        <w:kinsoku/>
        <w:wordWrap/>
        <w:overflowPunct/>
        <w:topLinePunct w:val="0"/>
        <w:autoSpaceDE/>
        <w:autoSpaceDN/>
        <w:bidi w:val="0"/>
        <w:spacing w:line="560" w:lineRule="exact"/>
        <w:ind w:firstLine="640" w:firstLineChars="200"/>
        <w:textAlignment w:val="auto"/>
        <w:outlineLvl w:val="0"/>
        <w:rPr>
          <w:rFonts w:ascii="黑体" w:hAnsi="黑体" w:eastAsia="黑体" w:cs="黑体"/>
          <w:color w:val="auto"/>
          <w:sz w:val="32"/>
          <w:szCs w:val="32"/>
        </w:rPr>
      </w:pPr>
      <w:r>
        <w:rPr>
          <w:rFonts w:hint="eastAsia" w:ascii="黑体" w:hAnsi="黑体" w:eastAsia="黑体" w:cs="黑体"/>
          <w:color w:val="auto"/>
          <w:sz w:val="32"/>
          <w:szCs w:val="32"/>
        </w:rPr>
        <w:t>七、主责部门</w:t>
      </w:r>
    </w:p>
    <w:p w14:paraId="7D7C13A2">
      <w:pPr>
        <w:keepNext w:val="0"/>
        <w:keepLines w:val="0"/>
        <w:pageBreakBefore w:val="0"/>
        <w:kinsoku/>
        <w:wordWrap/>
        <w:overflowPunct/>
        <w:topLinePunct w:val="0"/>
        <w:autoSpaceDE/>
        <w:autoSpaceDN/>
        <w:bidi w:val="0"/>
        <w:spacing w:line="560" w:lineRule="exact"/>
        <w:ind w:firstLine="640" w:firstLineChars="200"/>
        <w:textAlignment w:val="auto"/>
        <w:rPr>
          <w:rFonts w:ascii="仿宋_GB2312" w:hAnsi="仿宋_GB2312" w:eastAsia="仿宋_GB2312" w:cs="仿宋_GB2312"/>
          <w:b/>
          <w:bCs/>
          <w:color w:val="auto"/>
          <w:sz w:val="32"/>
          <w:szCs w:val="32"/>
        </w:rPr>
      </w:pPr>
      <w:r>
        <w:rPr>
          <w:rFonts w:hint="eastAsia" w:eastAsia="仿宋_GB2312"/>
          <w:color w:val="auto"/>
          <w:sz w:val="32"/>
          <w:szCs w:val="32"/>
        </w:rPr>
        <w:t>经开区工委宣传文化部</w:t>
      </w:r>
    </w:p>
    <w:p w14:paraId="76411DF0">
      <w:pPr>
        <w:keepNext w:val="0"/>
        <w:keepLines w:val="0"/>
        <w:pageBreakBefore w:val="0"/>
        <w:kinsoku/>
        <w:wordWrap/>
        <w:overflowPunct/>
        <w:topLinePunct w:val="0"/>
        <w:autoSpaceDE/>
        <w:autoSpaceDN/>
        <w:bidi w:val="0"/>
        <w:spacing w:line="560" w:lineRule="exact"/>
        <w:ind w:firstLine="640" w:firstLineChars="200"/>
        <w:textAlignment w:val="auto"/>
        <w:outlineLvl w:val="0"/>
        <w:rPr>
          <w:rFonts w:ascii="黑体" w:hAnsi="黑体" w:eastAsia="黑体" w:cs="黑体"/>
          <w:color w:val="auto"/>
          <w:sz w:val="32"/>
          <w:szCs w:val="32"/>
        </w:rPr>
      </w:pPr>
      <w:r>
        <w:rPr>
          <w:rFonts w:hint="eastAsia" w:ascii="黑体" w:hAnsi="黑体" w:eastAsia="黑体" w:cs="黑体"/>
          <w:color w:val="auto"/>
          <w:sz w:val="32"/>
          <w:szCs w:val="32"/>
        </w:rPr>
        <w:t>八、受理窗口</w:t>
      </w:r>
    </w:p>
    <w:p w14:paraId="56EDB7FA">
      <w:pPr>
        <w:keepNext w:val="0"/>
        <w:keepLines w:val="0"/>
        <w:pageBreakBefore w:val="0"/>
        <w:kinsoku/>
        <w:wordWrap/>
        <w:overflowPunct/>
        <w:topLinePunct w:val="0"/>
        <w:autoSpaceDE/>
        <w:autoSpaceDN/>
        <w:bidi w:val="0"/>
        <w:spacing w:line="560" w:lineRule="exact"/>
        <w:ind w:firstLine="640" w:firstLineChars="200"/>
        <w:textAlignment w:val="auto"/>
        <w:outlineLvl w:val="0"/>
        <w:rPr>
          <w:rFonts w:eastAsia="仿宋_GB2312"/>
          <w:color w:val="auto"/>
          <w:sz w:val="32"/>
          <w:szCs w:val="32"/>
        </w:rPr>
      </w:pPr>
      <w:r>
        <w:rPr>
          <w:rFonts w:hint="eastAsia" w:ascii="仿宋_GB2312" w:hAnsi="仿宋_GB2312" w:eastAsia="仿宋_GB2312" w:cs="仿宋_GB2312"/>
          <w:color w:val="auto"/>
          <w:sz w:val="32"/>
          <w:szCs w:val="32"/>
          <w:highlight w:val="none"/>
        </w:rPr>
        <w:t>北京经济技术开发区万源街4号政务服务大厅“政策申报”窗口</w:t>
      </w:r>
    </w:p>
    <w:p w14:paraId="71A79810">
      <w:pPr>
        <w:keepNext w:val="0"/>
        <w:keepLines w:val="0"/>
        <w:pageBreakBefore w:val="0"/>
        <w:kinsoku/>
        <w:wordWrap/>
        <w:overflowPunct/>
        <w:topLinePunct w:val="0"/>
        <w:autoSpaceDE/>
        <w:autoSpaceDN/>
        <w:bidi w:val="0"/>
        <w:spacing w:line="560" w:lineRule="exact"/>
        <w:ind w:firstLine="640" w:firstLineChars="200"/>
        <w:textAlignment w:val="auto"/>
        <w:outlineLvl w:val="0"/>
        <w:rPr>
          <w:rFonts w:ascii="黑体" w:hAnsi="黑体" w:eastAsia="黑体" w:cs="黑体"/>
          <w:color w:val="auto"/>
          <w:sz w:val="32"/>
          <w:szCs w:val="32"/>
        </w:rPr>
      </w:pPr>
      <w:r>
        <w:rPr>
          <w:rFonts w:hint="eastAsia" w:ascii="黑体" w:hAnsi="黑体" w:eastAsia="黑体" w:cs="黑体"/>
          <w:color w:val="auto"/>
          <w:sz w:val="32"/>
          <w:szCs w:val="32"/>
        </w:rPr>
        <w:t>九、申报时间</w:t>
      </w:r>
    </w:p>
    <w:p w14:paraId="0075E998">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20</w:t>
      </w:r>
      <w:r>
        <w:rPr>
          <w:rFonts w:hint="eastAsia" w:ascii="仿宋_GB2312" w:hAnsi="仿宋_GB2312" w:eastAsia="仿宋_GB2312" w:cs="仿宋_GB2312"/>
          <w:color w:val="auto"/>
          <w:sz w:val="32"/>
          <w:szCs w:val="32"/>
          <w:lang w:val="en-US" w:eastAsia="zh-CN"/>
        </w:rPr>
        <w:t>26</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highlight w:val="none"/>
          <w:lang w:val="en-US" w:eastAsia="zh-CN"/>
        </w:rPr>
        <w:t>10</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10</w:t>
      </w:r>
      <w:r>
        <w:rPr>
          <w:rFonts w:hint="eastAsia" w:ascii="仿宋_GB2312" w:hAnsi="仿宋_GB2312" w:eastAsia="仿宋_GB2312" w:cs="仿宋_GB2312"/>
          <w:color w:val="auto"/>
          <w:sz w:val="32"/>
          <w:szCs w:val="32"/>
        </w:rPr>
        <w:t>日至202</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val="en-US" w:eastAsia="zh-CN"/>
        </w:rPr>
        <w:t>10</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30</w:t>
      </w:r>
      <w:r>
        <w:rPr>
          <w:rFonts w:hint="eastAsia" w:ascii="仿宋_GB2312" w:hAnsi="仿宋_GB2312" w:eastAsia="仿宋_GB2312" w:cs="仿宋_GB2312"/>
          <w:color w:val="auto"/>
          <w:sz w:val="32"/>
          <w:szCs w:val="32"/>
        </w:rPr>
        <w:t>日</w:t>
      </w:r>
    </w:p>
    <w:p w14:paraId="32177DC5">
      <w:pPr>
        <w:keepNext w:val="0"/>
        <w:keepLines w:val="0"/>
        <w:pageBreakBefore w:val="0"/>
        <w:kinsoku/>
        <w:wordWrap/>
        <w:overflowPunct/>
        <w:topLinePunct w:val="0"/>
        <w:autoSpaceDE/>
        <w:autoSpaceDN/>
        <w:bidi w:val="0"/>
        <w:spacing w:line="560" w:lineRule="exact"/>
        <w:ind w:firstLine="640" w:firstLineChars="200"/>
        <w:textAlignment w:val="auto"/>
        <w:outlineLvl w:val="0"/>
        <w:rPr>
          <w:rFonts w:ascii="黑体" w:hAnsi="黑体" w:eastAsia="黑体" w:cs="黑体"/>
          <w:color w:val="auto"/>
          <w:sz w:val="32"/>
          <w:szCs w:val="32"/>
        </w:rPr>
      </w:pPr>
      <w:r>
        <w:rPr>
          <w:rFonts w:hint="eastAsia" w:ascii="黑体" w:hAnsi="黑体" w:eastAsia="黑体" w:cs="黑体"/>
          <w:color w:val="auto"/>
          <w:sz w:val="32"/>
          <w:szCs w:val="32"/>
        </w:rPr>
        <w:t>十、联系方式</w:t>
      </w:r>
    </w:p>
    <w:p w14:paraId="3F8371D0">
      <w:pPr>
        <w:keepNext w:val="0"/>
        <w:keepLines w:val="0"/>
        <w:pageBreakBefore w:val="0"/>
        <w:kinsoku/>
        <w:wordWrap/>
        <w:overflowPunct/>
        <w:topLinePunct w:val="0"/>
        <w:autoSpaceDE/>
        <w:autoSpaceDN/>
        <w:bidi w:val="0"/>
        <w:spacing w:line="560" w:lineRule="exact"/>
        <w:ind w:firstLine="640" w:firstLineChars="200"/>
        <w:textAlignment w:val="auto"/>
        <w:rPr>
          <w:rFonts w:eastAsia="仿宋_GB2312"/>
          <w:sz w:val="32"/>
          <w:szCs w:val="32"/>
        </w:rPr>
      </w:pPr>
      <w:r>
        <w:rPr>
          <w:rFonts w:hint="eastAsia" w:eastAsia="仿宋_GB2312"/>
          <w:sz w:val="32"/>
          <w:szCs w:val="32"/>
        </w:rPr>
        <w:t>政策咨询：</w:t>
      </w:r>
    </w:p>
    <w:p w14:paraId="21A417ED">
      <w:pPr>
        <w:keepNext w:val="0"/>
        <w:keepLines w:val="0"/>
        <w:pageBreakBefore w:val="0"/>
        <w:kinsoku/>
        <w:wordWrap/>
        <w:overflowPunct/>
        <w:topLinePunct w:val="0"/>
        <w:autoSpaceDE/>
        <w:autoSpaceDN/>
        <w:bidi w:val="0"/>
        <w:spacing w:line="560" w:lineRule="exact"/>
        <w:ind w:firstLine="640" w:firstLineChars="200"/>
        <w:jc w:val="both"/>
        <w:textAlignment w:val="auto"/>
        <w:rPr>
          <w:rFonts w:ascii="仿宋_GB2312" w:hAnsi="仿宋_GB2312" w:eastAsia="仿宋_GB2312" w:cs="仿宋_GB2312"/>
          <w:sz w:val="32"/>
          <w:szCs w:val="32"/>
        </w:rPr>
      </w:pPr>
      <w:r>
        <w:rPr>
          <w:rFonts w:hint="eastAsia" w:ascii="仿宋_GB2312" w:hAnsi="宋体" w:eastAsia="仿宋_GB2312" w:cs="仿宋_GB2312"/>
          <w:color w:val="000000"/>
          <w:sz w:val="32"/>
          <w:szCs w:val="32"/>
        </w:rPr>
        <w:t>经开区政务服务大厅</w:t>
      </w:r>
      <w:r>
        <w:rPr>
          <w:rFonts w:hint="eastAsia" w:eastAsia="仿宋_GB2312"/>
          <w:sz w:val="32"/>
          <w:szCs w:val="32"/>
        </w:rPr>
        <w:t>“政策申报”窗口，联系电话：</w:t>
      </w:r>
      <w:r>
        <w:rPr>
          <w:rFonts w:hint="eastAsia" w:ascii="仿宋_GB2312" w:hAnsi="仿宋_GB2312" w:eastAsia="仿宋_GB2312" w:cs="仿宋_GB2312"/>
          <w:sz w:val="32"/>
          <w:szCs w:val="32"/>
        </w:rPr>
        <w:t>010-67857687</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010-67857878转4，工作日上午9:00—12:00，下午1:30—5:00。</w:t>
      </w:r>
    </w:p>
    <w:p w14:paraId="79580EC6">
      <w:pPr>
        <w:keepNext w:val="0"/>
        <w:keepLines w:val="0"/>
        <w:pageBreakBefore w:val="0"/>
        <w:kinsoku/>
        <w:wordWrap/>
        <w:overflowPunct/>
        <w:topLinePunct w:val="0"/>
        <w:autoSpaceDE/>
        <w:autoSpaceDN/>
        <w:bidi w:val="0"/>
        <w:spacing w:line="560" w:lineRule="exact"/>
        <w:ind w:firstLine="640"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rPr>
        <w:t>经开区工委宣传文化部，联系电话：</w:t>
      </w:r>
      <w:r>
        <w:rPr>
          <w:rFonts w:hint="eastAsia" w:ascii="仿宋_GB2312" w:hAnsi="仿宋_GB2312" w:eastAsia="仿宋_GB2312" w:cs="仿宋_GB2312"/>
          <w:sz w:val="32"/>
          <w:szCs w:val="32"/>
          <w:highlight w:val="none"/>
        </w:rPr>
        <w:t>010-83508</w:t>
      </w:r>
      <w:r>
        <w:rPr>
          <w:rFonts w:hint="eastAsia" w:ascii="仿宋_GB2312" w:hAnsi="仿宋_GB2312" w:eastAsia="仿宋_GB2312" w:cs="仿宋_GB2312"/>
          <w:sz w:val="32"/>
          <w:szCs w:val="32"/>
          <w:highlight w:val="none"/>
          <w:lang w:val="en-US" w:eastAsia="zh-CN"/>
        </w:rPr>
        <w:t>080</w:t>
      </w:r>
      <w:r>
        <w:rPr>
          <w:rFonts w:ascii="仿宋_GB2312" w:hAnsi="仿宋_GB2312" w:eastAsia="仿宋_GB2312" w:cs="仿宋_GB2312"/>
          <w:sz w:val="32"/>
          <w:szCs w:val="32"/>
          <w:highlight w:val="none"/>
        </w:rPr>
        <w:t>，工作日上午9</w:t>
      </w:r>
      <w:r>
        <w:rPr>
          <w:rFonts w:hint="eastAsia" w:ascii="仿宋_GB2312" w:hAnsi="仿宋_GB2312" w:eastAsia="仿宋_GB2312" w:cs="仿宋_GB2312"/>
          <w:sz w:val="32"/>
          <w:szCs w:val="32"/>
          <w:highlight w:val="none"/>
        </w:rPr>
        <w:t>:</w:t>
      </w:r>
      <w:r>
        <w:rPr>
          <w:rFonts w:ascii="仿宋_GB2312" w:hAnsi="仿宋_GB2312" w:eastAsia="仿宋_GB2312" w:cs="仿宋_GB2312"/>
          <w:sz w:val="32"/>
          <w:szCs w:val="32"/>
          <w:highlight w:val="none"/>
        </w:rPr>
        <w:t>00</w:t>
      </w:r>
      <w:r>
        <w:rPr>
          <w:rFonts w:hint="eastAsia" w:ascii="仿宋_GB2312" w:hAnsi="仿宋_GB2312" w:eastAsia="仿宋_GB2312" w:cs="仿宋_GB2312"/>
          <w:sz w:val="32"/>
          <w:szCs w:val="32"/>
          <w:highlight w:val="none"/>
        </w:rPr>
        <w:t>—</w:t>
      </w:r>
      <w:r>
        <w:rPr>
          <w:rFonts w:ascii="仿宋_GB2312" w:hAnsi="仿宋_GB2312" w:eastAsia="仿宋_GB2312" w:cs="仿宋_GB2312"/>
          <w:sz w:val="32"/>
          <w:szCs w:val="32"/>
          <w:highlight w:val="none"/>
        </w:rPr>
        <w:t>12</w:t>
      </w:r>
      <w:r>
        <w:rPr>
          <w:rFonts w:hint="eastAsia" w:ascii="仿宋_GB2312" w:hAnsi="仿宋_GB2312" w:eastAsia="仿宋_GB2312" w:cs="仿宋_GB2312"/>
          <w:sz w:val="32"/>
          <w:szCs w:val="32"/>
          <w:highlight w:val="none"/>
        </w:rPr>
        <w:t>:</w:t>
      </w:r>
      <w:r>
        <w:rPr>
          <w:rFonts w:ascii="仿宋_GB2312" w:hAnsi="仿宋_GB2312" w:eastAsia="仿宋_GB2312" w:cs="仿宋_GB2312"/>
          <w:sz w:val="32"/>
          <w:szCs w:val="32"/>
          <w:highlight w:val="none"/>
        </w:rPr>
        <w:t>00，下午2:00</w:t>
      </w:r>
      <w:r>
        <w:rPr>
          <w:rFonts w:hint="eastAsia" w:ascii="仿宋_GB2312" w:hAnsi="仿宋_GB2312" w:eastAsia="仿宋_GB2312" w:cs="仿宋_GB2312"/>
          <w:sz w:val="32"/>
          <w:szCs w:val="32"/>
          <w:highlight w:val="none"/>
        </w:rPr>
        <w:t>—</w:t>
      </w:r>
      <w:r>
        <w:rPr>
          <w:rFonts w:ascii="仿宋_GB2312" w:hAnsi="仿宋_GB2312" w:eastAsia="仿宋_GB2312" w:cs="仿宋_GB2312"/>
          <w:sz w:val="32"/>
          <w:szCs w:val="32"/>
          <w:highlight w:val="none"/>
        </w:rPr>
        <w:t>6:00</w:t>
      </w:r>
      <w:r>
        <w:rPr>
          <w:rFonts w:hint="eastAsia" w:ascii="仿宋_GB2312" w:hAnsi="仿宋_GB2312" w:eastAsia="仿宋_GB2312" w:cs="仿宋_GB2312"/>
          <w:sz w:val="32"/>
          <w:szCs w:val="32"/>
          <w:highlight w:val="none"/>
        </w:rPr>
        <w:t>。</w:t>
      </w:r>
    </w:p>
    <w:p w14:paraId="6986B3FD">
      <w:pPr>
        <w:keepNext w:val="0"/>
        <w:keepLines w:val="0"/>
        <w:pageBreakBefore w:val="0"/>
        <w:kinsoku/>
        <w:wordWrap/>
        <w:overflowPunct/>
        <w:topLinePunct w:val="0"/>
        <w:autoSpaceDE/>
        <w:autoSpaceDN/>
        <w:bidi w:val="0"/>
        <w:spacing w:line="560" w:lineRule="exact"/>
        <w:ind w:firstLine="640" w:firstLineChars="200"/>
        <w:textAlignment w:val="auto"/>
        <w:rPr>
          <w:rFonts w:eastAsia="仿宋_GB2312"/>
          <w:sz w:val="32"/>
          <w:szCs w:val="32"/>
        </w:rPr>
      </w:pPr>
      <w:r>
        <w:rPr>
          <w:rFonts w:hint="eastAsia" w:eastAsia="仿宋_GB2312"/>
          <w:sz w:val="32"/>
          <w:szCs w:val="32"/>
        </w:rPr>
        <w:t>技术支持：</w:t>
      </w:r>
    </w:p>
    <w:p w14:paraId="181E98D5">
      <w:pPr>
        <w:keepNext w:val="0"/>
        <w:keepLines w:val="0"/>
        <w:pageBreakBefore w:val="0"/>
        <w:kinsoku/>
        <w:wordWrap/>
        <w:overflowPunct/>
        <w:topLinePunct w:val="0"/>
        <w:autoSpaceDE/>
        <w:autoSpaceDN/>
        <w:bidi w:val="0"/>
        <w:spacing w:line="560" w:lineRule="exact"/>
        <w:ind w:firstLine="640" w:firstLineChars="200"/>
        <w:textAlignment w:val="auto"/>
        <w:rPr>
          <w:rFonts w:eastAsia="仿宋_GB2312"/>
          <w:sz w:val="32"/>
          <w:szCs w:val="32"/>
        </w:rPr>
      </w:pPr>
      <w:r>
        <w:rPr>
          <w:rFonts w:hint="eastAsia" w:eastAsia="仿宋_GB2312"/>
          <w:sz w:val="32"/>
          <w:szCs w:val="32"/>
        </w:rPr>
        <w:t>联系电话</w:t>
      </w:r>
      <w:r>
        <w:rPr>
          <w:rFonts w:hint="eastAsia" w:ascii="仿宋_GB2312" w:hAnsi="仿宋_GB2312" w:eastAsia="仿宋_GB2312" w:cs="仿宋_GB2312"/>
          <w:sz w:val="32"/>
          <w:szCs w:val="32"/>
        </w:rPr>
        <w:t>：010-83509638</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工作日上午9:00—12:00，下午2:00—6:00。</w:t>
      </w:r>
    </w:p>
    <w:p w14:paraId="56095CA7">
      <w:pPr>
        <w:keepNext w:val="0"/>
        <w:keepLines w:val="0"/>
        <w:pageBreakBefore w:val="0"/>
        <w:kinsoku/>
        <w:wordWrap/>
        <w:overflowPunct/>
        <w:topLinePunct w:val="0"/>
        <w:autoSpaceDE/>
        <w:autoSpaceDN/>
        <w:bidi w:val="0"/>
        <w:spacing w:line="560" w:lineRule="exact"/>
        <w:ind w:firstLine="640" w:firstLineChars="200"/>
        <w:textAlignment w:val="auto"/>
        <w:outlineLvl w:val="0"/>
        <w:rPr>
          <w:rFonts w:ascii="仿宋_GB2312" w:hAnsi="仿宋_GB2312" w:eastAsia="仿宋_GB2312" w:cs="仿宋_GB2312"/>
          <w:color w:val="auto"/>
          <w:sz w:val="32"/>
          <w:szCs w:val="32"/>
        </w:rPr>
      </w:pPr>
      <w:r>
        <w:rPr>
          <w:rFonts w:hint="eastAsia" w:ascii="黑体" w:hAnsi="黑体" w:eastAsia="黑体" w:cs="黑体"/>
          <w:color w:val="auto"/>
          <w:sz w:val="32"/>
          <w:szCs w:val="32"/>
        </w:rPr>
        <w:t>十一、收费标准</w:t>
      </w:r>
    </w:p>
    <w:p w14:paraId="275C16C3">
      <w:pPr>
        <w:keepNext w:val="0"/>
        <w:keepLines w:val="0"/>
        <w:pageBreakBefore w:val="0"/>
        <w:kinsoku/>
        <w:wordWrap/>
        <w:overflowPunct/>
        <w:topLinePunct w:val="0"/>
        <w:autoSpaceDE/>
        <w:autoSpaceDN/>
        <w:bidi w:val="0"/>
        <w:spacing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不收费</w:t>
      </w:r>
    </w:p>
    <w:p w14:paraId="179817FA">
      <w:pPr>
        <w:keepNext w:val="0"/>
        <w:keepLines w:val="0"/>
        <w:pageBreakBefore w:val="0"/>
        <w:kinsoku/>
        <w:wordWrap/>
        <w:overflowPunct/>
        <w:topLinePunct w:val="0"/>
        <w:autoSpaceDE/>
        <w:autoSpaceDN/>
        <w:bidi w:val="0"/>
        <w:spacing w:line="560" w:lineRule="exact"/>
        <w:ind w:firstLine="640" w:firstLineChars="200"/>
        <w:textAlignment w:val="auto"/>
        <w:outlineLvl w:val="0"/>
        <w:rPr>
          <w:rFonts w:ascii="黑体" w:hAnsi="黑体" w:eastAsia="黑体" w:cs="黑体"/>
          <w:color w:val="auto"/>
          <w:sz w:val="32"/>
          <w:szCs w:val="32"/>
        </w:rPr>
      </w:pPr>
      <w:r>
        <w:rPr>
          <w:rFonts w:hint="eastAsia" w:ascii="黑体" w:hAnsi="黑体" w:eastAsia="黑体" w:cs="黑体"/>
          <w:color w:val="auto"/>
          <w:sz w:val="32"/>
          <w:szCs w:val="32"/>
        </w:rPr>
        <w:t>十二、特别说明</w:t>
      </w:r>
    </w:p>
    <w:p w14:paraId="5AE4CDC3">
      <w:pPr>
        <w:keepNext w:val="0"/>
        <w:keepLines w:val="0"/>
        <w:pageBreakBefore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olor w:val="auto"/>
          <w:sz w:val="32"/>
          <w:lang w:val="en-US" w:eastAsia="zh-CN"/>
        </w:rPr>
        <w:t>无</w:t>
      </w:r>
    </w:p>
    <w:sectPr>
      <w:pgSz w:w="11906" w:h="16838"/>
      <w:pgMar w:top="1440" w:right="1706"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I1NTBlNWM2NGQ5ZjUwNzMzZmIwMTZlMGM1YmI5ODAifQ=="/>
  </w:docVars>
  <w:rsids>
    <w:rsidRoot w:val="00360EF1"/>
    <w:rsid w:val="0001192B"/>
    <w:rsid w:val="0001302C"/>
    <w:rsid w:val="00060052"/>
    <w:rsid w:val="00062C5F"/>
    <w:rsid w:val="000F62F2"/>
    <w:rsid w:val="001145E7"/>
    <w:rsid w:val="00161422"/>
    <w:rsid w:val="00161CCE"/>
    <w:rsid w:val="002713F4"/>
    <w:rsid w:val="002756F7"/>
    <w:rsid w:val="002769D0"/>
    <w:rsid w:val="002838D9"/>
    <w:rsid w:val="00360EF1"/>
    <w:rsid w:val="00395968"/>
    <w:rsid w:val="003D3F8C"/>
    <w:rsid w:val="003D6CD5"/>
    <w:rsid w:val="00457B4D"/>
    <w:rsid w:val="004A2DD8"/>
    <w:rsid w:val="004B2A99"/>
    <w:rsid w:val="00525FAA"/>
    <w:rsid w:val="005D68AB"/>
    <w:rsid w:val="006A1513"/>
    <w:rsid w:val="006D0140"/>
    <w:rsid w:val="006F16D3"/>
    <w:rsid w:val="00710378"/>
    <w:rsid w:val="0074221C"/>
    <w:rsid w:val="007832B2"/>
    <w:rsid w:val="00844BDB"/>
    <w:rsid w:val="008F4250"/>
    <w:rsid w:val="00900A14"/>
    <w:rsid w:val="00923A77"/>
    <w:rsid w:val="009269CB"/>
    <w:rsid w:val="00967B93"/>
    <w:rsid w:val="0097300E"/>
    <w:rsid w:val="0098077A"/>
    <w:rsid w:val="00A3406B"/>
    <w:rsid w:val="00AA5414"/>
    <w:rsid w:val="00AE15B1"/>
    <w:rsid w:val="00AF44A2"/>
    <w:rsid w:val="00B42F98"/>
    <w:rsid w:val="00B74D80"/>
    <w:rsid w:val="00C122AB"/>
    <w:rsid w:val="00C34A62"/>
    <w:rsid w:val="00D460B2"/>
    <w:rsid w:val="00D5632B"/>
    <w:rsid w:val="00D668C9"/>
    <w:rsid w:val="00D76185"/>
    <w:rsid w:val="00D77F15"/>
    <w:rsid w:val="00D85A9F"/>
    <w:rsid w:val="00DB3356"/>
    <w:rsid w:val="00E75D29"/>
    <w:rsid w:val="00E90819"/>
    <w:rsid w:val="00EA199B"/>
    <w:rsid w:val="00EC54AE"/>
    <w:rsid w:val="00FD06FB"/>
    <w:rsid w:val="010A29DC"/>
    <w:rsid w:val="01540D91"/>
    <w:rsid w:val="01586909"/>
    <w:rsid w:val="015C7ADB"/>
    <w:rsid w:val="01904DED"/>
    <w:rsid w:val="01CB7B50"/>
    <w:rsid w:val="01D948CF"/>
    <w:rsid w:val="020C0B78"/>
    <w:rsid w:val="0225322D"/>
    <w:rsid w:val="02297D4E"/>
    <w:rsid w:val="026102BC"/>
    <w:rsid w:val="0278373A"/>
    <w:rsid w:val="0290748C"/>
    <w:rsid w:val="02A54855"/>
    <w:rsid w:val="03056B13"/>
    <w:rsid w:val="032269ED"/>
    <w:rsid w:val="037C128E"/>
    <w:rsid w:val="03987D96"/>
    <w:rsid w:val="03DA1D10"/>
    <w:rsid w:val="03E353C9"/>
    <w:rsid w:val="03FA3EE0"/>
    <w:rsid w:val="04080ECA"/>
    <w:rsid w:val="04271617"/>
    <w:rsid w:val="04737D47"/>
    <w:rsid w:val="048B28B7"/>
    <w:rsid w:val="04BF0B67"/>
    <w:rsid w:val="04FD02EF"/>
    <w:rsid w:val="052A15A0"/>
    <w:rsid w:val="05933C0C"/>
    <w:rsid w:val="05AE227A"/>
    <w:rsid w:val="05AE34A7"/>
    <w:rsid w:val="05D14D85"/>
    <w:rsid w:val="06113255"/>
    <w:rsid w:val="0646239C"/>
    <w:rsid w:val="06B62BF6"/>
    <w:rsid w:val="06BA630B"/>
    <w:rsid w:val="06D3553D"/>
    <w:rsid w:val="06FE1C51"/>
    <w:rsid w:val="07056611"/>
    <w:rsid w:val="072A1178"/>
    <w:rsid w:val="074E6B15"/>
    <w:rsid w:val="076B0096"/>
    <w:rsid w:val="078B6DBE"/>
    <w:rsid w:val="07936930"/>
    <w:rsid w:val="07B11C5A"/>
    <w:rsid w:val="0840700F"/>
    <w:rsid w:val="08925D0E"/>
    <w:rsid w:val="089620E8"/>
    <w:rsid w:val="08A13D48"/>
    <w:rsid w:val="08A45B0A"/>
    <w:rsid w:val="08A825A4"/>
    <w:rsid w:val="08B97A0D"/>
    <w:rsid w:val="08BF34BA"/>
    <w:rsid w:val="08D44C62"/>
    <w:rsid w:val="08DA0113"/>
    <w:rsid w:val="09047D11"/>
    <w:rsid w:val="093955CA"/>
    <w:rsid w:val="09677F84"/>
    <w:rsid w:val="09FF2B6A"/>
    <w:rsid w:val="0A12715A"/>
    <w:rsid w:val="0A192B78"/>
    <w:rsid w:val="0A7A09DE"/>
    <w:rsid w:val="0A7A6E57"/>
    <w:rsid w:val="0AC666D7"/>
    <w:rsid w:val="0AC92E9E"/>
    <w:rsid w:val="0AD40459"/>
    <w:rsid w:val="0B1708BD"/>
    <w:rsid w:val="0B38121B"/>
    <w:rsid w:val="0B3E75A5"/>
    <w:rsid w:val="0B401B24"/>
    <w:rsid w:val="0B6B119E"/>
    <w:rsid w:val="0B782C5C"/>
    <w:rsid w:val="0BD84C47"/>
    <w:rsid w:val="0BEE6FC8"/>
    <w:rsid w:val="0BF72154"/>
    <w:rsid w:val="0C3A5354"/>
    <w:rsid w:val="0C4C6FFF"/>
    <w:rsid w:val="0C7D2B96"/>
    <w:rsid w:val="0C804154"/>
    <w:rsid w:val="0C817D6C"/>
    <w:rsid w:val="0C9C5A08"/>
    <w:rsid w:val="0CD93D42"/>
    <w:rsid w:val="0D0138A5"/>
    <w:rsid w:val="0D105C2D"/>
    <w:rsid w:val="0D920D6C"/>
    <w:rsid w:val="0D9E4973"/>
    <w:rsid w:val="0E2A5EE7"/>
    <w:rsid w:val="0E4A7C7C"/>
    <w:rsid w:val="0E5672B2"/>
    <w:rsid w:val="0E715E03"/>
    <w:rsid w:val="0E963B01"/>
    <w:rsid w:val="0EAB08F2"/>
    <w:rsid w:val="0EAD26D4"/>
    <w:rsid w:val="0EAF7630"/>
    <w:rsid w:val="0ED00FB9"/>
    <w:rsid w:val="0EE86C1D"/>
    <w:rsid w:val="0F131376"/>
    <w:rsid w:val="0F193762"/>
    <w:rsid w:val="0F221A0E"/>
    <w:rsid w:val="0F8C27FB"/>
    <w:rsid w:val="0F934289"/>
    <w:rsid w:val="0FA61C25"/>
    <w:rsid w:val="0FF757D0"/>
    <w:rsid w:val="101D1DF8"/>
    <w:rsid w:val="102A2753"/>
    <w:rsid w:val="10452D67"/>
    <w:rsid w:val="106018C4"/>
    <w:rsid w:val="10653491"/>
    <w:rsid w:val="10706EEF"/>
    <w:rsid w:val="108773EC"/>
    <w:rsid w:val="1092296C"/>
    <w:rsid w:val="10A01313"/>
    <w:rsid w:val="10C13CF3"/>
    <w:rsid w:val="112A0531"/>
    <w:rsid w:val="11551A52"/>
    <w:rsid w:val="117D2BA9"/>
    <w:rsid w:val="118F3527"/>
    <w:rsid w:val="119860A9"/>
    <w:rsid w:val="11B402A9"/>
    <w:rsid w:val="11CA43B8"/>
    <w:rsid w:val="11D62CBE"/>
    <w:rsid w:val="11D84431"/>
    <w:rsid w:val="121B617A"/>
    <w:rsid w:val="1252310C"/>
    <w:rsid w:val="12E52159"/>
    <w:rsid w:val="12EE4885"/>
    <w:rsid w:val="13FC0F05"/>
    <w:rsid w:val="14036F1C"/>
    <w:rsid w:val="14051437"/>
    <w:rsid w:val="14186BE4"/>
    <w:rsid w:val="142723BB"/>
    <w:rsid w:val="14483333"/>
    <w:rsid w:val="144F1126"/>
    <w:rsid w:val="14942D13"/>
    <w:rsid w:val="14977ACF"/>
    <w:rsid w:val="14A407D6"/>
    <w:rsid w:val="15026CFF"/>
    <w:rsid w:val="151415E7"/>
    <w:rsid w:val="153730CA"/>
    <w:rsid w:val="15526AEE"/>
    <w:rsid w:val="15553FBA"/>
    <w:rsid w:val="157E1A27"/>
    <w:rsid w:val="15AF3425"/>
    <w:rsid w:val="15B34768"/>
    <w:rsid w:val="15F61B74"/>
    <w:rsid w:val="160B7C23"/>
    <w:rsid w:val="162B13C4"/>
    <w:rsid w:val="17261A0A"/>
    <w:rsid w:val="17286EDC"/>
    <w:rsid w:val="172F064F"/>
    <w:rsid w:val="172F3239"/>
    <w:rsid w:val="173A2F14"/>
    <w:rsid w:val="1776002C"/>
    <w:rsid w:val="17AD77C6"/>
    <w:rsid w:val="17AF44C7"/>
    <w:rsid w:val="17C45824"/>
    <w:rsid w:val="17C86D9E"/>
    <w:rsid w:val="183712FC"/>
    <w:rsid w:val="189F5C4C"/>
    <w:rsid w:val="18DF1E8D"/>
    <w:rsid w:val="18F4326C"/>
    <w:rsid w:val="19612585"/>
    <w:rsid w:val="196452DD"/>
    <w:rsid w:val="197A58E4"/>
    <w:rsid w:val="19816DB3"/>
    <w:rsid w:val="19856C91"/>
    <w:rsid w:val="19B34DCD"/>
    <w:rsid w:val="19B8431B"/>
    <w:rsid w:val="19DB76A4"/>
    <w:rsid w:val="19EC634B"/>
    <w:rsid w:val="19F32EB8"/>
    <w:rsid w:val="1A0B0313"/>
    <w:rsid w:val="1A0C4625"/>
    <w:rsid w:val="1AB25631"/>
    <w:rsid w:val="1AC627E0"/>
    <w:rsid w:val="1AF423CA"/>
    <w:rsid w:val="1B1501FB"/>
    <w:rsid w:val="1B714996"/>
    <w:rsid w:val="1B8109FE"/>
    <w:rsid w:val="1B8D4C8F"/>
    <w:rsid w:val="1B9377B6"/>
    <w:rsid w:val="1BB56B5C"/>
    <w:rsid w:val="1C14717E"/>
    <w:rsid w:val="1C1B504A"/>
    <w:rsid w:val="1C2B4E13"/>
    <w:rsid w:val="1C3B6D59"/>
    <w:rsid w:val="1C6E285C"/>
    <w:rsid w:val="1C7B6FF9"/>
    <w:rsid w:val="1D075252"/>
    <w:rsid w:val="1D451EB0"/>
    <w:rsid w:val="1D615728"/>
    <w:rsid w:val="1D761D5A"/>
    <w:rsid w:val="1E0E2312"/>
    <w:rsid w:val="1E3278A5"/>
    <w:rsid w:val="1E447CA3"/>
    <w:rsid w:val="1E994D8E"/>
    <w:rsid w:val="1EBB252A"/>
    <w:rsid w:val="1ECC2B19"/>
    <w:rsid w:val="1ED331FC"/>
    <w:rsid w:val="1ED6487D"/>
    <w:rsid w:val="1EFD05E9"/>
    <w:rsid w:val="1EFE4506"/>
    <w:rsid w:val="1F0F5065"/>
    <w:rsid w:val="1F1A6E4C"/>
    <w:rsid w:val="1F7E5737"/>
    <w:rsid w:val="1FA01FC8"/>
    <w:rsid w:val="1FA9441B"/>
    <w:rsid w:val="1FB0019C"/>
    <w:rsid w:val="1FD76126"/>
    <w:rsid w:val="1FD94394"/>
    <w:rsid w:val="1FDB376F"/>
    <w:rsid w:val="202F1362"/>
    <w:rsid w:val="20422CC7"/>
    <w:rsid w:val="20616F01"/>
    <w:rsid w:val="20830764"/>
    <w:rsid w:val="20AA00DB"/>
    <w:rsid w:val="20C93EA2"/>
    <w:rsid w:val="20CC2FA6"/>
    <w:rsid w:val="20D514AE"/>
    <w:rsid w:val="20DE69DC"/>
    <w:rsid w:val="2117052E"/>
    <w:rsid w:val="21335EBD"/>
    <w:rsid w:val="21835613"/>
    <w:rsid w:val="21B6442D"/>
    <w:rsid w:val="21C06C9F"/>
    <w:rsid w:val="21D10780"/>
    <w:rsid w:val="220962A9"/>
    <w:rsid w:val="22C97BF8"/>
    <w:rsid w:val="22F6591B"/>
    <w:rsid w:val="23117B7A"/>
    <w:rsid w:val="231A5872"/>
    <w:rsid w:val="23403409"/>
    <w:rsid w:val="235F00AC"/>
    <w:rsid w:val="23654BF1"/>
    <w:rsid w:val="23E34E21"/>
    <w:rsid w:val="243372A2"/>
    <w:rsid w:val="24AB3E23"/>
    <w:rsid w:val="2533284F"/>
    <w:rsid w:val="25594938"/>
    <w:rsid w:val="255A71D2"/>
    <w:rsid w:val="25DF3625"/>
    <w:rsid w:val="261E412A"/>
    <w:rsid w:val="26446E71"/>
    <w:rsid w:val="26602BD3"/>
    <w:rsid w:val="271005EA"/>
    <w:rsid w:val="2727206E"/>
    <w:rsid w:val="273249D2"/>
    <w:rsid w:val="273D6D1B"/>
    <w:rsid w:val="275E3649"/>
    <w:rsid w:val="2768133E"/>
    <w:rsid w:val="27721755"/>
    <w:rsid w:val="27874815"/>
    <w:rsid w:val="280B656E"/>
    <w:rsid w:val="281D6715"/>
    <w:rsid w:val="286873FE"/>
    <w:rsid w:val="288627FF"/>
    <w:rsid w:val="28942D3D"/>
    <w:rsid w:val="28A332E9"/>
    <w:rsid w:val="28EE1C5E"/>
    <w:rsid w:val="29857C2F"/>
    <w:rsid w:val="29D97CC6"/>
    <w:rsid w:val="2A1D0ADC"/>
    <w:rsid w:val="2A5F7219"/>
    <w:rsid w:val="2A914AD2"/>
    <w:rsid w:val="2AB25697"/>
    <w:rsid w:val="2ACF7AB8"/>
    <w:rsid w:val="2B035A09"/>
    <w:rsid w:val="2B2024A7"/>
    <w:rsid w:val="2B756EE9"/>
    <w:rsid w:val="2B833D12"/>
    <w:rsid w:val="2B9B0A58"/>
    <w:rsid w:val="2BA7027E"/>
    <w:rsid w:val="2BAA42F0"/>
    <w:rsid w:val="2BAB54C5"/>
    <w:rsid w:val="2BC05AF8"/>
    <w:rsid w:val="2BE54D11"/>
    <w:rsid w:val="2C522435"/>
    <w:rsid w:val="2C777F9A"/>
    <w:rsid w:val="2CC57609"/>
    <w:rsid w:val="2D2A602F"/>
    <w:rsid w:val="2D6B0ED7"/>
    <w:rsid w:val="2D715293"/>
    <w:rsid w:val="2D7649D6"/>
    <w:rsid w:val="2DA064BD"/>
    <w:rsid w:val="2E155772"/>
    <w:rsid w:val="2E236E07"/>
    <w:rsid w:val="2E2B3CCA"/>
    <w:rsid w:val="2E491136"/>
    <w:rsid w:val="2EC908A3"/>
    <w:rsid w:val="2ED40002"/>
    <w:rsid w:val="2ED73427"/>
    <w:rsid w:val="2F2F2A58"/>
    <w:rsid w:val="2F5D1137"/>
    <w:rsid w:val="2F6E0190"/>
    <w:rsid w:val="2F8D4635"/>
    <w:rsid w:val="3012512B"/>
    <w:rsid w:val="30140526"/>
    <w:rsid w:val="306E5387"/>
    <w:rsid w:val="30AB0C90"/>
    <w:rsid w:val="310A0BC4"/>
    <w:rsid w:val="31281962"/>
    <w:rsid w:val="312A1C2B"/>
    <w:rsid w:val="315A3762"/>
    <w:rsid w:val="31624147"/>
    <w:rsid w:val="31AA66BF"/>
    <w:rsid w:val="31D65AF9"/>
    <w:rsid w:val="31FC734E"/>
    <w:rsid w:val="3201564A"/>
    <w:rsid w:val="321C265E"/>
    <w:rsid w:val="32343B0A"/>
    <w:rsid w:val="32A70709"/>
    <w:rsid w:val="32D72E30"/>
    <w:rsid w:val="32FE69F0"/>
    <w:rsid w:val="33226E62"/>
    <w:rsid w:val="336B64D8"/>
    <w:rsid w:val="33D147E6"/>
    <w:rsid w:val="33E75D8A"/>
    <w:rsid w:val="33F4CAF3"/>
    <w:rsid w:val="341807F9"/>
    <w:rsid w:val="342465E2"/>
    <w:rsid w:val="34346877"/>
    <w:rsid w:val="3469157A"/>
    <w:rsid w:val="347C0671"/>
    <w:rsid w:val="34B21D2C"/>
    <w:rsid w:val="34E04A84"/>
    <w:rsid w:val="34E65163"/>
    <w:rsid w:val="34EC7728"/>
    <w:rsid w:val="35135498"/>
    <w:rsid w:val="35465824"/>
    <w:rsid w:val="354F42BD"/>
    <w:rsid w:val="3573124D"/>
    <w:rsid w:val="359527A9"/>
    <w:rsid w:val="35B01629"/>
    <w:rsid w:val="35B56B4B"/>
    <w:rsid w:val="35C778E7"/>
    <w:rsid w:val="36744D66"/>
    <w:rsid w:val="36E95DAE"/>
    <w:rsid w:val="371371EE"/>
    <w:rsid w:val="37184DFF"/>
    <w:rsid w:val="37B84612"/>
    <w:rsid w:val="37C93788"/>
    <w:rsid w:val="37EF6300"/>
    <w:rsid w:val="37FD7B6F"/>
    <w:rsid w:val="380942B0"/>
    <w:rsid w:val="382D54B8"/>
    <w:rsid w:val="38363290"/>
    <w:rsid w:val="383A3742"/>
    <w:rsid w:val="38732C18"/>
    <w:rsid w:val="387A66CC"/>
    <w:rsid w:val="38921ED5"/>
    <w:rsid w:val="38C22A0D"/>
    <w:rsid w:val="39122B90"/>
    <w:rsid w:val="393063E5"/>
    <w:rsid w:val="394B4A07"/>
    <w:rsid w:val="39511D42"/>
    <w:rsid w:val="3967591C"/>
    <w:rsid w:val="39731517"/>
    <w:rsid w:val="39791EC9"/>
    <w:rsid w:val="39841846"/>
    <w:rsid w:val="399C38E8"/>
    <w:rsid w:val="39A60AA5"/>
    <w:rsid w:val="39C93AF0"/>
    <w:rsid w:val="3A5D281B"/>
    <w:rsid w:val="3A906CBE"/>
    <w:rsid w:val="3AA934A6"/>
    <w:rsid w:val="3B0A5D15"/>
    <w:rsid w:val="3B6877C8"/>
    <w:rsid w:val="3BB9208B"/>
    <w:rsid w:val="3BDA7DE5"/>
    <w:rsid w:val="3C2D6FA3"/>
    <w:rsid w:val="3C2F160E"/>
    <w:rsid w:val="3C5F033A"/>
    <w:rsid w:val="3C9F7EF3"/>
    <w:rsid w:val="3CD117BD"/>
    <w:rsid w:val="3CF83180"/>
    <w:rsid w:val="3D0B1E04"/>
    <w:rsid w:val="3D23696B"/>
    <w:rsid w:val="3D94503B"/>
    <w:rsid w:val="3DAA6DAB"/>
    <w:rsid w:val="3DD55352"/>
    <w:rsid w:val="3DD73586"/>
    <w:rsid w:val="3DE32562"/>
    <w:rsid w:val="3E20508B"/>
    <w:rsid w:val="3ED12338"/>
    <w:rsid w:val="3EE438FE"/>
    <w:rsid w:val="3EF468CE"/>
    <w:rsid w:val="3F087986"/>
    <w:rsid w:val="3F31781F"/>
    <w:rsid w:val="3F346049"/>
    <w:rsid w:val="3F3D4664"/>
    <w:rsid w:val="3F4077B9"/>
    <w:rsid w:val="3F580B78"/>
    <w:rsid w:val="3F827606"/>
    <w:rsid w:val="3FB697C1"/>
    <w:rsid w:val="3FBC30E1"/>
    <w:rsid w:val="3FD009E6"/>
    <w:rsid w:val="3FD4707F"/>
    <w:rsid w:val="3FFD57FE"/>
    <w:rsid w:val="3FFF12EB"/>
    <w:rsid w:val="40945F74"/>
    <w:rsid w:val="409D6C96"/>
    <w:rsid w:val="40A50B34"/>
    <w:rsid w:val="40C0750A"/>
    <w:rsid w:val="40C328A3"/>
    <w:rsid w:val="40DE6ABE"/>
    <w:rsid w:val="410178FA"/>
    <w:rsid w:val="41830E01"/>
    <w:rsid w:val="419C40BE"/>
    <w:rsid w:val="41A74911"/>
    <w:rsid w:val="41C24932"/>
    <w:rsid w:val="41EE09AD"/>
    <w:rsid w:val="4206052A"/>
    <w:rsid w:val="42271CA4"/>
    <w:rsid w:val="423A4979"/>
    <w:rsid w:val="42553C37"/>
    <w:rsid w:val="4275720E"/>
    <w:rsid w:val="42AB283A"/>
    <w:rsid w:val="43465CD3"/>
    <w:rsid w:val="435C5D04"/>
    <w:rsid w:val="44256103"/>
    <w:rsid w:val="444923EA"/>
    <w:rsid w:val="445E5EFA"/>
    <w:rsid w:val="445F1218"/>
    <w:rsid w:val="44993F4E"/>
    <w:rsid w:val="44F72146"/>
    <w:rsid w:val="45236DFE"/>
    <w:rsid w:val="45276590"/>
    <w:rsid w:val="452B2CE7"/>
    <w:rsid w:val="459F5DC5"/>
    <w:rsid w:val="45A2455E"/>
    <w:rsid w:val="45C327BF"/>
    <w:rsid w:val="45DB5022"/>
    <w:rsid w:val="45DE6545"/>
    <w:rsid w:val="4634401A"/>
    <w:rsid w:val="46352992"/>
    <w:rsid w:val="467F7F60"/>
    <w:rsid w:val="469D497C"/>
    <w:rsid w:val="46C07C6D"/>
    <w:rsid w:val="46C636FC"/>
    <w:rsid w:val="46D46FCB"/>
    <w:rsid w:val="46F44A2C"/>
    <w:rsid w:val="473F0C29"/>
    <w:rsid w:val="474159DD"/>
    <w:rsid w:val="48045B63"/>
    <w:rsid w:val="484F2842"/>
    <w:rsid w:val="48E44E8E"/>
    <w:rsid w:val="49006A23"/>
    <w:rsid w:val="492A682B"/>
    <w:rsid w:val="49596A53"/>
    <w:rsid w:val="49AE2D68"/>
    <w:rsid w:val="49C3065B"/>
    <w:rsid w:val="49CF51F6"/>
    <w:rsid w:val="49FE7196"/>
    <w:rsid w:val="4A3148B7"/>
    <w:rsid w:val="4A3C2091"/>
    <w:rsid w:val="4A41431D"/>
    <w:rsid w:val="4A8A325C"/>
    <w:rsid w:val="4AB84ECB"/>
    <w:rsid w:val="4ACF4B48"/>
    <w:rsid w:val="4AEB69AD"/>
    <w:rsid w:val="4B6D7706"/>
    <w:rsid w:val="4BA51F05"/>
    <w:rsid w:val="4BFB127C"/>
    <w:rsid w:val="4C0963DD"/>
    <w:rsid w:val="4C1623CC"/>
    <w:rsid w:val="4C240DC6"/>
    <w:rsid w:val="4C373125"/>
    <w:rsid w:val="4C990DFC"/>
    <w:rsid w:val="4CBC3A42"/>
    <w:rsid w:val="4CDC02F4"/>
    <w:rsid w:val="4CF91E5B"/>
    <w:rsid w:val="4D181700"/>
    <w:rsid w:val="4D6B0A00"/>
    <w:rsid w:val="4D75145B"/>
    <w:rsid w:val="4D9449F9"/>
    <w:rsid w:val="4D9F002D"/>
    <w:rsid w:val="4DA85F8D"/>
    <w:rsid w:val="4DD62215"/>
    <w:rsid w:val="4E2B5D5D"/>
    <w:rsid w:val="4E8B3508"/>
    <w:rsid w:val="4EB34952"/>
    <w:rsid w:val="4EC00C5A"/>
    <w:rsid w:val="4ED13285"/>
    <w:rsid w:val="4F0A4EE8"/>
    <w:rsid w:val="4F1A6236"/>
    <w:rsid w:val="4F6A651C"/>
    <w:rsid w:val="4F721548"/>
    <w:rsid w:val="4FA73771"/>
    <w:rsid w:val="4FD4377C"/>
    <w:rsid w:val="4FFC2D7C"/>
    <w:rsid w:val="4FFF4188"/>
    <w:rsid w:val="4FFF4C5B"/>
    <w:rsid w:val="50086DF5"/>
    <w:rsid w:val="508E5ABD"/>
    <w:rsid w:val="50A336F5"/>
    <w:rsid w:val="50BD79A6"/>
    <w:rsid w:val="50CB50EC"/>
    <w:rsid w:val="510D1202"/>
    <w:rsid w:val="515D1CF8"/>
    <w:rsid w:val="515D60CA"/>
    <w:rsid w:val="51714084"/>
    <w:rsid w:val="51AA50CA"/>
    <w:rsid w:val="51D12D37"/>
    <w:rsid w:val="51E46BB8"/>
    <w:rsid w:val="521F04B3"/>
    <w:rsid w:val="528E639D"/>
    <w:rsid w:val="52923265"/>
    <w:rsid w:val="52AD22A4"/>
    <w:rsid w:val="52DE0B2A"/>
    <w:rsid w:val="52E63BA6"/>
    <w:rsid w:val="52E7230E"/>
    <w:rsid w:val="53073C5C"/>
    <w:rsid w:val="53651256"/>
    <w:rsid w:val="53857348"/>
    <w:rsid w:val="53AD3C9D"/>
    <w:rsid w:val="543A5B0D"/>
    <w:rsid w:val="54504F86"/>
    <w:rsid w:val="545F151F"/>
    <w:rsid w:val="5462681B"/>
    <w:rsid w:val="54FF0C4E"/>
    <w:rsid w:val="55560136"/>
    <w:rsid w:val="556569E9"/>
    <w:rsid w:val="558D031D"/>
    <w:rsid w:val="55B7728F"/>
    <w:rsid w:val="55EF4F8A"/>
    <w:rsid w:val="55F24B54"/>
    <w:rsid w:val="56011E88"/>
    <w:rsid w:val="56115940"/>
    <w:rsid w:val="56352C58"/>
    <w:rsid w:val="563F0589"/>
    <w:rsid w:val="56416453"/>
    <w:rsid w:val="56727B5F"/>
    <w:rsid w:val="568B320E"/>
    <w:rsid w:val="568B7A5E"/>
    <w:rsid w:val="569461B3"/>
    <w:rsid w:val="57072CB9"/>
    <w:rsid w:val="57513E95"/>
    <w:rsid w:val="575E2A63"/>
    <w:rsid w:val="57672FF6"/>
    <w:rsid w:val="576C2AED"/>
    <w:rsid w:val="577218B7"/>
    <w:rsid w:val="578A3D39"/>
    <w:rsid w:val="579A20B9"/>
    <w:rsid w:val="57AC1128"/>
    <w:rsid w:val="57DD4B77"/>
    <w:rsid w:val="58182573"/>
    <w:rsid w:val="583121F8"/>
    <w:rsid w:val="58376A24"/>
    <w:rsid w:val="5844620B"/>
    <w:rsid w:val="589F1DB2"/>
    <w:rsid w:val="58C4469B"/>
    <w:rsid w:val="58E90CAC"/>
    <w:rsid w:val="59254995"/>
    <w:rsid w:val="595347E9"/>
    <w:rsid w:val="595E5D54"/>
    <w:rsid w:val="59667436"/>
    <w:rsid w:val="598177AB"/>
    <w:rsid w:val="598E51A0"/>
    <w:rsid w:val="59D21F08"/>
    <w:rsid w:val="59D74A3B"/>
    <w:rsid w:val="59E254CE"/>
    <w:rsid w:val="5A04713E"/>
    <w:rsid w:val="5A0862EA"/>
    <w:rsid w:val="5A136301"/>
    <w:rsid w:val="5A32726C"/>
    <w:rsid w:val="5A55165E"/>
    <w:rsid w:val="5A5C093F"/>
    <w:rsid w:val="5AA36BE1"/>
    <w:rsid w:val="5ABA2808"/>
    <w:rsid w:val="5ACD0EF5"/>
    <w:rsid w:val="5AF64E2C"/>
    <w:rsid w:val="5AF820D3"/>
    <w:rsid w:val="5AFE68EE"/>
    <w:rsid w:val="5B263105"/>
    <w:rsid w:val="5B505870"/>
    <w:rsid w:val="5B9546C3"/>
    <w:rsid w:val="5B982FC7"/>
    <w:rsid w:val="5B9A26B1"/>
    <w:rsid w:val="5BB64501"/>
    <w:rsid w:val="5BBE2157"/>
    <w:rsid w:val="5BDF1FBC"/>
    <w:rsid w:val="5BE96A8D"/>
    <w:rsid w:val="5BF15375"/>
    <w:rsid w:val="5BF938B5"/>
    <w:rsid w:val="5C523F6F"/>
    <w:rsid w:val="5C76716F"/>
    <w:rsid w:val="5C866EDB"/>
    <w:rsid w:val="5C973F92"/>
    <w:rsid w:val="5C9A1486"/>
    <w:rsid w:val="5C9A6C78"/>
    <w:rsid w:val="5CAC0B80"/>
    <w:rsid w:val="5CE23BD6"/>
    <w:rsid w:val="5CE95CC1"/>
    <w:rsid w:val="5CFF4E17"/>
    <w:rsid w:val="5D1237AB"/>
    <w:rsid w:val="5D442416"/>
    <w:rsid w:val="5D5B7524"/>
    <w:rsid w:val="5D731173"/>
    <w:rsid w:val="5DB61076"/>
    <w:rsid w:val="5DB96EBE"/>
    <w:rsid w:val="5DFA426F"/>
    <w:rsid w:val="5E60221A"/>
    <w:rsid w:val="5E852B06"/>
    <w:rsid w:val="5EBB0773"/>
    <w:rsid w:val="5EC9424F"/>
    <w:rsid w:val="5F3F6EB7"/>
    <w:rsid w:val="5F595787"/>
    <w:rsid w:val="5F8D1C46"/>
    <w:rsid w:val="5FBD03D0"/>
    <w:rsid w:val="5FE50B69"/>
    <w:rsid w:val="601B4866"/>
    <w:rsid w:val="60303D05"/>
    <w:rsid w:val="60386110"/>
    <w:rsid w:val="606977B6"/>
    <w:rsid w:val="60B75222"/>
    <w:rsid w:val="610966E3"/>
    <w:rsid w:val="61A06ED8"/>
    <w:rsid w:val="61CC6283"/>
    <w:rsid w:val="61EB1FBB"/>
    <w:rsid w:val="620458E9"/>
    <w:rsid w:val="624422CE"/>
    <w:rsid w:val="62812C52"/>
    <w:rsid w:val="6298596F"/>
    <w:rsid w:val="634E079D"/>
    <w:rsid w:val="635553E5"/>
    <w:rsid w:val="63716C54"/>
    <w:rsid w:val="63E9591E"/>
    <w:rsid w:val="640D4262"/>
    <w:rsid w:val="640F4520"/>
    <w:rsid w:val="64410F8F"/>
    <w:rsid w:val="644E2961"/>
    <w:rsid w:val="64797172"/>
    <w:rsid w:val="649C056B"/>
    <w:rsid w:val="64AE5736"/>
    <w:rsid w:val="64CE25B3"/>
    <w:rsid w:val="64DB4BB5"/>
    <w:rsid w:val="65155138"/>
    <w:rsid w:val="65342BA2"/>
    <w:rsid w:val="658A3C2E"/>
    <w:rsid w:val="65BE0B5B"/>
    <w:rsid w:val="65E14295"/>
    <w:rsid w:val="65EE1625"/>
    <w:rsid w:val="667B70FF"/>
    <w:rsid w:val="66815ECF"/>
    <w:rsid w:val="668D4153"/>
    <w:rsid w:val="66A82973"/>
    <w:rsid w:val="66E95A9F"/>
    <w:rsid w:val="672E0D6A"/>
    <w:rsid w:val="677F638E"/>
    <w:rsid w:val="67C1331A"/>
    <w:rsid w:val="67F973CE"/>
    <w:rsid w:val="6808097F"/>
    <w:rsid w:val="686076FC"/>
    <w:rsid w:val="68E479A1"/>
    <w:rsid w:val="69DD7187"/>
    <w:rsid w:val="6A7C3B1B"/>
    <w:rsid w:val="6A9153AF"/>
    <w:rsid w:val="6A9A5399"/>
    <w:rsid w:val="6B3F3AAD"/>
    <w:rsid w:val="6B891093"/>
    <w:rsid w:val="6BA55CDC"/>
    <w:rsid w:val="6BC177C6"/>
    <w:rsid w:val="6BC37DD4"/>
    <w:rsid w:val="6C021C08"/>
    <w:rsid w:val="6C0A466E"/>
    <w:rsid w:val="6C1948F8"/>
    <w:rsid w:val="6C4D6808"/>
    <w:rsid w:val="6C725360"/>
    <w:rsid w:val="6C7908D0"/>
    <w:rsid w:val="6C8475E7"/>
    <w:rsid w:val="6C8A0C15"/>
    <w:rsid w:val="6C926DA7"/>
    <w:rsid w:val="6CB16FB4"/>
    <w:rsid w:val="6CDD3745"/>
    <w:rsid w:val="6CE4440B"/>
    <w:rsid w:val="6CF73991"/>
    <w:rsid w:val="6D0154E8"/>
    <w:rsid w:val="6D034EA5"/>
    <w:rsid w:val="6D1334E9"/>
    <w:rsid w:val="6D231259"/>
    <w:rsid w:val="6D3203DA"/>
    <w:rsid w:val="6D5B79BC"/>
    <w:rsid w:val="6DCF4058"/>
    <w:rsid w:val="6DE9238A"/>
    <w:rsid w:val="6E2B147B"/>
    <w:rsid w:val="6E33263A"/>
    <w:rsid w:val="6E3A4154"/>
    <w:rsid w:val="6E7E0654"/>
    <w:rsid w:val="6E893371"/>
    <w:rsid w:val="6E8C71B7"/>
    <w:rsid w:val="6EA731B5"/>
    <w:rsid w:val="6EB6086C"/>
    <w:rsid w:val="6EC648DD"/>
    <w:rsid w:val="6F0C63B7"/>
    <w:rsid w:val="6F345206"/>
    <w:rsid w:val="6F941165"/>
    <w:rsid w:val="6FBC2D32"/>
    <w:rsid w:val="70007B47"/>
    <w:rsid w:val="702F1D23"/>
    <w:rsid w:val="705342C1"/>
    <w:rsid w:val="708741CD"/>
    <w:rsid w:val="708D3892"/>
    <w:rsid w:val="70B75CF8"/>
    <w:rsid w:val="70C079DE"/>
    <w:rsid w:val="711E29DF"/>
    <w:rsid w:val="712573D2"/>
    <w:rsid w:val="7155010D"/>
    <w:rsid w:val="715C4E8A"/>
    <w:rsid w:val="717F152D"/>
    <w:rsid w:val="71D07EE4"/>
    <w:rsid w:val="720F3D8F"/>
    <w:rsid w:val="72A75458"/>
    <w:rsid w:val="72D92721"/>
    <w:rsid w:val="73436223"/>
    <w:rsid w:val="735538BA"/>
    <w:rsid w:val="73AC6967"/>
    <w:rsid w:val="73AE56BA"/>
    <w:rsid w:val="740941C7"/>
    <w:rsid w:val="74A24F54"/>
    <w:rsid w:val="74DA21D9"/>
    <w:rsid w:val="74E76FE8"/>
    <w:rsid w:val="74FD4DFC"/>
    <w:rsid w:val="75250E17"/>
    <w:rsid w:val="75576C93"/>
    <w:rsid w:val="75711074"/>
    <w:rsid w:val="75893E4D"/>
    <w:rsid w:val="75BA3B6D"/>
    <w:rsid w:val="75D12F9F"/>
    <w:rsid w:val="75E87AE4"/>
    <w:rsid w:val="76206188"/>
    <w:rsid w:val="767E6D89"/>
    <w:rsid w:val="768B48F5"/>
    <w:rsid w:val="76A32A08"/>
    <w:rsid w:val="76A610C6"/>
    <w:rsid w:val="76DD66F2"/>
    <w:rsid w:val="76EC6FC3"/>
    <w:rsid w:val="770B2702"/>
    <w:rsid w:val="7718563E"/>
    <w:rsid w:val="776A3F9A"/>
    <w:rsid w:val="77901978"/>
    <w:rsid w:val="77915027"/>
    <w:rsid w:val="779226E8"/>
    <w:rsid w:val="779D4F4D"/>
    <w:rsid w:val="77CF1648"/>
    <w:rsid w:val="781D2C7A"/>
    <w:rsid w:val="78362BC8"/>
    <w:rsid w:val="783A56AF"/>
    <w:rsid w:val="78413BD7"/>
    <w:rsid w:val="788F717D"/>
    <w:rsid w:val="78915F29"/>
    <w:rsid w:val="78A77DB4"/>
    <w:rsid w:val="78B31BDE"/>
    <w:rsid w:val="78E70DA1"/>
    <w:rsid w:val="78F21850"/>
    <w:rsid w:val="791B03AB"/>
    <w:rsid w:val="793C296C"/>
    <w:rsid w:val="79625DF3"/>
    <w:rsid w:val="79714C66"/>
    <w:rsid w:val="79D31F15"/>
    <w:rsid w:val="79D657CC"/>
    <w:rsid w:val="79E40A04"/>
    <w:rsid w:val="7A151811"/>
    <w:rsid w:val="7A6D61E2"/>
    <w:rsid w:val="7A960403"/>
    <w:rsid w:val="7B0003D2"/>
    <w:rsid w:val="7B3C52F1"/>
    <w:rsid w:val="7B9D0472"/>
    <w:rsid w:val="7BA046F3"/>
    <w:rsid w:val="7BC37346"/>
    <w:rsid w:val="7BE71A21"/>
    <w:rsid w:val="7BF87E00"/>
    <w:rsid w:val="7C064DA7"/>
    <w:rsid w:val="7C0A2379"/>
    <w:rsid w:val="7C551636"/>
    <w:rsid w:val="7C5C4760"/>
    <w:rsid w:val="7C5F3CF1"/>
    <w:rsid w:val="7C697AB1"/>
    <w:rsid w:val="7CB460B3"/>
    <w:rsid w:val="7CD445C4"/>
    <w:rsid w:val="7CED17F8"/>
    <w:rsid w:val="7CF17B62"/>
    <w:rsid w:val="7D274421"/>
    <w:rsid w:val="7D3D452B"/>
    <w:rsid w:val="7D957EE1"/>
    <w:rsid w:val="7DB95054"/>
    <w:rsid w:val="7DFC4CA2"/>
    <w:rsid w:val="7E137B54"/>
    <w:rsid w:val="7E4E0E62"/>
    <w:rsid w:val="7E503B32"/>
    <w:rsid w:val="7E541447"/>
    <w:rsid w:val="7E6B7B24"/>
    <w:rsid w:val="7E757D8F"/>
    <w:rsid w:val="7E782A8A"/>
    <w:rsid w:val="7EFFFA7B"/>
    <w:rsid w:val="7FC14E2C"/>
    <w:rsid w:val="9F6F6015"/>
    <w:rsid w:val="C7DB93C8"/>
    <w:rsid w:val="DD7E7DC7"/>
    <w:rsid w:val="DEF5E07B"/>
    <w:rsid w:val="E3F37E00"/>
    <w:rsid w:val="E5FF16E4"/>
    <w:rsid w:val="EFEEB9E2"/>
    <w:rsid w:val="F5DBA8FA"/>
    <w:rsid w:val="FFF7378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widowControl w:val="0"/>
      <w:spacing w:before="0" w:after="120"/>
      <w:ind w:left="0" w:leftChars="200" w:right="0" w:firstLine="420" w:firstLineChars="200"/>
      <w:jc w:val="both"/>
    </w:pPr>
    <w:rPr>
      <w:rFonts w:ascii="Calibri" w:hAnsi="Calibri" w:eastAsia="宋体" w:cs="宋体"/>
      <w:kern w:val="2"/>
      <w:sz w:val="21"/>
      <w:szCs w:val="24"/>
      <w:lang w:val="en-US" w:eastAsia="zh-CN" w:bidi="ar-SA"/>
    </w:rPr>
  </w:style>
  <w:style w:type="paragraph" w:styleId="3">
    <w:name w:val="Body Text Indent"/>
    <w:basedOn w:val="1"/>
    <w:qFormat/>
    <w:uiPriority w:val="0"/>
    <w:pPr>
      <w:spacing w:after="120" w:afterAutospacing="0"/>
      <w:ind w:left="0" w:leftChars="0"/>
    </w:pPr>
  </w:style>
  <w:style w:type="paragraph" w:styleId="4">
    <w:name w:val="Document Map"/>
    <w:basedOn w:val="1"/>
    <w:qFormat/>
    <w:uiPriority w:val="0"/>
    <w:rPr>
      <w:rFonts w:ascii="宋体"/>
      <w:sz w:val="18"/>
      <w:szCs w:val="18"/>
    </w:rPr>
  </w:style>
  <w:style w:type="paragraph" w:styleId="5">
    <w:name w:val="annotation text"/>
    <w:basedOn w:val="1"/>
    <w:qFormat/>
    <w:uiPriority w:val="0"/>
    <w:pPr>
      <w:jc w:val="left"/>
    </w:pPr>
  </w:style>
  <w:style w:type="paragraph" w:styleId="6">
    <w:name w:val="Body Text"/>
    <w:basedOn w:val="1"/>
    <w:qFormat/>
    <w:uiPriority w:val="1"/>
    <w:rPr>
      <w:rFonts w:ascii="仿宋_GB2312" w:hAnsi="仿宋_GB2312" w:eastAsia="仿宋_GB2312" w:cs="仿宋_GB2312"/>
      <w:sz w:val="32"/>
      <w:szCs w:val="32"/>
    </w:rPr>
  </w:style>
  <w:style w:type="paragraph" w:styleId="7">
    <w:name w:val="footer"/>
    <w:basedOn w:val="1"/>
    <w:link w:val="15"/>
    <w:qFormat/>
    <w:uiPriority w:val="0"/>
    <w:pPr>
      <w:tabs>
        <w:tab w:val="center" w:pos="4153"/>
        <w:tab w:val="right" w:pos="8306"/>
      </w:tabs>
      <w:snapToGrid w:val="0"/>
      <w:jc w:val="left"/>
    </w:pPr>
    <w:rPr>
      <w:sz w:val="18"/>
      <w:szCs w:val="18"/>
    </w:rPr>
  </w:style>
  <w:style w:type="paragraph" w:styleId="8">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Autospacing="1" w:afterAutospacing="1"/>
      <w:jc w:val="left"/>
    </w:pPr>
    <w:rPr>
      <w:kern w:val="0"/>
      <w:sz w:val="24"/>
    </w:rPr>
  </w:style>
  <w:style w:type="character" w:styleId="12">
    <w:name w:val="Strong"/>
    <w:basedOn w:val="11"/>
    <w:qFormat/>
    <w:uiPriority w:val="0"/>
    <w:rPr>
      <w:b/>
    </w:rPr>
  </w:style>
  <w:style w:type="character" w:styleId="13">
    <w:name w:val="Hyperlink"/>
    <w:basedOn w:val="11"/>
    <w:qFormat/>
    <w:uiPriority w:val="0"/>
    <w:rPr>
      <w:color w:val="0000FF"/>
      <w:u w:val="single"/>
    </w:rPr>
  </w:style>
  <w:style w:type="character" w:customStyle="1" w:styleId="14">
    <w:name w:val="页眉 字符"/>
    <w:basedOn w:val="11"/>
    <w:link w:val="8"/>
    <w:qFormat/>
    <w:uiPriority w:val="0"/>
    <w:rPr>
      <w:kern w:val="2"/>
      <w:sz w:val="18"/>
      <w:szCs w:val="18"/>
    </w:rPr>
  </w:style>
  <w:style w:type="character" w:customStyle="1" w:styleId="15">
    <w:name w:val="页脚 字符"/>
    <w:basedOn w:val="11"/>
    <w:link w:val="7"/>
    <w:qFormat/>
    <w:uiPriority w:val="0"/>
    <w:rPr>
      <w:kern w:val="2"/>
      <w:sz w:val="18"/>
      <w:szCs w:val="18"/>
    </w:rPr>
  </w:style>
  <w:style w:type="paragraph" w:customStyle="1" w:styleId="16">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17">
    <w:name w:val="修订2"/>
    <w:hidden/>
    <w:semiHidden/>
    <w:qFormat/>
    <w:uiPriority w:val="99"/>
    <w:rPr>
      <w:rFonts w:ascii="Times New Roman" w:hAnsi="Times New Roman" w:eastAsia="宋体" w:cs="Times New Roman"/>
      <w:kern w:val="2"/>
      <w:sz w:val="21"/>
      <w:szCs w:val="24"/>
      <w:lang w:val="en-US" w:eastAsia="zh-CN" w:bidi="ar-SA"/>
    </w:rPr>
  </w:style>
  <w:style w:type="table" w:customStyle="1" w:styleId="18">
    <w:name w:val="网格型1"/>
    <w:basedOn w:val="1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5</Pages>
  <Words>1839</Words>
  <Characters>2102</Characters>
  <Lines>13</Lines>
  <Paragraphs>3</Paragraphs>
  <TotalTime>2</TotalTime>
  <ScaleCrop>false</ScaleCrop>
  <LinksUpToDate>false</LinksUpToDate>
  <CharactersWithSpaces>2107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2019-08-13T14:54:00Z</dcterms:created>
  <dc:creator>zkk</dc:creator>
  <cp:lastModifiedBy>张九峰</cp:lastModifiedBy>
  <cp:lastPrinted>2023-05-11T16:24:00Z</cp:lastPrinted>
  <dcterms:modified xsi:type="dcterms:W3CDTF">2026-10-08T10:20:56Z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A9B7189E3E414CB1AF6567A510495CD6_13</vt:lpwstr>
  </property>
  <property fmtid="{D5CDD505-2E9C-101B-9397-08002B2CF9AE}" pid="4" name="KSOTemplateDocerSaveRecord">
    <vt:lpwstr>eyJoZGlkIjoiMmMwYmNjZmFlYmZkNDhhN2I5MzI1MmE3Nzk4ZGZiMDMiLCJ1c2VySWQiOiIzNTgxMjQ0NTQifQ==</vt:lpwstr>
  </property>
</Properties>
</file>