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6DC885">
      <w:pPr>
        <w:keepNext w:val="0"/>
        <w:keepLines w:val="0"/>
        <w:pageBreakBefore w:val="0"/>
        <w:kinsoku/>
        <w:wordWrap/>
        <w:overflowPunct/>
        <w:topLinePunct w:val="0"/>
        <w:autoSpaceDE/>
        <w:autoSpaceDN/>
        <w:bidi w:val="0"/>
        <w:adjustRightInd w:val="0"/>
        <w:snapToGrid w:val="0"/>
        <w:spacing w:line="560" w:lineRule="exact"/>
        <w:jc w:val="left"/>
        <w:outlineLvl w:val="0"/>
        <w:rPr>
          <w:rFonts w:ascii="方正小标宋简体" w:hAnsi="方正小标宋简体" w:eastAsia="方正小标宋简体" w:cs="方正小标宋简体"/>
          <w:sz w:val="44"/>
          <w:szCs w:val="44"/>
        </w:rPr>
      </w:pPr>
      <w:bookmarkStart w:id="0" w:name="_GoBack"/>
      <w:bookmarkEnd w:id="0"/>
      <w:r>
        <w:rPr>
          <w:rFonts w:hint="eastAsia" w:ascii="黑体" w:hAnsi="黑体" w:eastAsia="黑体" w:cs="黑体"/>
          <w:color w:val="333333"/>
          <w:spacing w:val="15"/>
          <w:sz w:val="32"/>
          <w:szCs w:val="32"/>
          <w:shd w:val="clear" w:color="auto" w:fill="FFFFFF"/>
        </w:rPr>
        <w:t>附件</w:t>
      </w:r>
    </w:p>
    <w:p w14:paraId="798FA528">
      <w:pPr>
        <w:keepNext w:val="0"/>
        <w:keepLines w:val="0"/>
        <w:pageBreakBefore w:val="0"/>
        <w:kinsoku/>
        <w:wordWrap/>
        <w:overflowPunct/>
        <w:topLinePunct w:val="0"/>
        <w:autoSpaceDE/>
        <w:autoSpaceDN/>
        <w:bidi w:val="0"/>
        <w:spacing w:line="560" w:lineRule="exact"/>
        <w:jc w:val="center"/>
        <w:rPr>
          <w:rFonts w:hint="default" w:ascii="方正小标宋简体" w:hAnsi="方正小标宋简体" w:eastAsia="方正小标宋简体" w:cs="方正小标宋简体"/>
          <w:spacing w:val="-11"/>
          <w:sz w:val="44"/>
          <w:szCs w:val="44"/>
          <w:lang w:val="en-US" w:eastAsia="zh-Hans"/>
        </w:rPr>
      </w:pPr>
      <w:r>
        <w:rPr>
          <w:rFonts w:hint="eastAsia" w:ascii="方正小标宋简体" w:hAnsi="方正小标宋简体" w:eastAsia="方正小标宋简体" w:cs="方正小标宋简体"/>
          <w:spacing w:val="-11"/>
          <w:sz w:val="44"/>
          <w:szCs w:val="44"/>
        </w:rPr>
        <w:t>202</w:t>
      </w:r>
      <w:r>
        <w:rPr>
          <w:rFonts w:hint="eastAsia" w:ascii="方正小标宋简体" w:hAnsi="方正小标宋简体" w:eastAsia="方正小标宋简体" w:cs="方正小标宋简体"/>
          <w:spacing w:val="-11"/>
          <w:sz w:val="44"/>
          <w:szCs w:val="44"/>
          <w:lang w:val="en-US" w:eastAsia="zh-CN"/>
        </w:rPr>
        <w:t>4-2025</w:t>
      </w:r>
      <w:r>
        <w:rPr>
          <w:rFonts w:hint="eastAsia" w:ascii="方正小标宋简体" w:hAnsi="方正小标宋简体" w:eastAsia="方正小标宋简体" w:cs="方正小标宋简体"/>
          <w:spacing w:val="-11"/>
          <w:sz w:val="44"/>
          <w:szCs w:val="44"/>
        </w:rPr>
        <w:t>年</w:t>
      </w:r>
      <w:r>
        <w:rPr>
          <w:rFonts w:hint="eastAsia" w:ascii="方正小标宋简体" w:hAnsi="方正小标宋简体" w:eastAsia="方正小标宋简体" w:cs="方正小标宋简体"/>
          <w:spacing w:val="-11"/>
          <w:sz w:val="44"/>
          <w:szCs w:val="44"/>
          <w:lang w:eastAsia="zh-CN"/>
        </w:rPr>
        <w:t>度</w:t>
      </w:r>
      <w:r>
        <w:rPr>
          <w:rFonts w:hint="eastAsia" w:ascii="方正小标宋简体" w:hAnsi="方正小标宋简体" w:eastAsia="方正小标宋简体" w:cs="方正小标宋简体"/>
          <w:spacing w:val="-11"/>
          <w:sz w:val="44"/>
          <w:szCs w:val="44"/>
          <w:lang w:val="en-US" w:eastAsia="zh-CN"/>
        </w:rPr>
        <w:t>支持</w:t>
      </w:r>
      <w:r>
        <w:rPr>
          <w:rFonts w:hint="eastAsia" w:ascii="方正小标宋简体" w:hAnsi="方正小标宋简体" w:eastAsia="方正小标宋简体" w:cs="方正小标宋简体"/>
          <w:spacing w:val="-11"/>
          <w:sz w:val="44"/>
          <w:szCs w:val="44"/>
          <w:lang w:eastAsia="zh-CN"/>
        </w:rPr>
        <w:t>医药科技服务业发展</w:t>
      </w:r>
      <w:r>
        <w:rPr>
          <w:rFonts w:hint="eastAsia" w:ascii="方正小标宋简体" w:hAnsi="方正小标宋简体" w:eastAsia="方正小标宋简体" w:cs="方正小标宋简体"/>
          <w:spacing w:val="-11"/>
          <w:sz w:val="44"/>
          <w:szCs w:val="44"/>
          <w:lang w:val="en-US" w:eastAsia="zh-CN"/>
        </w:rPr>
        <w:t>奖励</w:t>
      </w:r>
    </w:p>
    <w:p w14:paraId="4EBC1799">
      <w:pPr>
        <w:keepNext w:val="0"/>
        <w:keepLines w:val="0"/>
        <w:pageBreakBefore w:val="0"/>
        <w:kinsoku/>
        <w:wordWrap/>
        <w:overflowPunct/>
        <w:topLinePunct w:val="0"/>
        <w:autoSpaceDE/>
        <w:autoSpaceDN/>
        <w:bidi w:val="0"/>
        <w:adjustRightInd w:val="0"/>
        <w:snapToGrid w:val="0"/>
        <w:spacing w:line="560" w:lineRule="exact"/>
        <w:jc w:val="center"/>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办事指南</w:t>
      </w:r>
    </w:p>
    <w:p w14:paraId="17176D97">
      <w:pPr>
        <w:keepNext w:val="0"/>
        <w:keepLines w:val="0"/>
        <w:pageBreakBefore w:val="0"/>
        <w:kinsoku/>
        <w:wordWrap/>
        <w:overflowPunct/>
        <w:topLinePunct w:val="0"/>
        <w:autoSpaceDE/>
        <w:autoSpaceDN/>
        <w:bidi w:val="0"/>
        <w:adjustRightInd w:val="0"/>
        <w:snapToGrid w:val="0"/>
        <w:spacing w:line="560" w:lineRule="exact"/>
        <w:ind w:firstLine="640" w:firstLineChars="200"/>
        <w:rPr>
          <w:rFonts w:ascii="仿宋_GB2312" w:hAnsi="仿宋_GB2312" w:eastAsia="仿宋_GB2312" w:cs="仿宋_GB2312"/>
          <w:sz w:val="32"/>
          <w:szCs w:val="32"/>
        </w:rPr>
      </w:pPr>
    </w:p>
    <w:p w14:paraId="3593FBE5">
      <w:pPr>
        <w:keepNext w:val="0"/>
        <w:keepLines w:val="0"/>
        <w:pageBreakBefore w:val="0"/>
        <w:kinsoku/>
        <w:wordWrap/>
        <w:overflowPunct/>
        <w:topLinePunct w:val="0"/>
        <w:autoSpaceDE/>
        <w:autoSpaceDN/>
        <w:bidi w:val="0"/>
        <w:adjustRightInd w:val="0"/>
        <w:snapToGrid w:val="0"/>
        <w:spacing w:line="560" w:lineRule="exact"/>
        <w:ind w:firstLine="640" w:firstLineChars="200"/>
        <w:outlineLvl w:val="0"/>
        <w:rPr>
          <w:rFonts w:ascii="黑体" w:hAnsi="黑体" w:eastAsia="黑体" w:cs="黑体"/>
          <w:color w:val="000000"/>
          <w:sz w:val="32"/>
          <w:szCs w:val="32"/>
        </w:rPr>
      </w:pPr>
      <w:r>
        <w:rPr>
          <w:rFonts w:hint="eastAsia" w:ascii="黑体" w:hAnsi="黑体" w:eastAsia="黑体" w:cs="黑体"/>
          <w:sz w:val="32"/>
          <w:szCs w:val="32"/>
        </w:rPr>
        <w:t>一、政策依据</w:t>
      </w:r>
    </w:p>
    <w:p w14:paraId="76D5C194">
      <w:pPr>
        <w:keepNext w:val="0"/>
        <w:keepLines w:val="0"/>
        <w:pageBreakBefore w:val="0"/>
        <w:widowControl/>
        <w:kinsoku/>
        <w:wordWrap/>
        <w:overflowPunct/>
        <w:topLinePunct w:val="0"/>
        <w:autoSpaceDE/>
        <w:autoSpaceDN/>
        <w:bidi w:val="0"/>
        <w:adjustRightInd/>
        <w:snapToGrid w:val="0"/>
        <w:spacing w:line="560" w:lineRule="exact"/>
        <w:ind w:firstLine="640" w:firstLineChars="200"/>
        <w:jc w:val="both"/>
        <w:textAlignment w:val="auto"/>
        <w:rPr>
          <w:rFonts w:hint="eastAsia" w:ascii="CESI仿宋-GB2312" w:hAnsi="CESI仿宋-GB2312" w:eastAsia="CESI仿宋-GB2312" w:cs="CESI仿宋-GB2312"/>
          <w:szCs w:val="22"/>
          <w:lang w:val="zh-TW"/>
        </w:rPr>
      </w:pPr>
      <w:r>
        <w:rPr>
          <w:rFonts w:hint="eastAsia" w:ascii="仿宋_GB2312" w:hAnsi="仿宋_GB2312" w:eastAsia="仿宋_GB2312" w:cs="仿宋_GB2312"/>
          <w:sz w:val="32"/>
          <w:szCs w:val="32"/>
          <w:lang w:val="zh-TW"/>
        </w:rPr>
        <w:t>《</w:t>
      </w:r>
      <w:r>
        <w:rPr>
          <w:rFonts w:hint="eastAsia" w:ascii="仿宋_GB2312" w:hAnsi="仿宋_GB2312" w:eastAsia="仿宋_GB2312" w:cs="仿宋_GB2312"/>
          <w:sz w:val="32"/>
          <w:szCs w:val="32"/>
          <w:lang w:val="zh-TW" w:eastAsia="zh-Hans"/>
        </w:rPr>
        <w:t>北京经济技术开发区关于促进医药健康产业高质量发展的若干</w:t>
      </w:r>
      <w:r>
        <w:rPr>
          <w:rFonts w:hint="eastAsia" w:ascii="仿宋_GB2312" w:hAnsi="仿宋_GB2312" w:eastAsia="仿宋_GB2312" w:cs="仿宋_GB2312"/>
          <w:sz w:val="32"/>
          <w:szCs w:val="32"/>
          <w:lang w:val="zh-TW" w:eastAsia="zh-CN"/>
        </w:rPr>
        <w:t>意见》</w:t>
      </w:r>
      <w:r>
        <w:rPr>
          <w:rFonts w:hint="eastAsia" w:ascii="仿宋_GB2312" w:hAnsi="仿宋_GB2312" w:eastAsia="仿宋_GB2312" w:cs="仿宋_GB2312"/>
          <w:sz w:val="32"/>
          <w:szCs w:val="32"/>
          <w:lang w:val="zh-TW"/>
        </w:rPr>
        <w:t>（京技管发</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val="zh-TW"/>
        </w:rPr>
        <w:t>）第十条，</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鼓励医药科技服务业发展。加大对面向医药产品早期探索、成果转化、临床研究、中试生产、注册上市、市场销售等全生命周期提供解决方案的医药科技服务业的支持。支持创新企业向中试服务机构、高端制剂机构、合同研发机构(CRO)、合同定制研发生产机构(CDMO)、合同外包生产机构(CMO)，以及新药评价、实验动物、检测检验、医药供应链、设备维护等科技服务业机构购买服务，每年发放5000万元医药创新服务券，企业单次申领金额最高不超过合同金额20%，同一企业每自然年度累计申请和兑付创新服务券金额不超过200万元，同一合同仅能申请一次</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p>
    <w:p w14:paraId="68551BB4">
      <w:pPr>
        <w:keepNext w:val="0"/>
        <w:keepLines w:val="0"/>
        <w:pageBreakBefore w:val="0"/>
        <w:kinsoku/>
        <w:wordWrap/>
        <w:overflowPunct/>
        <w:topLinePunct w:val="0"/>
        <w:autoSpaceDE/>
        <w:autoSpaceDN/>
        <w:bidi w:val="0"/>
        <w:adjustRightInd w:val="0"/>
        <w:snapToGrid w:val="0"/>
        <w:spacing w:line="560" w:lineRule="exact"/>
        <w:ind w:firstLine="640" w:firstLineChars="200"/>
        <w:outlineLvl w:val="0"/>
        <w:rPr>
          <w:rFonts w:ascii="黑体" w:hAnsi="黑体" w:eastAsia="黑体" w:cs="黑体"/>
          <w:sz w:val="32"/>
          <w:szCs w:val="32"/>
        </w:rPr>
      </w:pPr>
      <w:r>
        <w:rPr>
          <w:rFonts w:hint="eastAsia" w:ascii="黑体" w:hAnsi="黑体" w:eastAsia="黑体" w:cs="黑体"/>
          <w:sz w:val="32"/>
          <w:szCs w:val="32"/>
        </w:rPr>
        <w:t>二、申报事项</w:t>
      </w:r>
    </w:p>
    <w:p w14:paraId="1616379F">
      <w:pPr>
        <w:keepNext w:val="0"/>
        <w:keepLines w:val="0"/>
        <w:pageBreakBefore w:val="0"/>
        <w:kinsoku/>
        <w:wordWrap/>
        <w:overflowPunct/>
        <w:topLinePunct w:val="0"/>
        <w:autoSpaceDE/>
        <w:autoSpaceDN/>
        <w:bidi w:val="0"/>
        <w:adjustRightInd w:val="0"/>
        <w:snapToGrid w:val="0"/>
        <w:spacing w:line="560" w:lineRule="exact"/>
        <w:ind w:firstLine="640" w:firstLineChars="200"/>
        <w:rPr>
          <w:rFonts w:hint="default" w:eastAsia="仿宋_GB2312" w:cs="仿宋_GB2312"/>
          <w:sz w:val="32"/>
          <w:szCs w:val="32"/>
          <w:lang w:val="en-US"/>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4-2025</w:t>
      </w:r>
      <w:r>
        <w:rPr>
          <w:rFonts w:hint="eastAsia" w:eastAsia="仿宋_GB2312" w:cs="仿宋_GB2312"/>
          <w:sz w:val="32"/>
          <w:szCs w:val="32"/>
        </w:rPr>
        <w:t>年度</w:t>
      </w:r>
      <w:r>
        <w:rPr>
          <w:rFonts w:hint="eastAsia" w:eastAsia="仿宋_GB2312" w:cs="仿宋_GB2312"/>
          <w:sz w:val="32"/>
          <w:szCs w:val="32"/>
          <w:lang w:val="en-US" w:eastAsia="zh-CN"/>
        </w:rPr>
        <w:t>支持</w:t>
      </w:r>
      <w:r>
        <w:rPr>
          <w:rFonts w:hint="eastAsia" w:eastAsia="仿宋_GB2312" w:cs="仿宋_GB2312"/>
          <w:sz w:val="32"/>
          <w:szCs w:val="32"/>
          <w:lang w:eastAsia="zh-CN"/>
        </w:rPr>
        <w:t>医药科技服务业发展</w:t>
      </w:r>
      <w:r>
        <w:rPr>
          <w:rFonts w:hint="eastAsia" w:eastAsia="仿宋_GB2312" w:cs="仿宋_GB2312"/>
          <w:sz w:val="32"/>
          <w:szCs w:val="32"/>
          <w:lang w:val="en-US" w:eastAsia="zh-CN"/>
        </w:rPr>
        <w:t>奖励</w:t>
      </w:r>
    </w:p>
    <w:p w14:paraId="45FA44AF">
      <w:pPr>
        <w:keepNext w:val="0"/>
        <w:keepLines w:val="0"/>
        <w:pageBreakBefore w:val="0"/>
        <w:kinsoku/>
        <w:wordWrap/>
        <w:overflowPunct/>
        <w:topLinePunct w:val="0"/>
        <w:autoSpaceDE/>
        <w:autoSpaceDN/>
        <w:bidi w:val="0"/>
        <w:adjustRightInd w:val="0"/>
        <w:snapToGrid w:val="0"/>
        <w:spacing w:line="560" w:lineRule="exact"/>
        <w:ind w:firstLine="640" w:firstLineChars="200"/>
        <w:outlineLvl w:val="0"/>
        <w:rPr>
          <w:rFonts w:ascii="黑体" w:hAnsi="黑体" w:eastAsia="黑体" w:cs="黑体"/>
          <w:bCs/>
          <w:color w:val="000000"/>
          <w:sz w:val="32"/>
          <w:szCs w:val="32"/>
        </w:rPr>
      </w:pPr>
      <w:r>
        <w:rPr>
          <w:rFonts w:hint="eastAsia" w:ascii="黑体" w:hAnsi="黑体" w:eastAsia="黑体" w:cs="黑体"/>
          <w:bCs/>
          <w:color w:val="000000"/>
          <w:sz w:val="32"/>
          <w:szCs w:val="32"/>
        </w:rPr>
        <w:t>三、申报条件</w:t>
      </w:r>
    </w:p>
    <w:p w14:paraId="72363428">
      <w:pPr>
        <w:keepNext w:val="0"/>
        <w:keepLines w:val="0"/>
        <w:pageBreakBefore w:val="0"/>
        <w:kinsoku/>
        <w:wordWrap/>
        <w:overflowPunct/>
        <w:topLinePunct w:val="0"/>
        <w:autoSpaceDE/>
        <w:autoSpaceDN/>
        <w:bidi w:val="0"/>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申报主体应为在亦庄新城225平方公里范围内依法实际经营的各类主体，包括企事业单位、高校、科研院所、社会组织、独立研发机构等。近三年无重大行政处罚及刑事犯罪记录、未列入严重违法失信主体名单。</w:t>
      </w:r>
    </w:p>
    <w:p w14:paraId="3B5E480A">
      <w:pPr>
        <w:keepNext w:val="0"/>
        <w:keepLines w:val="0"/>
        <w:pageBreakBefore w:val="0"/>
        <w:widowControl/>
        <w:kinsoku/>
        <w:wordWrap w:val="0"/>
        <w:overflowPunct/>
        <w:topLinePunct w:val="0"/>
        <w:autoSpaceDE/>
        <w:autoSpaceDN/>
        <w:bidi w:val="0"/>
        <w:adjustRightInd w:val="0"/>
        <w:snapToGrid w:val="0"/>
        <w:spacing w:line="560" w:lineRule="exact"/>
        <w:ind w:firstLine="640" w:firstLineChars="200"/>
        <w:jc w:val="left"/>
        <w:textAlignment w:val="auto"/>
        <w:rPr>
          <w:rStyle w:val="13"/>
          <w:rFonts w:hint="eastAsia" w:ascii="仿宋_GB2312" w:hAnsi="仿宋_GB2312" w:eastAsia="仿宋_GB2312" w:cs="仿宋_GB2312"/>
          <w:b w:val="0"/>
          <w:bCs/>
          <w:sz w:val="32"/>
          <w:szCs w:val="32"/>
          <w:highlight w:val="none"/>
          <w:lang w:val="en-US" w:eastAsia="zh-CN"/>
        </w:rPr>
      </w:pPr>
      <w:r>
        <w:rPr>
          <w:rFonts w:hint="eastAsia" w:ascii="仿宋_GB2312" w:hAnsi="仿宋_GB2312" w:eastAsia="仿宋_GB2312" w:cs="仿宋_GB2312"/>
          <w:sz w:val="32"/>
          <w:szCs w:val="32"/>
          <w:lang w:val="en-US" w:eastAsia="zh-CN"/>
        </w:rPr>
        <w:t>（二）申报主体在北京经济技术开发区医药科技服务机构（详见特别说明）</w:t>
      </w:r>
      <w:r>
        <w:rPr>
          <w:rFonts w:hint="eastAsia" w:ascii="仿宋_GB2312" w:hAnsi="仿宋_GB2312" w:eastAsia="仿宋_GB2312" w:cs="仿宋_GB2312"/>
          <w:bCs/>
          <w:sz w:val="32"/>
          <w:szCs w:val="32"/>
          <w:lang w:eastAsia="zh-CN"/>
        </w:rPr>
        <w:t>购买</w:t>
      </w:r>
      <w:r>
        <w:rPr>
          <w:rFonts w:hint="eastAsia" w:ascii="仿宋_GB2312" w:eastAsia="仿宋_GB2312" w:cs="仿宋_GB2312"/>
          <w:sz w:val="32"/>
          <w:szCs w:val="32"/>
          <w:lang w:val="en-US" w:eastAsia="zh-CN"/>
        </w:rPr>
        <w:t>医药科技</w:t>
      </w:r>
      <w:r>
        <w:rPr>
          <w:rFonts w:ascii="仿宋_GB2312" w:eastAsia="仿宋_GB2312" w:cs="仿宋_GB2312"/>
          <w:sz w:val="32"/>
          <w:szCs w:val="32"/>
        </w:rPr>
        <w:t>服务项目</w:t>
      </w:r>
      <w:r>
        <w:rPr>
          <w:rFonts w:hint="eastAsia" w:ascii="仿宋_GB2312" w:hAnsi="仿宋_GB2312" w:eastAsia="仿宋_GB2312" w:cs="仿宋_GB2312"/>
          <w:sz w:val="32"/>
          <w:szCs w:val="32"/>
          <w:highlight w:val="none"/>
          <w:lang w:val="en-US" w:eastAsia="zh-CN"/>
        </w:rPr>
        <w:t>，且双方</w:t>
      </w:r>
      <w:r>
        <w:rPr>
          <w:rStyle w:val="13"/>
          <w:rFonts w:hint="eastAsia" w:ascii="仿宋_GB2312" w:hAnsi="仿宋_GB2312" w:eastAsia="仿宋_GB2312" w:cs="仿宋_GB2312"/>
          <w:b w:val="0"/>
          <w:bCs/>
          <w:sz w:val="32"/>
          <w:szCs w:val="32"/>
          <w:highlight w:val="none"/>
          <w:lang w:val="en-US" w:eastAsia="zh-CN"/>
        </w:rPr>
        <w:t>不存在控制与被控制的股权关系。</w:t>
      </w:r>
    </w:p>
    <w:p w14:paraId="217BD441">
      <w:pPr>
        <w:keepNext w:val="0"/>
        <w:keepLines w:val="0"/>
        <w:pageBreakBefore w:val="0"/>
        <w:kinsoku/>
        <w:wordWrap/>
        <w:overflowPunct/>
        <w:topLinePunct w:val="0"/>
        <w:autoSpaceDE/>
        <w:autoSpaceDN/>
        <w:bidi w:val="0"/>
        <w:adjustRightInd w:val="0"/>
        <w:snapToGrid w:val="0"/>
        <w:spacing w:line="560" w:lineRule="exact"/>
        <w:ind w:firstLine="640" w:firstLineChars="200"/>
        <w:rPr>
          <w:rFonts w:ascii="黑体" w:hAnsi="黑体" w:eastAsia="黑体" w:cs="黑体"/>
          <w:bCs/>
          <w:color w:val="000000"/>
          <w:sz w:val="32"/>
          <w:szCs w:val="32"/>
        </w:rPr>
      </w:pPr>
      <w:r>
        <w:rPr>
          <w:rFonts w:hint="eastAsia" w:ascii="黑体" w:hAnsi="黑体" w:eastAsia="黑体" w:cs="黑体"/>
          <w:bCs/>
          <w:color w:val="000000"/>
          <w:sz w:val="32"/>
          <w:szCs w:val="32"/>
        </w:rPr>
        <w:t>四、支持对象及标准</w:t>
      </w:r>
    </w:p>
    <w:p w14:paraId="1832F1CF">
      <w:pPr>
        <w:pStyle w:val="2"/>
        <w:keepNext w:val="0"/>
        <w:keepLines w:val="0"/>
        <w:pageBreakBefore w:val="0"/>
        <w:kinsoku/>
        <w:wordWrap/>
        <w:overflowPunct/>
        <w:topLinePunct w:val="0"/>
        <w:autoSpaceDE/>
        <w:autoSpaceDN/>
        <w:bidi w:val="0"/>
        <w:spacing w:line="560" w:lineRule="exact"/>
        <w:ind w:firstLine="640" w:firstLineChars="0"/>
        <w:rPr>
          <w:rFonts w:hint="eastAsia" w:ascii="仿宋_GB2312" w:hAnsi="仿宋_GB2312" w:eastAsia="仿宋_GB2312" w:cs="仿宋_GB2312"/>
          <w:kern w:val="0"/>
          <w:highlight w:val="none"/>
          <w:lang w:val="en-US" w:eastAsia="zh-CN"/>
        </w:rPr>
      </w:pPr>
      <w:r>
        <w:rPr>
          <w:rFonts w:hint="eastAsia" w:cs="仿宋_GB2312"/>
          <w:kern w:val="0"/>
          <w:lang w:val="en-US" w:eastAsia="zh-CN"/>
        </w:rPr>
        <w:t>（一）</w:t>
      </w:r>
      <w:r>
        <w:rPr>
          <w:rFonts w:hint="eastAsia" w:ascii="仿宋_GB2312" w:hAnsi="仿宋_GB2312" w:eastAsia="仿宋_GB2312" w:cs="仿宋_GB2312"/>
          <w:kern w:val="0"/>
          <w:lang w:eastAsia="zh-CN"/>
        </w:rPr>
        <w:t>申报</w:t>
      </w:r>
      <w:r>
        <w:rPr>
          <w:rFonts w:hint="eastAsia" w:cs="仿宋_GB2312"/>
          <w:kern w:val="0"/>
          <w:lang w:eastAsia="zh-CN"/>
        </w:rPr>
        <w:t>主体</w:t>
      </w:r>
      <w:r>
        <w:rPr>
          <w:rFonts w:hint="eastAsia" w:ascii="仿宋_GB2312" w:hAnsi="仿宋_GB2312" w:eastAsia="仿宋_GB2312" w:cs="仿宋_GB2312"/>
          <w:kern w:val="0"/>
          <w:lang w:eastAsia="zh-CN"/>
        </w:rPr>
        <w:t>与</w:t>
      </w:r>
      <w:r>
        <w:rPr>
          <w:rFonts w:hint="eastAsia" w:ascii="仿宋_GB2312" w:hAnsi="仿宋_GB2312" w:eastAsia="仿宋_GB2312" w:cs="仿宋_GB2312"/>
          <w:sz w:val="32"/>
          <w:szCs w:val="32"/>
          <w:lang w:val="en-US" w:eastAsia="zh-CN"/>
        </w:rPr>
        <w:t>经开区医药科技服务机构清单内服务机构</w:t>
      </w:r>
      <w:r>
        <w:rPr>
          <w:rFonts w:hint="eastAsia" w:ascii="仿宋_GB2312" w:hAnsi="仿宋_GB2312" w:eastAsia="仿宋_GB2312" w:cs="仿宋_GB2312"/>
          <w:kern w:val="0"/>
          <w:lang w:eastAsia="zh-CN"/>
        </w:rPr>
        <w:t>签订服务合同，合同</w:t>
      </w:r>
      <w:r>
        <w:rPr>
          <w:rFonts w:hint="eastAsia" w:cs="仿宋_GB2312"/>
          <w:kern w:val="0"/>
          <w:lang w:eastAsia="zh-CN"/>
        </w:rPr>
        <w:t>须</w:t>
      </w:r>
      <w:r>
        <w:rPr>
          <w:rFonts w:hint="eastAsia" w:ascii="仿宋_GB2312" w:hAnsi="仿宋_GB2312" w:eastAsia="仿宋_GB2312" w:cs="仿宋_GB2312"/>
          <w:kern w:val="0"/>
          <w:lang w:eastAsia="zh-CN"/>
        </w:rPr>
        <w:t>于</w:t>
      </w:r>
      <w:r>
        <w:rPr>
          <w:rFonts w:hint="eastAsia" w:ascii="仿宋_GB2312" w:hAnsi="仿宋_GB2312" w:eastAsia="仿宋_GB2312" w:cs="仿宋_GB2312"/>
          <w:kern w:val="0"/>
          <w:lang w:val="en-US" w:eastAsia="zh-CN"/>
        </w:rPr>
        <w:t>2024年1月1日至2025年12月31日期间</w:t>
      </w:r>
      <w:r>
        <w:rPr>
          <w:rFonts w:hint="eastAsia" w:cs="仿宋_GB2312"/>
          <w:kern w:val="0"/>
          <w:lang w:val="en-US" w:eastAsia="zh-CN"/>
        </w:rPr>
        <w:t>履行</w:t>
      </w:r>
      <w:r>
        <w:rPr>
          <w:rFonts w:hint="eastAsia" w:ascii="仿宋_GB2312" w:hAnsi="仿宋_GB2312" w:eastAsia="仿宋_GB2312" w:cs="仿宋_GB2312"/>
          <w:kern w:val="0"/>
          <w:lang w:val="en-US" w:eastAsia="zh-CN"/>
        </w:rPr>
        <w:t>完毕</w:t>
      </w:r>
      <w:r>
        <w:rPr>
          <w:rFonts w:hint="eastAsia" w:ascii="仿宋_GB2312" w:hAnsi="仿宋_GB2312" w:eastAsia="仿宋_GB2312" w:cs="仿宋_GB2312"/>
          <w:color w:val="auto"/>
          <w:kern w:val="0"/>
          <w:highlight w:val="none"/>
          <w:lang w:val="en-US" w:eastAsia="zh-CN"/>
        </w:rPr>
        <w:t>并实际付款。</w:t>
      </w:r>
    </w:p>
    <w:p w14:paraId="1A28B069">
      <w:pPr>
        <w:pStyle w:val="2"/>
        <w:keepNext w:val="0"/>
        <w:keepLines w:val="0"/>
        <w:pageBreakBefore w:val="0"/>
        <w:kinsoku/>
        <w:wordWrap/>
        <w:overflowPunct/>
        <w:topLinePunct w:val="0"/>
        <w:autoSpaceDE/>
        <w:autoSpaceDN/>
        <w:bidi w:val="0"/>
        <w:spacing w:line="560" w:lineRule="exact"/>
        <w:ind w:firstLine="640" w:firstLineChars="0"/>
        <w:rPr>
          <w:rFonts w:hint="eastAsia" w:ascii="仿宋_GB2312" w:hAnsi="仿宋_GB2312" w:eastAsia="仿宋_GB2312" w:cs="仿宋_GB2312"/>
          <w:highlight w:val="none"/>
          <w:lang w:val="en-US" w:eastAsia="zh-CN"/>
        </w:rPr>
      </w:pPr>
      <w:r>
        <w:rPr>
          <w:rFonts w:hint="eastAsia" w:cs="仿宋_GB2312"/>
          <w:kern w:val="0"/>
          <w:lang w:val="en-US" w:eastAsia="zh-CN"/>
        </w:rPr>
        <w:t>（二）</w:t>
      </w:r>
      <w:r>
        <w:rPr>
          <w:rFonts w:hint="eastAsia" w:ascii="仿宋_GB2312" w:hAnsi="仿宋_GB2312" w:eastAsia="仿宋_GB2312" w:cs="仿宋_GB2312"/>
          <w:kern w:val="0"/>
          <w:lang w:eastAsia="zh-CN"/>
        </w:rPr>
        <w:t>单个合同</w:t>
      </w:r>
      <w:r>
        <w:rPr>
          <w:rFonts w:hint="eastAsia" w:cs="仿宋_GB2312"/>
          <w:kern w:val="0"/>
          <w:lang w:val="en-US" w:eastAsia="zh-CN"/>
        </w:rPr>
        <w:t>申领</w:t>
      </w:r>
      <w:r>
        <w:rPr>
          <w:rFonts w:hint="eastAsia" w:ascii="仿宋_GB2312" w:hAnsi="仿宋_GB2312" w:eastAsia="仿宋_GB2312" w:cs="仿宋_GB2312"/>
          <w:kern w:val="0"/>
          <w:lang w:eastAsia="zh-CN"/>
        </w:rPr>
        <w:t>金额最高不超过实际发生费用的20%。</w:t>
      </w:r>
      <w:r>
        <w:rPr>
          <w:rFonts w:hint="eastAsia" w:cs="仿宋_GB2312"/>
          <w:kern w:val="0"/>
          <w:lang w:val="en-US" w:eastAsia="zh-CN"/>
        </w:rPr>
        <w:t>申</w:t>
      </w:r>
      <w:r>
        <w:rPr>
          <w:rFonts w:hint="eastAsia" w:cs="仿宋_GB2312"/>
          <w:kern w:val="0"/>
          <w:highlight w:val="none"/>
          <w:lang w:val="en-US" w:eastAsia="zh-CN"/>
        </w:rPr>
        <w:t>领</w:t>
      </w:r>
      <w:r>
        <w:rPr>
          <w:rFonts w:hint="eastAsia" w:ascii="仿宋_GB2312" w:hAnsi="仿宋_GB2312" w:eastAsia="仿宋_GB2312" w:cs="仿宋_GB2312"/>
          <w:highlight w:val="none"/>
          <w:lang w:eastAsia="zh-CN"/>
        </w:rPr>
        <w:t>金额核算公式为：</w:t>
      </w:r>
      <w:r>
        <w:rPr>
          <w:rFonts w:hint="eastAsia" w:cs="仿宋_GB2312"/>
          <w:highlight w:val="none"/>
          <w:lang w:val="en-US" w:eastAsia="zh-CN"/>
        </w:rPr>
        <w:t>申领</w:t>
      </w:r>
      <w:r>
        <w:rPr>
          <w:rFonts w:hint="eastAsia" w:ascii="仿宋_GB2312" w:hAnsi="仿宋_GB2312" w:eastAsia="仿宋_GB2312" w:cs="仿宋_GB2312"/>
          <w:highlight w:val="none"/>
          <w:lang w:eastAsia="zh-CN"/>
        </w:rPr>
        <w:t>金额</w:t>
      </w:r>
      <w:r>
        <w:rPr>
          <w:rFonts w:hint="eastAsia" w:ascii="仿宋_GB2312" w:hAnsi="仿宋_GB2312" w:eastAsia="仿宋_GB2312" w:cs="仿宋_GB2312"/>
          <w:highlight w:val="none"/>
          <w:lang w:val="en-US" w:eastAsia="zh-CN"/>
        </w:rPr>
        <w:t>=合同实际发生费用×20%</w:t>
      </w:r>
      <w:r>
        <w:rPr>
          <w:rFonts w:hint="eastAsia" w:cs="仿宋_GB2312"/>
          <w:highlight w:val="none"/>
          <w:lang w:val="en-US" w:eastAsia="zh-CN"/>
        </w:rPr>
        <w:t>，</w:t>
      </w:r>
      <w:r>
        <w:rPr>
          <w:rFonts w:hint="eastAsia" w:ascii="仿宋_GB2312" w:hAnsi="仿宋_GB2312" w:eastAsia="仿宋_GB2312" w:cs="仿宋_GB2312"/>
          <w:highlight w:val="none"/>
          <w:lang w:eastAsia="zh-CN"/>
        </w:rPr>
        <w:t>合同实际发生</w:t>
      </w:r>
      <w:r>
        <w:rPr>
          <w:rFonts w:hint="eastAsia" w:ascii="仿宋_GB2312" w:hAnsi="仿宋_GB2312" w:eastAsia="仿宋_GB2312" w:cs="仿宋_GB2312"/>
          <w:highlight w:val="none"/>
        </w:rPr>
        <w:t>费用</w:t>
      </w:r>
      <w:r>
        <w:rPr>
          <w:rFonts w:hint="eastAsia" w:ascii="仿宋_GB2312" w:hAnsi="仿宋_GB2312" w:eastAsia="仿宋_GB2312" w:cs="仿宋_GB2312"/>
          <w:highlight w:val="none"/>
          <w:lang w:eastAsia="zh-CN"/>
        </w:rPr>
        <w:t>金额（含税金）</w:t>
      </w:r>
      <w:r>
        <w:rPr>
          <w:rFonts w:hint="eastAsia" w:cs="仿宋_GB2312"/>
          <w:highlight w:val="none"/>
          <w:lang w:eastAsia="zh-CN"/>
        </w:rPr>
        <w:t>、支持金额均</w:t>
      </w:r>
      <w:r>
        <w:rPr>
          <w:rFonts w:hint="eastAsia" w:ascii="仿宋_GB2312" w:hAnsi="仿宋_GB2312" w:eastAsia="仿宋_GB2312" w:cs="仿宋_GB2312"/>
          <w:highlight w:val="none"/>
        </w:rPr>
        <w:t>以元为单位，舍去不足元的部分。</w:t>
      </w:r>
    </w:p>
    <w:p w14:paraId="756906B4">
      <w:pPr>
        <w:pStyle w:val="2"/>
        <w:keepNext w:val="0"/>
        <w:keepLines w:val="0"/>
        <w:pageBreakBefore w:val="0"/>
        <w:kinsoku/>
        <w:wordWrap/>
        <w:overflowPunct/>
        <w:topLinePunct w:val="0"/>
        <w:autoSpaceDE/>
        <w:autoSpaceDN/>
        <w:bidi w:val="0"/>
        <w:spacing w:line="560" w:lineRule="exact"/>
        <w:ind w:firstLine="640" w:firstLineChars="0"/>
        <w:rPr>
          <w:rFonts w:hint="eastAsia" w:ascii="仿宋_GB2312" w:hAnsi="仿宋_GB2312" w:eastAsia="仿宋_GB2312" w:cs="仿宋_GB2312"/>
          <w:highlight w:val="none"/>
        </w:rPr>
      </w:pPr>
      <w:r>
        <w:rPr>
          <w:rFonts w:hint="eastAsia" w:cs="仿宋_GB2312"/>
          <w:highlight w:val="none"/>
          <w:lang w:val="en-US" w:eastAsia="zh-CN"/>
        </w:rPr>
        <w:t>（三）</w:t>
      </w:r>
      <w:r>
        <w:rPr>
          <w:rFonts w:hint="eastAsia" w:ascii="仿宋_GB2312" w:hAnsi="仿宋_GB2312" w:eastAsia="仿宋_GB2312" w:cs="仿宋_GB2312"/>
          <w:kern w:val="0"/>
          <w:highlight w:val="none"/>
          <w:lang w:eastAsia="zh-CN"/>
        </w:rPr>
        <w:t>同一合同仅能</w:t>
      </w:r>
      <w:r>
        <w:rPr>
          <w:rFonts w:hint="eastAsia" w:cs="仿宋_GB2312"/>
          <w:kern w:val="0"/>
          <w:highlight w:val="none"/>
          <w:lang w:val="en-US" w:eastAsia="zh-CN"/>
        </w:rPr>
        <w:t>申请一次</w:t>
      </w:r>
      <w:r>
        <w:rPr>
          <w:rFonts w:hint="eastAsia" w:ascii="仿宋_GB2312" w:hAnsi="仿宋_GB2312" w:eastAsia="仿宋_GB2312" w:cs="仿宋_GB2312"/>
          <w:kern w:val="0"/>
          <w:highlight w:val="none"/>
          <w:lang w:eastAsia="zh-CN"/>
        </w:rPr>
        <w:t>。同一</w:t>
      </w:r>
      <w:r>
        <w:rPr>
          <w:rFonts w:hint="eastAsia" w:cs="仿宋_GB2312"/>
          <w:kern w:val="0"/>
          <w:highlight w:val="none"/>
          <w:lang w:val="en-US" w:eastAsia="zh-CN"/>
        </w:rPr>
        <w:t>申报主体</w:t>
      </w:r>
      <w:r>
        <w:rPr>
          <w:rFonts w:hint="eastAsia" w:ascii="仿宋_GB2312" w:hAnsi="仿宋_GB2312" w:eastAsia="仿宋_GB2312" w:cs="仿宋_GB2312"/>
          <w:kern w:val="0"/>
          <w:highlight w:val="none"/>
          <w:lang w:eastAsia="zh-CN"/>
        </w:rPr>
        <w:t>每年累计申请兑付金额不超过200万元。</w:t>
      </w:r>
    </w:p>
    <w:p w14:paraId="292F7F93">
      <w:pPr>
        <w:keepNext w:val="0"/>
        <w:keepLines w:val="0"/>
        <w:pageBreakBefore w:val="0"/>
        <w:kinsoku/>
        <w:wordWrap/>
        <w:overflowPunct/>
        <w:topLinePunct w:val="0"/>
        <w:autoSpaceDE/>
        <w:autoSpaceDN/>
        <w:bidi w:val="0"/>
        <w:adjustRightInd w:val="0"/>
        <w:snapToGrid w:val="0"/>
        <w:spacing w:line="560" w:lineRule="exact"/>
        <w:ind w:firstLine="640" w:firstLineChars="200"/>
        <w:outlineLvl w:val="0"/>
        <w:rPr>
          <w:rFonts w:ascii="黑体" w:hAnsi="黑体" w:eastAsia="黑体" w:cs="黑体"/>
          <w:sz w:val="32"/>
          <w:szCs w:val="32"/>
        </w:rPr>
      </w:pPr>
      <w:r>
        <w:rPr>
          <w:rFonts w:hint="eastAsia" w:ascii="黑体" w:hAnsi="黑体" w:eastAsia="黑体" w:cs="黑体"/>
          <w:sz w:val="32"/>
          <w:szCs w:val="32"/>
        </w:rPr>
        <w:t>五、申报材料及要求</w:t>
      </w:r>
    </w:p>
    <w:p w14:paraId="4F4BD114">
      <w:pPr>
        <w:keepNext w:val="0"/>
        <w:keepLines w:val="0"/>
        <w:pageBreakBefore w:val="0"/>
        <w:kinsoku/>
        <w:wordWrap/>
        <w:overflowPunct/>
        <w:topLinePunct w:val="0"/>
        <w:autoSpaceDE/>
        <w:autoSpaceDN/>
        <w:bidi w:val="0"/>
        <w:adjustRightInd w:val="0"/>
        <w:snapToGrid w:val="0"/>
        <w:spacing w:line="560" w:lineRule="exact"/>
        <w:ind w:firstLine="640" w:firstLineChars="200"/>
        <w:rPr>
          <w:rFonts w:ascii="Times New Roman" w:hAnsi="Times New Roman"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4-2025</w:t>
      </w:r>
      <w:r>
        <w:rPr>
          <w:rFonts w:hint="eastAsia" w:eastAsia="仿宋_GB2312" w:cs="仿宋_GB2312"/>
          <w:sz w:val="32"/>
          <w:szCs w:val="32"/>
        </w:rPr>
        <w:t>年度</w:t>
      </w:r>
      <w:r>
        <w:rPr>
          <w:rFonts w:hint="eastAsia" w:eastAsia="仿宋_GB2312" w:cs="仿宋_GB2312"/>
          <w:sz w:val="32"/>
          <w:szCs w:val="32"/>
          <w:lang w:val="en-US" w:eastAsia="zh-CN"/>
        </w:rPr>
        <w:t>支持</w:t>
      </w:r>
      <w:r>
        <w:rPr>
          <w:rFonts w:hint="eastAsia" w:eastAsia="仿宋_GB2312" w:cs="仿宋_GB2312"/>
          <w:sz w:val="32"/>
          <w:szCs w:val="32"/>
          <w:lang w:eastAsia="zh-CN"/>
        </w:rPr>
        <w:t>医药科技服务业发展</w:t>
      </w:r>
      <w:r>
        <w:rPr>
          <w:rFonts w:hint="eastAsia" w:eastAsia="仿宋_GB2312" w:cs="仿宋_GB2312"/>
          <w:sz w:val="32"/>
          <w:szCs w:val="32"/>
          <w:lang w:val="en-US" w:eastAsia="zh-CN"/>
        </w:rPr>
        <w:t>奖励</w:t>
      </w:r>
      <w:r>
        <w:rPr>
          <w:rFonts w:hint="eastAsia" w:ascii="仿宋_GB2312" w:hAnsi="仿宋_GB2312" w:eastAsia="仿宋_GB2312" w:cs="仿宋_GB2312"/>
          <w:bCs/>
          <w:sz w:val="32"/>
          <w:szCs w:val="32"/>
        </w:rPr>
        <w:t>申报表</w:t>
      </w:r>
      <w:r>
        <w:rPr>
          <w:rFonts w:hint="eastAsia" w:ascii="仿宋_GB2312" w:hAnsi="仿宋_GB2312" w:eastAsia="仿宋_GB2312" w:cs="仿宋_GB2312"/>
          <w:sz w:val="32"/>
          <w:szCs w:val="32"/>
        </w:rPr>
        <w:t>，在线填写</w:t>
      </w:r>
      <w:r>
        <w:rPr>
          <w:rFonts w:hint="eastAsia" w:ascii="仿宋_GB2312" w:hAnsi="仿宋_GB2312" w:eastAsia="仿宋_GB2312" w:cs="仿宋_GB2312"/>
          <w:spacing w:val="0"/>
          <w:sz w:val="32"/>
          <w:szCs w:val="32"/>
        </w:rPr>
        <w:t>；</w:t>
      </w:r>
    </w:p>
    <w:p w14:paraId="0D4FCDAB">
      <w:pPr>
        <w:keepNext w:val="0"/>
        <w:keepLines w:val="0"/>
        <w:pageBreakBefore w:val="0"/>
        <w:kinsoku/>
        <w:wordWrap/>
        <w:overflowPunct/>
        <w:topLinePunct w:val="0"/>
        <w:autoSpaceDE/>
        <w:autoSpaceDN/>
        <w:bidi w:val="0"/>
        <w:adjustRightInd w:val="0"/>
        <w:snapToGrid w:val="0"/>
        <w:spacing w:line="560" w:lineRule="exact"/>
        <w:ind w:firstLine="640" w:firstLineChars="200"/>
        <w:outlineLvl w:val="2"/>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bCs/>
          <w:sz w:val="32"/>
          <w:szCs w:val="32"/>
        </w:rPr>
        <w:t>申报主体法人资格证明：</w:t>
      </w:r>
      <w:r>
        <w:rPr>
          <w:rFonts w:hint="eastAsia" w:ascii="仿宋_GB2312" w:hAnsi="仿宋_GB2312" w:eastAsia="仿宋_GB2312" w:cs="仿宋_GB2312"/>
          <w:bCs/>
          <w:sz w:val="32"/>
          <w:szCs w:val="32"/>
          <w:lang w:val="en-US" w:eastAsia="zh-CN"/>
        </w:rPr>
        <w:t>企业</w:t>
      </w:r>
      <w:r>
        <w:rPr>
          <w:rFonts w:hint="eastAsia" w:ascii="仿宋_GB2312" w:hAnsi="仿宋_GB2312" w:eastAsia="仿宋_GB2312" w:cs="仿宋_GB2312"/>
          <w:bCs/>
          <w:sz w:val="32"/>
          <w:szCs w:val="32"/>
        </w:rPr>
        <w:t>营业执照</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选取电子证照</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或</w:t>
      </w:r>
      <w:r>
        <w:rPr>
          <w:rFonts w:hint="eastAsia" w:ascii="仿宋_GB2312" w:hAnsi="仿宋_GB2312" w:eastAsia="仿宋_GB2312" w:cs="仿宋_GB2312"/>
          <w:bCs/>
          <w:sz w:val="32"/>
          <w:szCs w:val="32"/>
        </w:rPr>
        <w:t>事业单位法人证书</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原件</w:t>
      </w:r>
      <w:r>
        <w:rPr>
          <w:rFonts w:hint="eastAsia" w:ascii="仿宋_GB2312" w:hAnsi="仿宋_GB2312" w:eastAsia="仿宋_GB2312" w:cs="仿宋_GB2312"/>
          <w:bCs/>
          <w:sz w:val="32"/>
          <w:szCs w:val="32"/>
        </w:rPr>
        <w:t>彩色扫描上传</w:t>
      </w:r>
      <w:r>
        <w:rPr>
          <w:rFonts w:hint="eastAsia" w:ascii="仿宋_GB2312" w:hAnsi="仿宋_GB2312" w:eastAsia="仿宋_GB2312" w:cs="仿宋_GB2312"/>
          <w:bCs/>
          <w:sz w:val="32"/>
          <w:szCs w:val="32"/>
          <w:lang w:eastAsia="zh-CN"/>
        </w:rPr>
        <w:t>；</w:t>
      </w:r>
    </w:p>
    <w:p w14:paraId="6748F718">
      <w:pPr>
        <w:keepNext w:val="0"/>
        <w:keepLines w:val="0"/>
        <w:pageBreakBefore w:val="0"/>
        <w:kinsoku/>
        <w:wordWrap/>
        <w:overflowPunct/>
        <w:topLinePunct w:val="0"/>
        <w:autoSpaceDE/>
        <w:autoSpaceDN/>
        <w:bidi w:val="0"/>
        <w:adjustRightInd w:val="0"/>
        <w:snapToGrid w:val="0"/>
        <w:spacing w:line="560" w:lineRule="exact"/>
        <w:ind w:firstLine="640" w:firstLineChars="200"/>
        <w:outlineLvl w:val="2"/>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承诺书，下载模版填写，</w:t>
      </w:r>
      <w:r>
        <w:rPr>
          <w:rFonts w:hint="eastAsia" w:ascii="仿宋_GB2312" w:hAnsi="仿宋_GB2312" w:eastAsia="仿宋_GB2312" w:cs="仿宋_GB2312"/>
          <w:spacing w:val="0"/>
          <w:sz w:val="32"/>
          <w:szCs w:val="32"/>
        </w:rPr>
        <w:t>签字</w:t>
      </w:r>
      <w:r>
        <w:rPr>
          <w:rFonts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rPr>
        <w:t>加盖公章，</w:t>
      </w:r>
      <w:r>
        <w:rPr>
          <w:rFonts w:ascii="仿宋_GB2312" w:hAnsi="仿宋_GB2312" w:eastAsia="仿宋_GB2312" w:cs="仿宋_GB2312"/>
          <w:spacing w:val="0"/>
          <w:sz w:val="32"/>
          <w:szCs w:val="32"/>
        </w:rPr>
        <w:t>彩色</w:t>
      </w:r>
      <w:r>
        <w:rPr>
          <w:rFonts w:hint="eastAsia" w:ascii="仿宋_GB2312" w:hAnsi="仿宋_GB2312" w:eastAsia="仿宋_GB2312" w:cs="仿宋_GB2312"/>
          <w:spacing w:val="0"/>
          <w:sz w:val="32"/>
          <w:szCs w:val="32"/>
        </w:rPr>
        <w:t>扫描</w:t>
      </w:r>
      <w:r>
        <w:rPr>
          <w:rFonts w:ascii="仿宋_GB2312" w:hAnsi="仿宋_GB2312" w:eastAsia="仿宋_GB2312" w:cs="仿宋_GB2312"/>
          <w:spacing w:val="0"/>
          <w:sz w:val="32"/>
          <w:szCs w:val="32"/>
        </w:rPr>
        <w:t>上传</w:t>
      </w:r>
      <w:r>
        <w:rPr>
          <w:rFonts w:hint="eastAsia" w:ascii="仿宋_GB2312" w:hAnsi="仿宋_GB2312" w:eastAsia="仿宋_GB2312" w:cs="仿宋_GB2312"/>
          <w:spacing w:val="0"/>
          <w:sz w:val="32"/>
          <w:szCs w:val="32"/>
        </w:rPr>
        <w:t>；</w:t>
      </w:r>
    </w:p>
    <w:p w14:paraId="71D432D6">
      <w:pPr>
        <w:keepNext w:val="0"/>
        <w:keepLines w:val="0"/>
        <w:pageBreakBefore w:val="0"/>
        <w:kinsoku/>
        <w:wordWrap/>
        <w:overflowPunct/>
        <w:topLinePunct w:val="0"/>
        <w:autoSpaceDE/>
        <w:autoSpaceDN/>
        <w:bidi w:val="0"/>
        <w:adjustRightInd w:val="0"/>
        <w:snapToGrid w:val="0"/>
        <w:spacing w:line="560" w:lineRule="exact"/>
        <w:ind w:firstLine="640" w:firstLineChars="200"/>
        <w:outlineLvl w:val="2"/>
        <w:rPr>
          <w:rFonts w:hint="eastAsia" w:ascii="仿宋_GB2312" w:eastAsia="仿宋_GB2312"/>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银行账户信息，下载模板填写，加盖公章，</w:t>
      </w:r>
      <w:r>
        <w:rPr>
          <w:rFonts w:ascii="仿宋_GB2312" w:hAnsi="仿宋_GB2312" w:eastAsia="仿宋_GB2312" w:cs="仿宋_GB2312"/>
          <w:spacing w:val="0"/>
          <w:sz w:val="32"/>
          <w:szCs w:val="32"/>
        </w:rPr>
        <w:t>彩色</w:t>
      </w:r>
      <w:r>
        <w:rPr>
          <w:rFonts w:hint="eastAsia" w:ascii="仿宋_GB2312" w:hAnsi="仿宋_GB2312" w:eastAsia="仿宋_GB2312" w:cs="仿宋_GB2312"/>
          <w:spacing w:val="0"/>
          <w:sz w:val="32"/>
          <w:szCs w:val="32"/>
        </w:rPr>
        <w:t>扫描</w:t>
      </w:r>
      <w:r>
        <w:rPr>
          <w:rFonts w:ascii="仿宋_GB2312" w:hAnsi="仿宋_GB2312" w:eastAsia="仿宋_GB2312" w:cs="仿宋_GB2312"/>
          <w:spacing w:val="0"/>
          <w:sz w:val="32"/>
          <w:szCs w:val="32"/>
        </w:rPr>
        <w:t>上传</w:t>
      </w:r>
      <w:r>
        <w:rPr>
          <w:rFonts w:hint="eastAsia" w:ascii="仿宋_GB2312" w:hAnsi="仿宋_GB2312" w:eastAsia="仿宋_GB2312" w:cs="仿宋_GB2312"/>
          <w:spacing w:val="0"/>
          <w:sz w:val="32"/>
          <w:szCs w:val="32"/>
        </w:rPr>
        <w:t>；</w:t>
      </w:r>
    </w:p>
    <w:p w14:paraId="30600468">
      <w:pPr>
        <w:keepNext w:val="0"/>
        <w:keepLines w:val="0"/>
        <w:pageBreakBefore w:val="0"/>
        <w:numPr>
          <w:ilvl w:val="-1"/>
          <w:numId w:val="0"/>
        </w:numPr>
        <w:kinsoku/>
        <w:wordWrap/>
        <w:overflowPunct/>
        <w:topLinePunct w:val="0"/>
        <w:autoSpaceDE/>
        <w:autoSpaceDN/>
        <w:bidi w:val="0"/>
        <w:spacing w:line="560" w:lineRule="exact"/>
        <w:ind w:firstLine="640" w:firstLineChars="200"/>
        <w:rPr>
          <w:rFonts w:hint="eastAsia" w:ascii="仿宋_GB2312" w:hAnsi="仿宋_GB2312" w:eastAsia="仿宋_GB2312" w:cs="仿宋_GB2312"/>
          <w:spacing w:val="0"/>
          <w:kern w:val="2"/>
          <w:sz w:val="32"/>
          <w:szCs w:val="32"/>
          <w:highlight w:val="none"/>
          <w:lang w:eastAsia="zh-CN"/>
        </w:rPr>
      </w:pPr>
      <w:r>
        <w:rPr>
          <w:rFonts w:hint="eastAsia" w:ascii="仿宋_GB2312" w:hAnsi="仿宋_GB2312" w:eastAsia="仿宋_GB2312" w:cs="仿宋_GB2312"/>
          <w:kern w:val="2"/>
          <w:sz w:val="32"/>
          <w:szCs w:val="32"/>
          <w:lang w:val="en-US" w:eastAsia="zh-CN"/>
        </w:rPr>
        <w:t>5.</w:t>
      </w:r>
      <w:r>
        <w:rPr>
          <w:rFonts w:hint="eastAsia" w:ascii="仿宋_GB2312" w:hAnsi="仿宋_GB2312" w:eastAsia="仿宋_GB2312" w:cs="仿宋_GB2312"/>
          <w:kern w:val="2"/>
          <w:sz w:val="32"/>
          <w:szCs w:val="32"/>
          <w:highlight w:val="none"/>
          <w:lang w:val="en-US" w:eastAsia="zh-CN"/>
        </w:rPr>
        <w:t>医药科技服务合同信息表（</w:t>
      </w:r>
      <w:r>
        <w:rPr>
          <w:rFonts w:hint="eastAsia" w:ascii="仿宋_GB2312" w:hAnsi="仿宋_GB2312" w:eastAsia="仿宋_GB2312" w:cs="仿宋_GB2312"/>
          <w:spacing w:val="0"/>
          <w:sz w:val="32"/>
          <w:szCs w:val="32"/>
          <w:highlight w:val="none"/>
          <w:lang w:val="en-US" w:eastAsia="zh-CN"/>
        </w:rPr>
        <w:t>电子版</w:t>
      </w:r>
      <w:r>
        <w:rPr>
          <w:rFonts w:hint="eastAsia" w:ascii="仿宋_GB2312" w:hAnsi="仿宋_GB2312" w:eastAsia="仿宋_GB2312" w:cs="仿宋_GB2312"/>
          <w:kern w:val="2"/>
          <w:sz w:val="32"/>
          <w:szCs w:val="32"/>
          <w:highlight w:val="none"/>
          <w:lang w:val="en-US" w:eastAsia="zh-CN"/>
        </w:rPr>
        <w:t>），</w:t>
      </w:r>
      <w:r>
        <w:rPr>
          <w:rFonts w:hint="eastAsia" w:ascii="仿宋_GB2312" w:hAnsi="仿宋_GB2312" w:eastAsia="仿宋_GB2312" w:cs="仿宋_GB2312"/>
          <w:kern w:val="2"/>
          <w:sz w:val="32"/>
          <w:szCs w:val="32"/>
          <w:highlight w:val="none"/>
        </w:rPr>
        <w:t>下载模板填写</w:t>
      </w:r>
      <w:r>
        <w:rPr>
          <w:rFonts w:hint="eastAsia" w:ascii="仿宋_GB2312" w:hAnsi="仿宋_GB2312" w:eastAsia="仿宋_GB2312" w:cs="仿宋_GB2312"/>
          <w:kern w:val="2"/>
          <w:sz w:val="32"/>
          <w:szCs w:val="32"/>
          <w:highlight w:val="none"/>
          <w:lang w:eastAsia="zh-CN"/>
        </w:rPr>
        <w:t>（</w:t>
      </w:r>
      <w:r>
        <w:rPr>
          <w:rFonts w:hint="eastAsia" w:ascii="仿宋_GB2312" w:hAnsi="仿宋_GB2312" w:eastAsia="仿宋_GB2312" w:cs="仿宋_GB2312"/>
          <w:kern w:val="2"/>
          <w:sz w:val="32"/>
          <w:szCs w:val="32"/>
          <w:highlight w:val="none"/>
          <w:lang w:val="en-US" w:eastAsia="zh-CN"/>
        </w:rPr>
        <w:t>与申报表中申请补贴情况对应</w:t>
      </w:r>
      <w:r>
        <w:rPr>
          <w:rFonts w:hint="eastAsia" w:ascii="仿宋_GB2312" w:hAnsi="仿宋_GB2312" w:eastAsia="仿宋_GB2312" w:cs="仿宋_GB2312"/>
          <w:kern w:val="2"/>
          <w:sz w:val="32"/>
          <w:szCs w:val="32"/>
          <w:highlight w:val="none"/>
          <w:lang w:eastAsia="zh-CN"/>
        </w:rPr>
        <w:t>）</w:t>
      </w:r>
      <w:r>
        <w:rPr>
          <w:rFonts w:hint="eastAsia" w:ascii="仿宋_GB2312" w:hAnsi="仿宋_GB2312" w:eastAsia="仿宋_GB2312" w:cs="仿宋_GB2312"/>
          <w:kern w:val="2"/>
          <w:sz w:val="32"/>
          <w:szCs w:val="32"/>
          <w:highlight w:val="none"/>
        </w:rPr>
        <w:t>，</w:t>
      </w:r>
      <w:r>
        <w:rPr>
          <w:rFonts w:hint="eastAsia" w:ascii="仿宋_GB2312" w:hAnsi="仿宋_GB2312" w:eastAsia="仿宋_GB2312" w:cs="仿宋_GB2312"/>
          <w:spacing w:val="0"/>
          <w:sz w:val="32"/>
          <w:szCs w:val="32"/>
          <w:highlight w:val="none"/>
          <w:lang w:val="en-US" w:eastAsia="zh-CN"/>
        </w:rPr>
        <w:t>Excel版</w:t>
      </w:r>
      <w:r>
        <w:rPr>
          <w:rFonts w:hint="eastAsia" w:ascii="仿宋_GB2312" w:hAnsi="仿宋_GB2312" w:eastAsia="仿宋_GB2312" w:cs="仿宋_GB2312"/>
          <w:spacing w:val="0"/>
          <w:kern w:val="2"/>
          <w:sz w:val="32"/>
          <w:szCs w:val="32"/>
          <w:highlight w:val="none"/>
        </w:rPr>
        <w:t>上传</w:t>
      </w:r>
      <w:r>
        <w:rPr>
          <w:rFonts w:hint="eastAsia" w:ascii="仿宋_GB2312" w:hAnsi="仿宋_GB2312" w:eastAsia="仿宋_GB2312" w:cs="仿宋_GB2312"/>
          <w:spacing w:val="0"/>
          <w:kern w:val="2"/>
          <w:sz w:val="32"/>
          <w:szCs w:val="32"/>
          <w:highlight w:val="none"/>
          <w:lang w:eastAsia="zh-CN"/>
        </w:rPr>
        <w:t>；</w:t>
      </w:r>
    </w:p>
    <w:p w14:paraId="2BBA0926">
      <w:pPr>
        <w:keepNext w:val="0"/>
        <w:keepLines w:val="0"/>
        <w:pageBreakBefore w:val="0"/>
        <w:widowControl/>
        <w:numPr>
          <w:ilvl w:val="-1"/>
          <w:numId w:val="0"/>
        </w:numPr>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hAnsi="仿宋_GB2312" w:eastAsia="仿宋_GB2312" w:cs="仿宋_GB2312"/>
          <w:spacing w:val="0"/>
          <w:kern w:val="2"/>
          <w:sz w:val="32"/>
          <w:szCs w:val="32"/>
          <w:highlight w:val="none"/>
          <w:lang w:val="en-US" w:eastAsia="zh-CN"/>
        </w:rPr>
        <w:t>6.</w:t>
      </w:r>
      <w:r>
        <w:rPr>
          <w:rFonts w:hint="eastAsia" w:ascii="仿宋_GB2312" w:hAnsi="仿宋_GB2312" w:eastAsia="仿宋_GB2312" w:cs="仿宋_GB2312"/>
          <w:kern w:val="2"/>
          <w:sz w:val="32"/>
          <w:szCs w:val="32"/>
          <w:highlight w:val="none"/>
          <w:lang w:val="en-US" w:eastAsia="zh-CN"/>
        </w:rPr>
        <w:t>医药科技服务合同信息表</w:t>
      </w:r>
      <w:r>
        <w:rPr>
          <w:rFonts w:hint="eastAsia" w:ascii="仿宋_GB2312" w:hAnsi="仿宋_GB2312" w:eastAsia="仿宋_GB2312" w:cs="仿宋_GB2312"/>
          <w:spacing w:val="0"/>
          <w:sz w:val="32"/>
          <w:szCs w:val="32"/>
          <w:highlight w:val="none"/>
          <w:lang w:val="en-US" w:eastAsia="zh-CN"/>
        </w:rPr>
        <w:t>（扫描版），应为材料5</w:t>
      </w:r>
      <w:r>
        <w:rPr>
          <w:rFonts w:hint="eastAsia" w:ascii="仿宋_GB2312" w:hAnsi="仿宋_GB2312" w:eastAsia="仿宋_GB2312" w:cs="仿宋_GB2312"/>
          <w:kern w:val="2"/>
          <w:sz w:val="32"/>
          <w:szCs w:val="32"/>
          <w:highlight w:val="none"/>
          <w:lang w:val="en-US" w:eastAsia="zh-CN"/>
        </w:rPr>
        <w:t>打印版，且内容</w:t>
      </w:r>
      <w:r>
        <w:rPr>
          <w:rFonts w:hint="eastAsia" w:ascii="仿宋_GB2312" w:hAnsi="仿宋_GB2312" w:eastAsia="仿宋_GB2312" w:cs="仿宋_GB2312"/>
          <w:spacing w:val="6"/>
          <w:sz w:val="32"/>
          <w:szCs w:val="32"/>
          <w:highlight w:val="none"/>
          <w:lang w:val="en-US" w:eastAsia="zh-CN"/>
        </w:rPr>
        <w:t>一致，双方加盖公章，</w:t>
      </w:r>
      <w:r>
        <w:rPr>
          <w:rFonts w:hint="eastAsia" w:ascii="仿宋_GB2312" w:hAnsi="仿宋_GB2312" w:eastAsia="仿宋_GB2312" w:cs="仿宋_GB2312"/>
          <w:spacing w:val="0"/>
          <w:kern w:val="2"/>
          <w:sz w:val="32"/>
          <w:szCs w:val="32"/>
          <w:highlight w:val="none"/>
        </w:rPr>
        <w:t>彩色扫描</w:t>
      </w:r>
      <w:r>
        <w:rPr>
          <w:rFonts w:hint="eastAsia" w:ascii="仿宋_GB2312" w:hAnsi="仿宋_GB2312" w:eastAsia="仿宋_GB2312" w:cs="仿宋_GB2312"/>
          <w:spacing w:val="0"/>
          <w:kern w:val="2"/>
          <w:sz w:val="32"/>
          <w:szCs w:val="32"/>
          <w:highlight w:val="none"/>
          <w:lang w:eastAsia="zh-CN"/>
        </w:rPr>
        <w:t>上传；</w:t>
      </w:r>
    </w:p>
    <w:p w14:paraId="657B7A53">
      <w:pPr>
        <w:keepNext w:val="0"/>
        <w:keepLines w:val="0"/>
        <w:pageBreakBefore w:val="0"/>
        <w:kinsoku/>
        <w:wordWrap/>
        <w:overflowPunct/>
        <w:topLinePunct w:val="0"/>
        <w:autoSpaceDE/>
        <w:autoSpaceDN/>
        <w:bidi w:val="0"/>
        <w:spacing w:line="560" w:lineRule="exact"/>
        <w:ind w:firstLine="640"/>
        <w:rPr>
          <w:rFonts w:hint="eastAsia" w:ascii="仿宋_GB2312" w:eastAsia="仿宋_GB2312"/>
          <w:sz w:val="32"/>
          <w:szCs w:val="32"/>
          <w:lang w:val="en-US" w:eastAsia="zh-CN"/>
        </w:rPr>
      </w:pPr>
      <w:r>
        <w:rPr>
          <w:rFonts w:hint="eastAsia" w:ascii="仿宋_GB2312" w:eastAsia="仿宋_GB2312"/>
          <w:sz w:val="32"/>
          <w:szCs w:val="32"/>
          <w:lang w:val="en-US" w:eastAsia="zh-CN"/>
        </w:rPr>
        <w:t>7.服务合同（合同须于2024年1月1日至2025年12月31日期间履行完毕并实际付款，如涉及技术秘密可作加密处理），原件彩色扫描上传；</w:t>
      </w:r>
    </w:p>
    <w:p w14:paraId="6ED3A425">
      <w:pPr>
        <w:keepNext w:val="0"/>
        <w:keepLines w:val="0"/>
        <w:pageBreakBefore w:val="0"/>
        <w:kinsoku/>
        <w:wordWrap/>
        <w:overflowPunct/>
        <w:topLinePunct w:val="0"/>
        <w:autoSpaceDE/>
        <w:autoSpaceDN/>
        <w:bidi w:val="0"/>
        <w:spacing w:line="560" w:lineRule="exact"/>
        <w:ind w:firstLine="640"/>
        <w:rPr>
          <w:rFonts w:hint="eastAsia" w:ascii="仿宋_GB2312" w:eastAsia="仿宋_GB2312"/>
          <w:sz w:val="32"/>
          <w:szCs w:val="32"/>
          <w:lang w:val="en-US" w:eastAsia="zh-CN"/>
        </w:rPr>
      </w:pPr>
      <w:r>
        <w:rPr>
          <w:rFonts w:hint="eastAsia" w:ascii="仿宋_GB2312" w:eastAsia="仿宋_GB2312"/>
          <w:sz w:val="32"/>
          <w:szCs w:val="32"/>
          <w:lang w:val="en-US" w:eastAsia="zh-CN"/>
        </w:rPr>
        <w:t>8.合同履行完毕相关证明材料，如研究报告、检验检测报告等，加盖公章，原件彩色扫描上传；</w:t>
      </w:r>
    </w:p>
    <w:p w14:paraId="179E475D">
      <w:pPr>
        <w:keepNext w:val="0"/>
        <w:keepLines w:val="0"/>
        <w:pageBreakBefore w:val="0"/>
        <w:kinsoku/>
        <w:wordWrap/>
        <w:overflowPunct/>
        <w:topLinePunct w:val="0"/>
        <w:autoSpaceDE/>
        <w:autoSpaceDN/>
        <w:bidi w:val="0"/>
        <w:spacing w:line="560" w:lineRule="exact"/>
        <w:ind w:firstLine="640"/>
        <w:rPr>
          <w:rFonts w:hint="eastAsia" w:ascii="仿宋_GB2312" w:eastAsia="仿宋_GB2312"/>
          <w:sz w:val="32"/>
          <w:szCs w:val="32"/>
          <w:lang w:val="en-US" w:eastAsia="zh-CN"/>
        </w:rPr>
      </w:pPr>
      <w:r>
        <w:rPr>
          <w:rFonts w:hint="eastAsia" w:ascii="仿宋_GB2312" w:eastAsia="仿宋_GB2312"/>
          <w:sz w:val="32"/>
          <w:szCs w:val="32"/>
          <w:lang w:val="en-US" w:eastAsia="zh-CN"/>
        </w:rPr>
        <w:t>9.与服务合同对应的支付凭证，包括发票、银行</w:t>
      </w:r>
      <w:r>
        <w:rPr>
          <w:rFonts w:hint="eastAsia" w:ascii="仿宋_GB2312" w:eastAsia="仿宋_GB2312"/>
          <w:sz w:val="32"/>
          <w:szCs w:val="32"/>
        </w:rPr>
        <w:t>转账凭证</w:t>
      </w:r>
      <w:r>
        <w:rPr>
          <w:rFonts w:hint="eastAsia" w:ascii="仿宋_GB2312" w:eastAsia="仿宋_GB2312"/>
          <w:sz w:val="32"/>
          <w:szCs w:val="32"/>
          <w:lang w:val="en-US" w:eastAsia="zh-CN"/>
        </w:rPr>
        <w:t>等凭据，原件彩色扫描上传。</w:t>
      </w:r>
    </w:p>
    <w:p w14:paraId="75D170E4">
      <w:pPr>
        <w:keepNext w:val="0"/>
        <w:keepLines w:val="0"/>
        <w:pageBreakBefore w:val="0"/>
        <w:kinsoku/>
        <w:wordWrap/>
        <w:overflowPunct/>
        <w:topLinePunct w:val="0"/>
        <w:autoSpaceDE/>
        <w:autoSpaceDN/>
        <w:bidi w:val="0"/>
        <w:adjustRightInd w:val="0"/>
        <w:snapToGrid w:val="0"/>
        <w:spacing w:line="560" w:lineRule="exact"/>
        <w:ind w:firstLine="640" w:firstLineChars="200"/>
        <w:outlineLvl w:val="0"/>
        <w:rPr>
          <w:rFonts w:ascii="黑体" w:hAnsi="黑体" w:eastAsia="黑体" w:cs="黑体"/>
          <w:sz w:val="32"/>
          <w:szCs w:val="32"/>
        </w:rPr>
      </w:pPr>
      <w:r>
        <w:rPr>
          <w:rFonts w:hint="eastAsia" w:ascii="黑体" w:hAnsi="黑体" w:eastAsia="黑体" w:cs="黑体"/>
          <w:sz w:val="32"/>
          <w:szCs w:val="32"/>
        </w:rPr>
        <w:t>六、办理程序</w:t>
      </w:r>
    </w:p>
    <w:p w14:paraId="1978E0A7">
      <w:pPr>
        <w:pStyle w:val="9"/>
        <w:keepNext w:val="0"/>
        <w:keepLines w:val="0"/>
        <w:pageBreakBefore w:val="0"/>
        <w:widowControl/>
        <w:kinsoku/>
        <w:wordWrap/>
        <w:overflowPunct/>
        <w:topLinePunct w:val="0"/>
        <w:autoSpaceDE/>
        <w:autoSpaceDN/>
        <w:bidi w:val="0"/>
        <w:spacing w:beforeAutospacing="0" w:afterAutospacing="0" w:line="560" w:lineRule="exact"/>
        <w:ind w:firstLine="643" w:firstLineChars="200"/>
        <w:jc w:val="both"/>
        <w:textAlignment w:val="baseline"/>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（一）网上申报</w:t>
      </w:r>
      <w:r>
        <w:rPr>
          <w:rFonts w:hint="eastAsia" w:ascii="仿宋_GB2312" w:hAnsi="仿宋_GB2312" w:eastAsia="仿宋_GB2312" w:cs="仿宋_GB2312"/>
          <w:color w:val="000000"/>
          <w:sz w:val="32"/>
          <w:szCs w:val="32"/>
        </w:rPr>
        <w:t>：通过</w:t>
      </w:r>
      <w:r>
        <w:rPr>
          <w:rFonts w:hint="eastAsia" w:ascii="仿宋_GB2312" w:hAnsi="仿宋_GB2312" w:eastAsia="仿宋_GB2312" w:cs="仿宋_GB2312"/>
          <w:sz w:val="32"/>
          <w:szCs w:val="32"/>
        </w:rPr>
        <w:t>北京市人民政府门户网站“政策兑现</w:t>
      </w:r>
      <w:r>
        <w:rPr>
          <w:rFonts w:hint="eastAsia" w:ascii="仿宋_GB2312" w:hAnsi="仿宋_GB2312" w:eastAsia="仿宋_GB2312" w:cs="仿宋_GB2312"/>
          <w:sz w:val="32"/>
          <w:szCs w:val="32"/>
          <w:lang w:eastAsia="zh-CN"/>
        </w:rPr>
        <w:t>专区</w:t>
      </w:r>
      <w:r>
        <w:rPr>
          <w:rFonts w:hint="eastAsia" w:ascii="仿宋_GB2312" w:hAnsi="仿宋_GB2312" w:eastAsia="仿宋_GB2312" w:cs="仿宋_GB2312"/>
          <w:sz w:val="32"/>
          <w:szCs w:val="32"/>
        </w:rPr>
        <w:t>”（https://zhengce.beijing.gov.cn）或经开区官网“政策兑现”</w:t>
      </w:r>
      <w:r>
        <w:rPr>
          <w:rFonts w:hint="eastAsia" w:ascii="仿宋_GB2312" w:hAnsi="仿宋_GB2312" w:eastAsia="仿宋_GB2312" w:cs="仿宋_GB2312"/>
          <w:sz w:val="32"/>
          <w:szCs w:val="32"/>
          <w:lang w:eastAsia="zh-CN"/>
        </w:rPr>
        <w:t>栏目</w:t>
      </w:r>
      <w:r>
        <w:rPr>
          <w:rFonts w:hint="eastAsia" w:ascii="仿宋_GB2312" w:hAnsi="仿宋_GB2312" w:eastAsia="仿宋_GB2312" w:cs="仿宋_GB2312"/>
          <w:sz w:val="32"/>
          <w:szCs w:val="32"/>
        </w:rPr>
        <w:t>（zcdx.kfqgw.beijing.gov.cn）进入政策兑现综合服务平台，注册登录后进行项目申报。</w:t>
      </w:r>
      <w:r>
        <w:rPr>
          <w:rFonts w:hint="eastAsia" w:ascii="仿宋_GB2312" w:hAnsi="仿宋_GB2312" w:eastAsia="仿宋_GB2312" w:cs="仿宋_GB2312"/>
          <w:color w:val="000000"/>
          <w:sz w:val="32"/>
          <w:szCs w:val="32"/>
        </w:rPr>
        <w:t>如未在规定时间内提交申请的，视为自动放弃。</w:t>
      </w:r>
    </w:p>
    <w:p w14:paraId="47E492C9">
      <w:pPr>
        <w:pStyle w:val="9"/>
        <w:widowControl/>
        <w:numPr>
          <w:ilvl w:val="255"/>
          <w:numId w:val="0"/>
        </w:numPr>
        <w:shd w:val="clear" w:color="auto" w:fill="FFFFFF"/>
        <w:spacing w:beforeAutospacing="0" w:afterAutospacing="0" w:line="560" w:lineRule="exact"/>
        <w:ind w:firstLine="643" w:firstLineChars="200"/>
        <w:rPr>
          <w:rFonts w:ascii="仿宋_GB2312" w:hAnsi="仿宋_GB2312" w:eastAsia="仿宋_GB2312" w:cs="仿宋_GB2312"/>
          <w:color w:val="000000"/>
          <w:kern w:val="2"/>
          <w:sz w:val="32"/>
          <w:szCs w:val="32"/>
          <w:highlight w:val="none"/>
        </w:rPr>
      </w:pPr>
      <w:r>
        <w:rPr>
          <w:rFonts w:hint="eastAsia" w:ascii="仿宋_GB2312" w:hAnsi="仿宋_GB2312" w:eastAsia="仿宋_GB2312" w:cs="仿宋_GB2312"/>
          <w:b/>
          <w:bCs/>
          <w:color w:val="000000"/>
          <w:kern w:val="2"/>
          <w:sz w:val="32"/>
          <w:szCs w:val="32"/>
          <w:highlight w:val="none"/>
        </w:rPr>
        <w:t>（二）</w:t>
      </w:r>
      <w:r>
        <w:rPr>
          <w:rFonts w:hint="eastAsia" w:ascii="仿宋_GB2312" w:hAnsi="仿宋_GB2312" w:eastAsia="仿宋_GB2312" w:cs="仿宋_GB2312"/>
          <w:b/>
          <w:bCs/>
          <w:color w:val="000000"/>
          <w:kern w:val="2"/>
          <w:sz w:val="32"/>
          <w:szCs w:val="32"/>
        </w:rPr>
        <w:t>初审</w:t>
      </w:r>
      <w:r>
        <w:rPr>
          <w:rFonts w:hint="eastAsia" w:ascii="仿宋_GB2312" w:hAnsi="仿宋_GB2312" w:eastAsia="仿宋_GB2312" w:cs="仿宋_GB2312"/>
          <w:color w:val="000000"/>
          <w:kern w:val="2"/>
          <w:sz w:val="32"/>
          <w:szCs w:val="32"/>
        </w:rPr>
        <w:t>：经开区</w:t>
      </w:r>
      <w:r>
        <w:rPr>
          <w:rFonts w:hint="eastAsia" w:ascii="仿宋_GB2312" w:hAnsi="仿宋_GB2312" w:eastAsia="仿宋_GB2312" w:cs="仿宋_GB2312"/>
          <w:color w:val="000000"/>
          <w:kern w:val="2"/>
          <w:sz w:val="32"/>
          <w:szCs w:val="32"/>
          <w:lang w:eastAsia="zh-CN"/>
        </w:rPr>
        <w:t>营商环境建设局</w:t>
      </w:r>
      <w:r>
        <w:rPr>
          <w:rFonts w:hint="eastAsia" w:ascii="仿宋_GB2312" w:hAnsi="仿宋_GB2312" w:eastAsia="仿宋_GB2312" w:cs="仿宋_GB2312"/>
          <w:color w:val="000000"/>
          <w:kern w:val="2"/>
          <w:sz w:val="32"/>
          <w:szCs w:val="32"/>
        </w:rPr>
        <w:t>对申报主体提交的材料进行完整性审查，材料不齐全或不符合要求的，告知申报主体补齐补正。</w:t>
      </w:r>
    </w:p>
    <w:p w14:paraId="02E0FC58">
      <w:pPr>
        <w:pStyle w:val="9"/>
        <w:widowControl/>
        <w:shd w:val="clear" w:color="auto" w:fill="FFFFFF"/>
        <w:spacing w:beforeAutospacing="0" w:afterAutospacing="0" w:line="560" w:lineRule="exact"/>
        <w:ind w:firstLine="640" w:firstLineChars="200"/>
        <w:rPr>
          <w:rFonts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（三）</w:t>
      </w:r>
      <w:r>
        <w:rPr>
          <w:rFonts w:hint="eastAsia" w:ascii="仿宋_GB2312" w:hAnsi="仿宋_GB2312" w:eastAsia="仿宋_GB2312" w:cs="仿宋_GB2312"/>
          <w:b/>
          <w:bCs/>
          <w:color w:val="000000"/>
          <w:kern w:val="2"/>
          <w:sz w:val="32"/>
          <w:szCs w:val="32"/>
        </w:rPr>
        <w:t>审核</w:t>
      </w:r>
      <w:r>
        <w:rPr>
          <w:rFonts w:hint="eastAsia" w:ascii="仿宋_GB2312" w:hAnsi="仿宋_GB2312" w:eastAsia="仿宋_GB2312" w:cs="仿宋_GB2312"/>
          <w:color w:val="000000"/>
          <w:kern w:val="2"/>
          <w:sz w:val="32"/>
          <w:szCs w:val="32"/>
        </w:rPr>
        <w:t>：经开区</w:t>
      </w:r>
      <w:r>
        <w:rPr>
          <w:rFonts w:hint="eastAsia" w:ascii="仿宋_GB2312" w:hAnsi="仿宋_GB2312" w:eastAsia="仿宋_GB2312" w:cs="仿宋_GB2312"/>
          <w:color w:val="000000"/>
          <w:kern w:val="2"/>
          <w:sz w:val="32"/>
          <w:szCs w:val="32"/>
          <w:lang w:eastAsia="zh-CN"/>
        </w:rPr>
        <w:t>生物技术和大健康产业局</w:t>
      </w:r>
      <w:r>
        <w:rPr>
          <w:rFonts w:hint="eastAsia" w:ascii="仿宋_GB2312" w:hAnsi="仿宋_GB2312" w:eastAsia="仿宋_GB2312" w:cs="仿宋_GB2312"/>
          <w:color w:val="000000"/>
          <w:kern w:val="2"/>
          <w:sz w:val="32"/>
          <w:szCs w:val="32"/>
        </w:rPr>
        <w:t>对申</w:t>
      </w:r>
      <w:r>
        <w:rPr>
          <w:rFonts w:hint="eastAsia" w:ascii="仿宋_GB2312" w:hAnsi="仿宋_GB2312" w:eastAsia="仿宋_GB2312" w:cs="仿宋_GB2312"/>
          <w:color w:val="000000"/>
          <w:kern w:val="2"/>
          <w:sz w:val="32"/>
          <w:szCs w:val="32"/>
          <w:lang w:eastAsia="zh-CN"/>
        </w:rPr>
        <w:t>报</w:t>
      </w:r>
      <w:r>
        <w:rPr>
          <w:rFonts w:hint="eastAsia" w:ascii="仿宋_GB2312" w:hAnsi="仿宋_GB2312" w:eastAsia="仿宋_GB2312" w:cs="仿宋_GB2312"/>
          <w:color w:val="000000"/>
          <w:kern w:val="2"/>
          <w:sz w:val="32"/>
          <w:szCs w:val="32"/>
        </w:rPr>
        <w:t>材料进行实质审核。</w:t>
      </w:r>
    </w:p>
    <w:p w14:paraId="3FF4A47C">
      <w:pPr>
        <w:pStyle w:val="9"/>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560" w:lineRule="exact"/>
        <w:ind w:firstLine="643" w:firstLineChars="200"/>
        <w:jc w:val="both"/>
        <w:rPr>
          <w:rFonts w:ascii="仿宋_GB2312" w:hAnsi="仿宋_GB2312" w:eastAsia="仿宋_GB2312" w:cs="仿宋_GB2312"/>
          <w:color w:val="000000"/>
          <w:kern w:val="2"/>
          <w:sz w:val="32"/>
          <w:szCs w:val="32"/>
        </w:rPr>
      </w:pPr>
      <w:r>
        <w:rPr>
          <w:rFonts w:hint="eastAsia" w:ascii="仿宋_GB2312" w:hAnsi="仿宋_GB2312" w:eastAsia="仿宋_GB2312" w:cs="仿宋_GB2312"/>
          <w:b/>
          <w:bCs/>
          <w:color w:val="000000"/>
          <w:kern w:val="2"/>
          <w:sz w:val="32"/>
          <w:szCs w:val="32"/>
        </w:rPr>
        <w:t>（</w:t>
      </w:r>
      <w:r>
        <w:rPr>
          <w:rFonts w:hint="eastAsia" w:ascii="仿宋_GB2312" w:hAnsi="仿宋_GB2312" w:eastAsia="仿宋_GB2312" w:cs="仿宋_GB2312"/>
          <w:b/>
          <w:bCs/>
          <w:color w:val="000000"/>
          <w:kern w:val="2"/>
          <w:sz w:val="32"/>
          <w:szCs w:val="32"/>
          <w:lang w:val="en-US" w:eastAsia="zh-CN"/>
        </w:rPr>
        <w:t>四</w:t>
      </w:r>
      <w:r>
        <w:rPr>
          <w:rFonts w:hint="eastAsia" w:ascii="仿宋_GB2312" w:hAnsi="仿宋_GB2312" w:eastAsia="仿宋_GB2312" w:cs="仿宋_GB2312"/>
          <w:b/>
          <w:bCs/>
          <w:color w:val="000000"/>
          <w:kern w:val="2"/>
          <w:sz w:val="32"/>
          <w:szCs w:val="32"/>
        </w:rPr>
        <w:t>）专家评审：</w:t>
      </w:r>
      <w:r>
        <w:rPr>
          <w:rFonts w:hint="eastAsia" w:ascii="仿宋_GB2312" w:hAnsi="仿宋_GB2312" w:eastAsia="仿宋_GB2312" w:cs="仿宋_GB2312"/>
          <w:color w:val="000000"/>
          <w:kern w:val="2"/>
          <w:sz w:val="32"/>
          <w:szCs w:val="32"/>
        </w:rPr>
        <w:t>经开区生物技术和大健康产业</w:t>
      </w:r>
      <w:r>
        <w:rPr>
          <w:rFonts w:hint="eastAsia" w:ascii="仿宋_GB2312" w:hAnsi="仿宋_GB2312" w:eastAsia="仿宋_GB2312" w:cs="仿宋_GB2312"/>
          <w:color w:val="000000"/>
          <w:kern w:val="2"/>
          <w:sz w:val="32"/>
          <w:szCs w:val="32"/>
          <w:lang w:eastAsia="zh-CN"/>
        </w:rPr>
        <w:t>局</w:t>
      </w:r>
      <w:r>
        <w:rPr>
          <w:rFonts w:hint="eastAsia" w:ascii="仿宋_GB2312" w:hAnsi="仿宋_GB2312" w:eastAsia="仿宋_GB2312" w:cs="仿宋_GB2312"/>
          <w:color w:val="000000"/>
          <w:kern w:val="2"/>
          <w:sz w:val="32"/>
          <w:szCs w:val="32"/>
        </w:rPr>
        <w:t>组织专家线下对申请材料进行评审，评审后将结果上传到系统。</w:t>
      </w:r>
    </w:p>
    <w:p w14:paraId="297AF6DD">
      <w:pPr>
        <w:pStyle w:val="9"/>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560" w:lineRule="exact"/>
        <w:ind w:firstLine="643" w:firstLineChars="200"/>
        <w:jc w:val="both"/>
        <w:rPr>
          <w:rFonts w:ascii="仿宋_GB2312" w:hAnsi="仿宋_GB2312" w:eastAsia="仿宋_GB2312" w:cs="仿宋_GB2312"/>
          <w:color w:val="000000"/>
          <w:kern w:val="2"/>
          <w:sz w:val="32"/>
          <w:szCs w:val="32"/>
        </w:rPr>
      </w:pPr>
      <w:r>
        <w:rPr>
          <w:rFonts w:hint="eastAsia" w:ascii="仿宋_GB2312" w:hAnsi="仿宋_GB2312" w:eastAsia="仿宋_GB2312" w:cs="仿宋_GB2312"/>
          <w:b/>
          <w:bCs/>
          <w:color w:val="000000"/>
          <w:kern w:val="2"/>
          <w:sz w:val="32"/>
          <w:szCs w:val="32"/>
        </w:rPr>
        <w:t>（</w:t>
      </w:r>
      <w:r>
        <w:rPr>
          <w:rFonts w:hint="eastAsia" w:ascii="仿宋_GB2312" w:hAnsi="仿宋_GB2312" w:eastAsia="仿宋_GB2312" w:cs="仿宋_GB2312"/>
          <w:b/>
          <w:bCs/>
          <w:color w:val="000000"/>
          <w:kern w:val="2"/>
          <w:sz w:val="32"/>
          <w:szCs w:val="32"/>
          <w:lang w:val="en-US" w:eastAsia="zh-CN"/>
        </w:rPr>
        <w:t>五</w:t>
      </w:r>
      <w:r>
        <w:rPr>
          <w:rFonts w:hint="eastAsia" w:ascii="仿宋_GB2312" w:hAnsi="仿宋_GB2312" w:eastAsia="仿宋_GB2312" w:cs="仿宋_GB2312"/>
          <w:b/>
          <w:bCs/>
          <w:color w:val="000000"/>
          <w:kern w:val="2"/>
          <w:sz w:val="32"/>
          <w:szCs w:val="32"/>
        </w:rPr>
        <w:t>）确定扶持结果：</w:t>
      </w:r>
      <w:r>
        <w:rPr>
          <w:rFonts w:hint="eastAsia" w:ascii="仿宋_GB2312" w:hAnsi="仿宋_GB2312" w:eastAsia="仿宋_GB2312" w:cs="仿宋_GB2312"/>
          <w:color w:val="000000"/>
          <w:kern w:val="2"/>
          <w:sz w:val="32"/>
          <w:szCs w:val="32"/>
        </w:rPr>
        <w:t>经开区生物技术和大健康产业</w:t>
      </w:r>
      <w:r>
        <w:rPr>
          <w:rFonts w:hint="eastAsia" w:ascii="仿宋_GB2312" w:hAnsi="仿宋_GB2312" w:eastAsia="仿宋_GB2312" w:cs="仿宋_GB2312"/>
          <w:color w:val="000000"/>
          <w:kern w:val="2"/>
          <w:sz w:val="32"/>
          <w:szCs w:val="32"/>
          <w:lang w:eastAsia="zh-CN"/>
        </w:rPr>
        <w:t>局</w:t>
      </w:r>
      <w:r>
        <w:rPr>
          <w:rFonts w:hint="eastAsia" w:ascii="仿宋_GB2312" w:hAnsi="仿宋_GB2312" w:eastAsia="仿宋_GB2312" w:cs="仿宋_GB2312"/>
          <w:color w:val="000000"/>
          <w:kern w:val="2"/>
          <w:sz w:val="32"/>
          <w:szCs w:val="32"/>
        </w:rPr>
        <w:t>对审核通过的申报主体拟定兑现扶持奖励金额。</w:t>
      </w:r>
    </w:p>
    <w:p w14:paraId="41F1341F">
      <w:pPr>
        <w:pStyle w:val="9"/>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560" w:lineRule="exact"/>
        <w:ind w:firstLine="643" w:firstLineChars="200"/>
        <w:jc w:val="both"/>
        <w:rPr>
          <w:rFonts w:ascii="仿宋_GB2312" w:hAnsi="仿宋_GB2312" w:eastAsia="仿宋_GB2312" w:cs="仿宋_GB2312"/>
          <w:color w:val="000000"/>
          <w:kern w:val="2"/>
          <w:sz w:val="32"/>
          <w:szCs w:val="32"/>
        </w:rPr>
      </w:pPr>
      <w:r>
        <w:rPr>
          <w:rFonts w:hint="eastAsia" w:ascii="仿宋_GB2312" w:hAnsi="仿宋_GB2312" w:eastAsia="仿宋_GB2312" w:cs="仿宋_GB2312"/>
          <w:b/>
          <w:bCs/>
          <w:color w:val="000000"/>
          <w:kern w:val="2"/>
          <w:sz w:val="32"/>
          <w:szCs w:val="32"/>
        </w:rPr>
        <w:t>（</w:t>
      </w:r>
      <w:r>
        <w:rPr>
          <w:rFonts w:hint="eastAsia" w:ascii="仿宋_GB2312" w:hAnsi="仿宋_GB2312" w:eastAsia="仿宋_GB2312" w:cs="仿宋_GB2312"/>
          <w:b/>
          <w:bCs/>
          <w:color w:val="000000"/>
          <w:kern w:val="2"/>
          <w:sz w:val="32"/>
          <w:szCs w:val="32"/>
          <w:lang w:val="en-US" w:eastAsia="zh-CN"/>
        </w:rPr>
        <w:t>六</w:t>
      </w:r>
      <w:r>
        <w:rPr>
          <w:rFonts w:hint="eastAsia" w:ascii="仿宋_GB2312" w:hAnsi="仿宋_GB2312" w:eastAsia="仿宋_GB2312" w:cs="仿宋_GB2312"/>
          <w:b/>
          <w:bCs/>
          <w:color w:val="000000"/>
          <w:kern w:val="2"/>
          <w:sz w:val="32"/>
          <w:szCs w:val="32"/>
        </w:rPr>
        <w:t>）公示：</w:t>
      </w:r>
      <w:r>
        <w:rPr>
          <w:rFonts w:hint="eastAsia" w:ascii="仿宋_GB2312" w:hAnsi="宋体" w:eastAsia="仿宋_GB2312" w:cs="仿宋_GB2312"/>
          <w:kern w:val="2"/>
          <w:sz w:val="32"/>
          <w:szCs w:val="32"/>
          <w:lang w:val="en-US" w:eastAsia="zh-CN" w:bidi="ar"/>
        </w:rPr>
        <w:t>经开区生物技术和大健康产业局通过政策兑现综合服务平台对审核通过的申报主体进行公示</w:t>
      </w:r>
      <w:r>
        <w:rPr>
          <w:rFonts w:hint="eastAsia" w:ascii="仿宋_GB2312" w:hAnsi="仿宋_GB2312" w:eastAsia="仿宋_GB2312" w:cs="仿宋_GB2312"/>
          <w:color w:val="000000"/>
          <w:kern w:val="2"/>
          <w:sz w:val="32"/>
          <w:szCs w:val="32"/>
        </w:rPr>
        <w:t>。</w:t>
      </w:r>
    </w:p>
    <w:p w14:paraId="452C5E94">
      <w:pPr>
        <w:pStyle w:val="9"/>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560" w:lineRule="exact"/>
        <w:ind w:firstLine="643" w:firstLineChars="200"/>
        <w:jc w:val="both"/>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kern w:val="2"/>
          <w:sz w:val="32"/>
          <w:szCs w:val="32"/>
        </w:rPr>
        <w:t>（</w:t>
      </w:r>
      <w:r>
        <w:rPr>
          <w:rFonts w:hint="eastAsia" w:ascii="仿宋_GB2312" w:hAnsi="仿宋_GB2312" w:eastAsia="仿宋_GB2312" w:cs="仿宋_GB2312"/>
          <w:b/>
          <w:bCs/>
          <w:color w:val="000000"/>
          <w:kern w:val="2"/>
          <w:sz w:val="32"/>
          <w:szCs w:val="32"/>
          <w:lang w:val="en-US" w:eastAsia="zh-CN"/>
        </w:rPr>
        <w:t>七</w:t>
      </w:r>
      <w:r>
        <w:rPr>
          <w:rFonts w:hint="eastAsia" w:ascii="仿宋_GB2312" w:hAnsi="仿宋_GB2312" w:eastAsia="仿宋_GB2312" w:cs="仿宋_GB2312"/>
          <w:b/>
          <w:bCs/>
          <w:color w:val="000000"/>
          <w:kern w:val="2"/>
          <w:sz w:val="32"/>
          <w:szCs w:val="32"/>
        </w:rPr>
        <w:t>）资金拨付：</w:t>
      </w:r>
      <w:r>
        <w:rPr>
          <w:rFonts w:hint="eastAsia" w:ascii="仿宋_GB2312" w:hAnsi="仿宋_GB2312" w:eastAsia="仿宋_GB2312" w:cs="仿宋_GB2312"/>
          <w:color w:val="000000"/>
          <w:kern w:val="2"/>
          <w:sz w:val="32"/>
          <w:szCs w:val="32"/>
        </w:rPr>
        <w:t>经公示无异议的，完成资金拨付。</w:t>
      </w:r>
    </w:p>
    <w:p w14:paraId="6588CD4D">
      <w:pPr>
        <w:keepNext w:val="0"/>
        <w:keepLines w:val="0"/>
        <w:pageBreakBefore w:val="0"/>
        <w:kinsoku/>
        <w:wordWrap/>
        <w:overflowPunct/>
        <w:topLinePunct w:val="0"/>
        <w:autoSpaceDE/>
        <w:autoSpaceDN/>
        <w:bidi w:val="0"/>
        <w:adjustRightInd w:val="0"/>
        <w:snapToGrid w:val="0"/>
        <w:spacing w:line="560" w:lineRule="exact"/>
        <w:ind w:firstLine="640" w:firstLineChars="200"/>
        <w:outlineLvl w:val="0"/>
        <w:rPr>
          <w:rFonts w:ascii="黑体" w:hAnsi="黑体" w:eastAsia="黑体" w:cs="黑体"/>
          <w:sz w:val="32"/>
          <w:szCs w:val="32"/>
        </w:rPr>
      </w:pPr>
      <w:r>
        <w:rPr>
          <w:rFonts w:hint="eastAsia" w:ascii="黑体" w:hAnsi="黑体" w:eastAsia="黑体" w:cs="黑体"/>
          <w:sz w:val="32"/>
          <w:szCs w:val="32"/>
        </w:rPr>
        <w:t>七、主责部门</w:t>
      </w:r>
    </w:p>
    <w:p w14:paraId="6B74F205">
      <w:pPr>
        <w:keepNext w:val="0"/>
        <w:keepLines w:val="0"/>
        <w:pageBreakBefore w:val="0"/>
        <w:kinsoku/>
        <w:wordWrap/>
        <w:overflowPunct/>
        <w:topLinePunct w:val="0"/>
        <w:autoSpaceDE/>
        <w:autoSpaceDN/>
        <w:bidi w:val="0"/>
        <w:adjustRightInd w:val="0"/>
        <w:snapToGrid w:val="0"/>
        <w:spacing w:line="560" w:lineRule="exact"/>
        <w:ind w:firstLine="640" w:firstLineChars="200"/>
        <w:rPr>
          <w:rFonts w:ascii="仿宋_GB2312" w:hAnsi="仿宋_GB2312" w:eastAsia="仿宋_GB2312" w:cs="仿宋_GB2312"/>
          <w:b/>
          <w:bCs/>
          <w:sz w:val="32"/>
          <w:szCs w:val="32"/>
        </w:rPr>
      </w:pPr>
      <w:r>
        <w:rPr>
          <w:rFonts w:hint="eastAsia" w:eastAsia="仿宋_GB2312" w:cs="仿宋_GB2312"/>
          <w:sz w:val="32"/>
          <w:szCs w:val="32"/>
        </w:rPr>
        <w:t>经开区生物技术</w:t>
      </w:r>
      <w:r>
        <w:rPr>
          <w:rFonts w:hint="eastAsia" w:eastAsia="仿宋_GB2312" w:cs="仿宋_GB2312"/>
          <w:sz w:val="32"/>
          <w:szCs w:val="32"/>
          <w:lang w:eastAsia="zh-CN"/>
        </w:rPr>
        <w:t>和</w:t>
      </w:r>
      <w:r>
        <w:rPr>
          <w:rFonts w:hint="eastAsia" w:eastAsia="仿宋_GB2312" w:cs="仿宋_GB2312"/>
          <w:sz w:val="32"/>
          <w:szCs w:val="32"/>
        </w:rPr>
        <w:t>大健康</w:t>
      </w:r>
      <w:r>
        <w:rPr>
          <w:rFonts w:hint="eastAsia" w:eastAsia="仿宋_GB2312" w:cs="仿宋_GB2312"/>
          <w:sz w:val="32"/>
          <w:szCs w:val="32"/>
          <w:lang w:val="en-US" w:eastAsia="zh-CN"/>
        </w:rPr>
        <w:t>产业</w:t>
      </w:r>
      <w:r>
        <w:rPr>
          <w:rFonts w:hint="eastAsia" w:eastAsia="仿宋_GB2312" w:cs="仿宋_GB2312"/>
          <w:sz w:val="32"/>
          <w:szCs w:val="32"/>
        </w:rPr>
        <w:t>局</w:t>
      </w:r>
    </w:p>
    <w:p w14:paraId="09E08F36">
      <w:pPr>
        <w:keepNext w:val="0"/>
        <w:keepLines w:val="0"/>
        <w:pageBreakBefore w:val="0"/>
        <w:kinsoku/>
        <w:wordWrap/>
        <w:overflowPunct/>
        <w:topLinePunct w:val="0"/>
        <w:autoSpaceDE/>
        <w:autoSpaceDN/>
        <w:bidi w:val="0"/>
        <w:adjustRightInd w:val="0"/>
        <w:snapToGrid w:val="0"/>
        <w:spacing w:line="560" w:lineRule="exact"/>
        <w:ind w:firstLine="640" w:firstLineChars="200"/>
        <w:outlineLvl w:val="0"/>
        <w:rPr>
          <w:rFonts w:ascii="黑体" w:hAnsi="黑体" w:eastAsia="黑体" w:cs="黑体"/>
          <w:sz w:val="32"/>
          <w:szCs w:val="32"/>
        </w:rPr>
      </w:pPr>
      <w:r>
        <w:rPr>
          <w:rFonts w:hint="eastAsia" w:ascii="黑体" w:hAnsi="黑体" w:eastAsia="黑体" w:cs="黑体"/>
          <w:sz w:val="32"/>
          <w:szCs w:val="32"/>
        </w:rPr>
        <w:t>八、受理窗口</w:t>
      </w:r>
    </w:p>
    <w:p w14:paraId="7A8D3FA9">
      <w:pPr>
        <w:keepNext w:val="0"/>
        <w:keepLines w:val="0"/>
        <w:pageBreakBefore w:val="0"/>
        <w:kinsoku/>
        <w:wordWrap/>
        <w:overflowPunct/>
        <w:topLinePunct w:val="0"/>
        <w:autoSpaceDE/>
        <w:autoSpaceDN/>
        <w:bidi w:val="0"/>
        <w:adjustRightInd w:val="0"/>
        <w:snapToGrid w:val="0"/>
        <w:spacing w:line="560" w:lineRule="exact"/>
        <w:ind w:firstLine="640" w:firstLineChars="200"/>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rPr>
        <w:t>北京经济技术开发区万源街4号政务服务大厅“政策申报”窗口。</w:t>
      </w:r>
    </w:p>
    <w:p w14:paraId="199C8109">
      <w:pPr>
        <w:keepNext w:val="0"/>
        <w:keepLines w:val="0"/>
        <w:pageBreakBefore w:val="0"/>
        <w:kinsoku/>
        <w:wordWrap/>
        <w:overflowPunct/>
        <w:topLinePunct w:val="0"/>
        <w:autoSpaceDE/>
        <w:autoSpaceDN/>
        <w:bidi w:val="0"/>
        <w:adjustRightInd w:val="0"/>
        <w:snapToGrid w:val="0"/>
        <w:spacing w:line="560" w:lineRule="exact"/>
        <w:ind w:firstLine="640" w:firstLineChars="200"/>
        <w:outlineLvl w:val="0"/>
        <w:rPr>
          <w:rFonts w:ascii="黑体" w:hAnsi="黑体" w:eastAsia="黑体" w:cs="黑体"/>
          <w:sz w:val="32"/>
          <w:szCs w:val="32"/>
        </w:rPr>
      </w:pPr>
      <w:r>
        <w:rPr>
          <w:rFonts w:hint="eastAsia" w:ascii="黑体" w:hAnsi="黑体" w:eastAsia="黑体" w:cs="黑体"/>
          <w:sz w:val="32"/>
          <w:szCs w:val="32"/>
        </w:rPr>
        <w:t>九、申报时间</w:t>
      </w:r>
    </w:p>
    <w:p w14:paraId="522D9947">
      <w:pPr>
        <w:keepNext w:val="0"/>
        <w:keepLines w:val="0"/>
        <w:pageBreakBefore w:val="0"/>
        <w:kinsoku/>
        <w:wordWrap/>
        <w:overflowPunct/>
        <w:topLinePunct w:val="0"/>
        <w:autoSpaceDE/>
        <w:autoSpaceDN/>
        <w:bidi w:val="0"/>
        <w:adjustRightInd w:val="0"/>
        <w:snapToGrid w:val="0"/>
        <w:spacing w:line="56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2026年</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17</w:t>
      </w:r>
      <w:r>
        <w:rPr>
          <w:rFonts w:hint="eastAsia" w:ascii="仿宋_GB2312" w:hAnsi="仿宋_GB2312" w:eastAsia="仿宋_GB2312" w:cs="仿宋_GB2312"/>
          <w:sz w:val="32"/>
          <w:szCs w:val="32"/>
          <w:highlight w:val="none"/>
        </w:rPr>
        <w:t>日至2026年</w:t>
      </w:r>
      <w:r>
        <w:rPr>
          <w:rFonts w:hint="eastAsia" w:ascii="仿宋_GB2312" w:hAnsi="仿宋_GB2312" w:eastAsia="仿宋_GB2312" w:cs="仿宋_GB2312"/>
          <w:sz w:val="32"/>
          <w:szCs w:val="32"/>
          <w:highlight w:val="none"/>
          <w:lang w:val="en-US" w:eastAsia="zh-CN"/>
        </w:rPr>
        <w:t>10</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12</w:t>
      </w:r>
      <w:r>
        <w:rPr>
          <w:rFonts w:hint="eastAsia" w:ascii="仿宋_GB2312" w:hAnsi="仿宋_GB2312" w:eastAsia="仿宋_GB2312" w:cs="仿宋_GB2312"/>
          <w:sz w:val="32"/>
          <w:szCs w:val="32"/>
          <w:highlight w:val="none"/>
        </w:rPr>
        <w:t>日</w:t>
      </w:r>
    </w:p>
    <w:p w14:paraId="189F951E">
      <w:pPr>
        <w:keepNext w:val="0"/>
        <w:keepLines w:val="0"/>
        <w:pageBreakBefore w:val="0"/>
        <w:kinsoku/>
        <w:wordWrap/>
        <w:overflowPunct/>
        <w:topLinePunct w:val="0"/>
        <w:autoSpaceDE/>
        <w:autoSpaceDN/>
        <w:bidi w:val="0"/>
        <w:adjustRightInd w:val="0"/>
        <w:snapToGrid w:val="0"/>
        <w:spacing w:line="560" w:lineRule="exact"/>
        <w:ind w:firstLine="640" w:firstLineChars="200"/>
        <w:outlineLvl w:val="0"/>
        <w:rPr>
          <w:rFonts w:ascii="黑体" w:hAnsi="黑体" w:eastAsia="黑体" w:cs="黑体"/>
          <w:sz w:val="32"/>
          <w:szCs w:val="32"/>
        </w:rPr>
      </w:pPr>
      <w:r>
        <w:rPr>
          <w:rFonts w:hint="eastAsia" w:ascii="黑体" w:hAnsi="黑体" w:eastAsia="黑体" w:cs="黑体"/>
          <w:sz w:val="32"/>
          <w:szCs w:val="32"/>
        </w:rPr>
        <w:t>十、联系方式</w:t>
      </w:r>
    </w:p>
    <w:p w14:paraId="34F02BCB">
      <w:pPr>
        <w:keepNext w:val="0"/>
        <w:keepLines w:val="0"/>
        <w:pageBreakBefore w:val="0"/>
        <w:kinsoku/>
        <w:wordWrap/>
        <w:overflowPunct/>
        <w:topLinePunct w:val="0"/>
        <w:autoSpaceDE/>
        <w:autoSpaceDN/>
        <w:bidi w:val="0"/>
        <w:adjustRightInd w:val="0"/>
        <w:snapToGrid w:val="0"/>
        <w:spacing w:line="560" w:lineRule="exact"/>
        <w:ind w:firstLine="640" w:firstLineChars="200"/>
        <w:rPr>
          <w:rFonts w:eastAsia="仿宋_GB2312"/>
          <w:sz w:val="32"/>
          <w:szCs w:val="32"/>
        </w:rPr>
      </w:pPr>
      <w:r>
        <w:rPr>
          <w:rFonts w:hint="eastAsia" w:eastAsia="仿宋_GB2312"/>
          <w:sz w:val="32"/>
          <w:szCs w:val="32"/>
        </w:rPr>
        <w:t>政策咨询：</w:t>
      </w:r>
    </w:p>
    <w:p w14:paraId="592E46A9">
      <w:pPr>
        <w:keepNext w:val="0"/>
        <w:keepLines w:val="0"/>
        <w:pageBreakBefore w:val="0"/>
        <w:kinsoku/>
        <w:wordWrap/>
        <w:overflowPunct/>
        <w:topLinePunct w:val="0"/>
        <w:autoSpaceDE/>
        <w:autoSpaceDN/>
        <w:bidi w:val="0"/>
        <w:spacing w:line="560" w:lineRule="exact"/>
        <w:ind w:firstLine="640" w:firstLineChars="200"/>
        <w:jc w:val="both"/>
        <w:rPr>
          <w:rFonts w:eastAsia="仿宋_GB2312"/>
          <w:sz w:val="32"/>
          <w:szCs w:val="32"/>
        </w:rPr>
      </w:pPr>
      <w:r>
        <w:rPr>
          <w:rFonts w:hint="eastAsia" w:eastAsia="仿宋_GB2312"/>
          <w:sz w:val="32"/>
          <w:szCs w:val="32"/>
        </w:rPr>
        <w:t>经开区政务服务大厅“政策申报”窗口，联系电话：</w:t>
      </w:r>
      <w:r>
        <w:rPr>
          <w:rFonts w:hint="eastAsia" w:ascii="仿宋_GB2312" w:hAnsi="仿宋_GB2312" w:eastAsia="仿宋_GB2312" w:cs="仿宋_GB2312"/>
          <w:sz w:val="32"/>
          <w:szCs w:val="32"/>
        </w:rPr>
        <w:t>010-67857878转4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010-67857687，工作日上午9:00—12:00，下午1:30—5:00。</w:t>
      </w:r>
    </w:p>
    <w:p w14:paraId="0DAAF9D2">
      <w:pPr>
        <w:keepNext w:val="0"/>
        <w:keepLines w:val="0"/>
        <w:pageBreakBefore w:val="0"/>
        <w:kinsoku/>
        <w:wordWrap/>
        <w:overflowPunct/>
        <w:topLinePunct w:val="0"/>
        <w:autoSpaceDE/>
        <w:autoSpaceDN/>
        <w:bidi w:val="0"/>
        <w:adjustRightInd w:val="0"/>
        <w:snapToGrid w:val="0"/>
        <w:spacing w:line="560" w:lineRule="exact"/>
        <w:ind w:firstLine="640" w:firstLineChars="200"/>
        <w:jc w:val="both"/>
        <w:rPr>
          <w:rFonts w:ascii="仿宋_GB2312" w:hAnsi="仿宋_GB2312" w:eastAsia="仿宋_GB2312" w:cs="仿宋_GB2312"/>
          <w:sz w:val="32"/>
          <w:szCs w:val="32"/>
        </w:rPr>
      </w:pPr>
      <w:r>
        <w:rPr>
          <w:rFonts w:hint="eastAsia" w:eastAsia="仿宋_GB2312" w:cs="仿宋_GB2312"/>
          <w:sz w:val="32"/>
          <w:szCs w:val="32"/>
        </w:rPr>
        <w:t>经开区生物技术</w:t>
      </w:r>
      <w:r>
        <w:rPr>
          <w:rFonts w:hint="eastAsia" w:eastAsia="仿宋_GB2312" w:cs="仿宋_GB2312"/>
          <w:sz w:val="32"/>
          <w:szCs w:val="32"/>
          <w:lang w:eastAsia="zh-CN"/>
        </w:rPr>
        <w:t>和</w:t>
      </w:r>
      <w:r>
        <w:rPr>
          <w:rFonts w:hint="eastAsia" w:eastAsia="仿宋_GB2312" w:cs="仿宋_GB2312"/>
          <w:sz w:val="32"/>
          <w:szCs w:val="32"/>
        </w:rPr>
        <w:t>大健康产业局</w:t>
      </w:r>
      <w:r>
        <w:rPr>
          <w:rFonts w:hint="eastAsia" w:ascii="仿宋_GB2312" w:hAnsi="仿宋_GB2312" w:eastAsia="仿宋_GB2312" w:cs="仿宋_GB2312"/>
          <w:sz w:val="32"/>
          <w:szCs w:val="32"/>
        </w:rPr>
        <w:t>，联系电话：010</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83508309，工作日上午9:00—12:00，下午2:00—6:00。</w:t>
      </w:r>
    </w:p>
    <w:p w14:paraId="284570E0">
      <w:pPr>
        <w:keepNext w:val="0"/>
        <w:keepLines w:val="0"/>
        <w:pageBreakBefore w:val="0"/>
        <w:kinsoku/>
        <w:wordWrap/>
        <w:overflowPunct/>
        <w:topLinePunct w:val="0"/>
        <w:autoSpaceDE/>
        <w:autoSpaceDN/>
        <w:bidi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技术支持：</w:t>
      </w:r>
    </w:p>
    <w:p w14:paraId="6CDD7C54">
      <w:pPr>
        <w:keepNext w:val="0"/>
        <w:keepLines w:val="0"/>
        <w:pageBreakBefore w:val="0"/>
        <w:kinsoku/>
        <w:wordWrap/>
        <w:overflowPunct/>
        <w:topLinePunct w:val="0"/>
        <w:autoSpaceDE/>
        <w:autoSpaceDN/>
        <w:bidi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联系电话：010-83509638，工作日上午9:00—12:00，下午2:00—6:00。</w:t>
      </w:r>
    </w:p>
    <w:p w14:paraId="4B84DC0F">
      <w:pPr>
        <w:keepNext w:val="0"/>
        <w:keepLines w:val="0"/>
        <w:pageBreakBefore w:val="0"/>
        <w:kinsoku/>
        <w:wordWrap/>
        <w:overflowPunct/>
        <w:topLinePunct w:val="0"/>
        <w:autoSpaceDE/>
        <w:autoSpaceDN/>
        <w:bidi w:val="0"/>
        <w:adjustRightInd w:val="0"/>
        <w:snapToGrid w:val="0"/>
        <w:spacing w:line="560" w:lineRule="exact"/>
        <w:ind w:firstLine="640" w:firstLineChars="200"/>
        <w:outlineLvl w:val="0"/>
        <w:rPr>
          <w:rFonts w:ascii="仿宋_GB2312" w:hAnsi="仿宋_GB2312" w:eastAsia="仿宋_GB2312" w:cs="仿宋_GB2312"/>
          <w:sz w:val="32"/>
          <w:szCs w:val="32"/>
        </w:rPr>
      </w:pPr>
      <w:r>
        <w:rPr>
          <w:rFonts w:hint="eastAsia" w:ascii="黑体" w:hAnsi="黑体" w:eastAsia="黑体" w:cs="黑体"/>
          <w:sz w:val="32"/>
          <w:szCs w:val="32"/>
        </w:rPr>
        <w:t>十一、收费标准</w:t>
      </w:r>
    </w:p>
    <w:p w14:paraId="6F69C363">
      <w:pPr>
        <w:keepNext w:val="0"/>
        <w:keepLines w:val="0"/>
        <w:pageBreakBefore w:val="0"/>
        <w:kinsoku/>
        <w:wordWrap/>
        <w:overflowPunct/>
        <w:topLinePunct w:val="0"/>
        <w:autoSpaceDE/>
        <w:autoSpaceDN/>
        <w:bidi w:val="0"/>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不收费</w:t>
      </w:r>
    </w:p>
    <w:p w14:paraId="7936C260">
      <w:pPr>
        <w:keepNext w:val="0"/>
        <w:keepLines w:val="0"/>
        <w:pageBreakBefore w:val="0"/>
        <w:numPr>
          <w:ilvl w:val="0"/>
          <w:numId w:val="1"/>
        </w:numPr>
        <w:kinsoku/>
        <w:wordWrap/>
        <w:overflowPunct/>
        <w:topLinePunct w:val="0"/>
        <w:autoSpaceDE/>
        <w:autoSpaceDN/>
        <w:bidi w:val="0"/>
        <w:adjustRightInd w:val="0"/>
        <w:snapToGrid w:val="0"/>
        <w:spacing w:line="560" w:lineRule="exact"/>
        <w:ind w:firstLine="640" w:firstLineChars="200"/>
        <w:outlineLvl w:val="0"/>
        <w:rPr>
          <w:rFonts w:hint="eastAsia" w:ascii="黑体" w:hAnsi="黑体" w:eastAsia="黑体" w:cs="黑体"/>
          <w:sz w:val="32"/>
          <w:szCs w:val="32"/>
        </w:rPr>
      </w:pPr>
      <w:r>
        <w:rPr>
          <w:rFonts w:hint="eastAsia" w:ascii="黑体" w:hAnsi="黑体" w:eastAsia="黑体" w:cs="黑体"/>
          <w:sz w:val="32"/>
          <w:szCs w:val="32"/>
        </w:rPr>
        <w:t>特别说明</w:t>
      </w:r>
    </w:p>
    <w:p w14:paraId="15A10642">
      <w:pPr>
        <w:keepNext w:val="0"/>
        <w:keepLines w:val="0"/>
        <w:pageBreakBefore w:val="0"/>
        <w:numPr>
          <w:ilvl w:val="-1"/>
          <w:numId w:val="0"/>
        </w:numPr>
        <w:kinsoku/>
        <w:wordWrap/>
        <w:overflowPunct/>
        <w:topLinePunct w:val="0"/>
        <w:autoSpaceDE/>
        <w:autoSpaceDN/>
        <w:bidi w:val="0"/>
        <w:adjustRightInd w:val="0"/>
        <w:snapToGrid w:val="0"/>
        <w:spacing w:line="560" w:lineRule="exact"/>
        <w:ind w:firstLine="640" w:firstLineChars="200"/>
        <w:outlineLvl w:val="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eastAsia="zh-CN"/>
        </w:rPr>
        <w:t>附件：北京经济技术开发区</w:t>
      </w:r>
      <w:r>
        <w:rPr>
          <w:rFonts w:hint="eastAsia" w:ascii="仿宋_GB2312" w:hAnsi="仿宋_GB2312" w:eastAsia="仿宋_GB2312" w:cs="仿宋_GB2312"/>
          <w:color w:val="auto"/>
          <w:sz w:val="32"/>
          <w:szCs w:val="32"/>
          <w:u w:val="none"/>
          <w:lang w:val="en-US" w:eastAsia="zh-CN"/>
        </w:rPr>
        <w:t>医药科技服务机构清单</w:t>
      </w:r>
    </w:p>
    <w:sectPr>
      <w:pgSz w:w="11906" w:h="16838"/>
      <w:pgMar w:top="1440" w:right="1466" w:bottom="1440" w:left="1800" w:header="851" w:footer="992" w:gutter="0"/>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CESI仿宋-GB2312">
    <w:altName w:val="仿宋"/>
    <w:panose1 w:val="02000500000000000000"/>
    <w:charset w:val="86"/>
    <w:family w:val="auto"/>
    <w:pitch w:val="default"/>
    <w:sig w:usb0="00000000" w:usb1="00000000" w:usb2="00000010" w:usb3="00000000" w:csb0="0004000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BCC0E5"/>
    <w:multiLevelType w:val="singleLevel"/>
    <w:tmpl w:val="B8BCC0E5"/>
    <w:lvl w:ilvl="0" w:tentative="0">
      <w:start w:val="1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0EF1"/>
    <w:rsid w:val="0001192B"/>
    <w:rsid w:val="00060052"/>
    <w:rsid w:val="00062C5F"/>
    <w:rsid w:val="000F62F2"/>
    <w:rsid w:val="001145E7"/>
    <w:rsid w:val="00161422"/>
    <w:rsid w:val="00161CCE"/>
    <w:rsid w:val="00271395"/>
    <w:rsid w:val="002838D9"/>
    <w:rsid w:val="002900E2"/>
    <w:rsid w:val="00360EF1"/>
    <w:rsid w:val="00395968"/>
    <w:rsid w:val="004030E9"/>
    <w:rsid w:val="0045316D"/>
    <w:rsid w:val="00457B4D"/>
    <w:rsid w:val="0047003C"/>
    <w:rsid w:val="00526F51"/>
    <w:rsid w:val="005F0D8F"/>
    <w:rsid w:val="006A1513"/>
    <w:rsid w:val="006D0140"/>
    <w:rsid w:val="00710378"/>
    <w:rsid w:val="00757B9E"/>
    <w:rsid w:val="00844BDB"/>
    <w:rsid w:val="00900A14"/>
    <w:rsid w:val="00923A77"/>
    <w:rsid w:val="0098077A"/>
    <w:rsid w:val="009D038B"/>
    <w:rsid w:val="009E6C00"/>
    <w:rsid w:val="00A3406B"/>
    <w:rsid w:val="00AD6D1E"/>
    <w:rsid w:val="00B55D20"/>
    <w:rsid w:val="00B74D80"/>
    <w:rsid w:val="00BA16B9"/>
    <w:rsid w:val="00C122AB"/>
    <w:rsid w:val="00C26424"/>
    <w:rsid w:val="00D460B2"/>
    <w:rsid w:val="00D61A80"/>
    <w:rsid w:val="00D668C9"/>
    <w:rsid w:val="00D70E41"/>
    <w:rsid w:val="00D73550"/>
    <w:rsid w:val="00D76185"/>
    <w:rsid w:val="00D85A9F"/>
    <w:rsid w:val="00DC637B"/>
    <w:rsid w:val="00DD23AA"/>
    <w:rsid w:val="00DF427B"/>
    <w:rsid w:val="00EA199B"/>
    <w:rsid w:val="00F37AEB"/>
    <w:rsid w:val="00FE7441"/>
    <w:rsid w:val="00FF5BD0"/>
    <w:rsid w:val="01540D91"/>
    <w:rsid w:val="01586909"/>
    <w:rsid w:val="015C7ADB"/>
    <w:rsid w:val="01904DED"/>
    <w:rsid w:val="01CB7B50"/>
    <w:rsid w:val="01D948CF"/>
    <w:rsid w:val="020C0B78"/>
    <w:rsid w:val="0225322D"/>
    <w:rsid w:val="02297D4E"/>
    <w:rsid w:val="02501C0D"/>
    <w:rsid w:val="026102BC"/>
    <w:rsid w:val="0278373A"/>
    <w:rsid w:val="0290748C"/>
    <w:rsid w:val="03056B13"/>
    <w:rsid w:val="032269ED"/>
    <w:rsid w:val="037C128E"/>
    <w:rsid w:val="03987D96"/>
    <w:rsid w:val="03E353C9"/>
    <w:rsid w:val="03FA3EE0"/>
    <w:rsid w:val="04080ECA"/>
    <w:rsid w:val="04737D47"/>
    <w:rsid w:val="048B28B7"/>
    <w:rsid w:val="04BF0B67"/>
    <w:rsid w:val="052A15A0"/>
    <w:rsid w:val="05933C0C"/>
    <w:rsid w:val="05AE227A"/>
    <w:rsid w:val="05AE34A7"/>
    <w:rsid w:val="05D14D85"/>
    <w:rsid w:val="06113255"/>
    <w:rsid w:val="0646239C"/>
    <w:rsid w:val="06B62BF6"/>
    <w:rsid w:val="06D3553D"/>
    <w:rsid w:val="06FE1C51"/>
    <w:rsid w:val="072A1178"/>
    <w:rsid w:val="072D25E0"/>
    <w:rsid w:val="074E6B15"/>
    <w:rsid w:val="078B6DBE"/>
    <w:rsid w:val="0792716C"/>
    <w:rsid w:val="07936930"/>
    <w:rsid w:val="07B11C5A"/>
    <w:rsid w:val="07E1C690"/>
    <w:rsid w:val="08395955"/>
    <w:rsid w:val="0840700F"/>
    <w:rsid w:val="08522264"/>
    <w:rsid w:val="08550A3F"/>
    <w:rsid w:val="08925D0E"/>
    <w:rsid w:val="089620E8"/>
    <w:rsid w:val="08A45B0A"/>
    <w:rsid w:val="08A825A4"/>
    <w:rsid w:val="08B97A0D"/>
    <w:rsid w:val="08BF34BA"/>
    <w:rsid w:val="08D44C62"/>
    <w:rsid w:val="093955CA"/>
    <w:rsid w:val="09677F84"/>
    <w:rsid w:val="09B259BF"/>
    <w:rsid w:val="09FF2B6A"/>
    <w:rsid w:val="0A12715A"/>
    <w:rsid w:val="0A192B78"/>
    <w:rsid w:val="0A7A09DE"/>
    <w:rsid w:val="0A7A6E57"/>
    <w:rsid w:val="0AD40459"/>
    <w:rsid w:val="0B1708BD"/>
    <w:rsid w:val="0B38121B"/>
    <w:rsid w:val="0B3E75A5"/>
    <w:rsid w:val="0B401B24"/>
    <w:rsid w:val="0B6B119E"/>
    <w:rsid w:val="0B782C5C"/>
    <w:rsid w:val="0BD84C47"/>
    <w:rsid w:val="0BEE6FC8"/>
    <w:rsid w:val="0BF72154"/>
    <w:rsid w:val="0C3A5354"/>
    <w:rsid w:val="0C4C6FFF"/>
    <w:rsid w:val="0C7D2B96"/>
    <w:rsid w:val="0C804154"/>
    <w:rsid w:val="0C817D6C"/>
    <w:rsid w:val="0CD93D42"/>
    <w:rsid w:val="0D0138A5"/>
    <w:rsid w:val="0D920D6C"/>
    <w:rsid w:val="0D9E4973"/>
    <w:rsid w:val="0DF04B49"/>
    <w:rsid w:val="0E4A7C7C"/>
    <w:rsid w:val="0E5672B2"/>
    <w:rsid w:val="0E715E03"/>
    <w:rsid w:val="0EAB08F2"/>
    <w:rsid w:val="0EAD26D4"/>
    <w:rsid w:val="0ED00FB9"/>
    <w:rsid w:val="0EE86C1D"/>
    <w:rsid w:val="0F043BCB"/>
    <w:rsid w:val="0F1113DA"/>
    <w:rsid w:val="0F131376"/>
    <w:rsid w:val="0F193762"/>
    <w:rsid w:val="0F221A0E"/>
    <w:rsid w:val="0F670CB4"/>
    <w:rsid w:val="0F8C27FB"/>
    <w:rsid w:val="0F934289"/>
    <w:rsid w:val="0FA61C25"/>
    <w:rsid w:val="0FC5F55A"/>
    <w:rsid w:val="0FDCF5BC"/>
    <w:rsid w:val="0FF757D0"/>
    <w:rsid w:val="101D1DF8"/>
    <w:rsid w:val="10452D67"/>
    <w:rsid w:val="10594DE6"/>
    <w:rsid w:val="106018C4"/>
    <w:rsid w:val="10653491"/>
    <w:rsid w:val="10706EEF"/>
    <w:rsid w:val="1092296C"/>
    <w:rsid w:val="10A01313"/>
    <w:rsid w:val="10C13CF3"/>
    <w:rsid w:val="117D2BA9"/>
    <w:rsid w:val="118F3527"/>
    <w:rsid w:val="11CA43B8"/>
    <w:rsid w:val="11D62CBE"/>
    <w:rsid w:val="121B617A"/>
    <w:rsid w:val="1252310C"/>
    <w:rsid w:val="12E52159"/>
    <w:rsid w:val="12EE4885"/>
    <w:rsid w:val="13CE33F5"/>
    <w:rsid w:val="14036F1C"/>
    <w:rsid w:val="14051437"/>
    <w:rsid w:val="142723BB"/>
    <w:rsid w:val="14483333"/>
    <w:rsid w:val="144F1126"/>
    <w:rsid w:val="14942D13"/>
    <w:rsid w:val="14977ACF"/>
    <w:rsid w:val="14A407D6"/>
    <w:rsid w:val="15026CFF"/>
    <w:rsid w:val="151415E7"/>
    <w:rsid w:val="153730CA"/>
    <w:rsid w:val="15526AEE"/>
    <w:rsid w:val="15553FBA"/>
    <w:rsid w:val="157E1A27"/>
    <w:rsid w:val="15AF3425"/>
    <w:rsid w:val="15B34768"/>
    <w:rsid w:val="15DD3DC4"/>
    <w:rsid w:val="15F61B74"/>
    <w:rsid w:val="160B7C23"/>
    <w:rsid w:val="162B13C4"/>
    <w:rsid w:val="17261A0A"/>
    <w:rsid w:val="172708D5"/>
    <w:rsid w:val="17286EDC"/>
    <w:rsid w:val="173A2F14"/>
    <w:rsid w:val="177F691D"/>
    <w:rsid w:val="17AF44C7"/>
    <w:rsid w:val="17C45824"/>
    <w:rsid w:val="17C86D9E"/>
    <w:rsid w:val="17F04282"/>
    <w:rsid w:val="180D7189"/>
    <w:rsid w:val="183712FC"/>
    <w:rsid w:val="189F5C4C"/>
    <w:rsid w:val="18DF1E8D"/>
    <w:rsid w:val="18F4326C"/>
    <w:rsid w:val="19612585"/>
    <w:rsid w:val="196452DD"/>
    <w:rsid w:val="197A58E4"/>
    <w:rsid w:val="19856C91"/>
    <w:rsid w:val="19B8431B"/>
    <w:rsid w:val="19DB76A4"/>
    <w:rsid w:val="19EC634B"/>
    <w:rsid w:val="19F32EB8"/>
    <w:rsid w:val="19F93196"/>
    <w:rsid w:val="1A0B0313"/>
    <w:rsid w:val="1A0C4625"/>
    <w:rsid w:val="1AB25631"/>
    <w:rsid w:val="1AC627E0"/>
    <w:rsid w:val="1AF423CA"/>
    <w:rsid w:val="1B46240B"/>
    <w:rsid w:val="1B714996"/>
    <w:rsid w:val="1B8109FE"/>
    <w:rsid w:val="1B8D4C8F"/>
    <w:rsid w:val="1B9377B6"/>
    <w:rsid w:val="1BB56B5C"/>
    <w:rsid w:val="1BCB5462"/>
    <w:rsid w:val="1C14717E"/>
    <w:rsid w:val="1C1B504A"/>
    <w:rsid w:val="1C2B4E13"/>
    <w:rsid w:val="1C3B6D59"/>
    <w:rsid w:val="1C6E285C"/>
    <w:rsid w:val="1C7B6FF9"/>
    <w:rsid w:val="1D075252"/>
    <w:rsid w:val="1D451EB0"/>
    <w:rsid w:val="1D615728"/>
    <w:rsid w:val="1D761D5A"/>
    <w:rsid w:val="1DE1641B"/>
    <w:rsid w:val="1E3278A5"/>
    <w:rsid w:val="1E447CA3"/>
    <w:rsid w:val="1ED331FC"/>
    <w:rsid w:val="1ED63AA6"/>
    <w:rsid w:val="1ED6487D"/>
    <w:rsid w:val="1EFD05E9"/>
    <w:rsid w:val="1EFE4506"/>
    <w:rsid w:val="1F0F5065"/>
    <w:rsid w:val="1F1A6E4C"/>
    <w:rsid w:val="1F7E5737"/>
    <w:rsid w:val="1FA01FC8"/>
    <w:rsid w:val="1FA9441B"/>
    <w:rsid w:val="1FB0019C"/>
    <w:rsid w:val="1FD94394"/>
    <w:rsid w:val="1FDB376F"/>
    <w:rsid w:val="202F1362"/>
    <w:rsid w:val="20422CC7"/>
    <w:rsid w:val="20616F01"/>
    <w:rsid w:val="20830764"/>
    <w:rsid w:val="20AA00DB"/>
    <w:rsid w:val="20C93EA2"/>
    <w:rsid w:val="20CC2FA6"/>
    <w:rsid w:val="20D514AE"/>
    <w:rsid w:val="20D83B05"/>
    <w:rsid w:val="20DE69DC"/>
    <w:rsid w:val="2117052E"/>
    <w:rsid w:val="21335EBD"/>
    <w:rsid w:val="215C64E4"/>
    <w:rsid w:val="21835613"/>
    <w:rsid w:val="21B6442D"/>
    <w:rsid w:val="21C06C9F"/>
    <w:rsid w:val="21D10780"/>
    <w:rsid w:val="220962A9"/>
    <w:rsid w:val="22C97BF8"/>
    <w:rsid w:val="22F6591B"/>
    <w:rsid w:val="23117B7A"/>
    <w:rsid w:val="231A5872"/>
    <w:rsid w:val="23403409"/>
    <w:rsid w:val="235F00AC"/>
    <w:rsid w:val="23654BF1"/>
    <w:rsid w:val="23B51A0E"/>
    <w:rsid w:val="23E34E21"/>
    <w:rsid w:val="240B41F2"/>
    <w:rsid w:val="244F40DF"/>
    <w:rsid w:val="249C166B"/>
    <w:rsid w:val="24AB3E23"/>
    <w:rsid w:val="24B91EA0"/>
    <w:rsid w:val="2533284F"/>
    <w:rsid w:val="25594938"/>
    <w:rsid w:val="255A71D2"/>
    <w:rsid w:val="25914F87"/>
    <w:rsid w:val="25DF3625"/>
    <w:rsid w:val="261E412A"/>
    <w:rsid w:val="26446E71"/>
    <w:rsid w:val="26602BD3"/>
    <w:rsid w:val="271005EA"/>
    <w:rsid w:val="2727206E"/>
    <w:rsid w:val="273D6D1B"/>
    <w:rsid w:val="2744184C"/>
    <w:rsid w:val="275E3649"/>
    <w:rsid w:val="2768133E"/>
    <w:rsid w:val="27721755"/>
    <w:rsid w:val="27874815"/>
    <w:rsid w:val="281D6715"/>
    <w:rsid w:val="286873FE"/>
    <w:rsid w:val="288627FF"/>
    <w:rsid w:val="28885E11"/>
    <w:rsid w:val="28942D3D"/>
    <w:rsid w:val="28A332E9"/>
    <w:rsid w:val="291E7294"/>
    <w:rsid w:val="29857C2F"/>
    <w:rsid w:val="29D97CC6"/>
    <w:rsid w:val="2A1D0ADC"/>
    <w:rsid w:val="2A4D7312"/>
    <w:rsid w:val="2A5F7219"/>
    <w:rsid w:val="2AB25697"/>
    <w:rsid w:val="2ACF7AB8"/>
    <w:rsid w:val="2B035A09"/>
    <w:rsid w:val="2B195446"/>
    <w:rsid w:val="2B2024A7"/>
    <w:rsid w:val="2B833D12"/>
    <w:rsid w:val="2B9B0A58"/>
    <w:rsid w:val="2BA7027E"/>
    <w:rsid w:val="2BAB54C5"/>
    <w:rsid w:val="2BC05AF8"/>
    <w:rsid w:val="2BE54D11"/>
    <w:rsid w:val="2C522435"/>
    <w:rsid w:val="2C5B4F75"/>
    <w:rsid w:val="2C9009DD"/>
    <w:rsid w:val="2D2A602F"/>
    <w:rsid w:val="2D6B0ED7"/>
    <w:rsid w:val="2D715293"/>
    <w:rsid w:val="2D7649D6"/>
    <w:rsid w:val="2DA064BD"/>
    <w:rsid w:val="2E1E15E1"/>
    <w:rsid w:val="2E236E07"/>
    <w:rsid w:val="2E2B3CCA"/>
    <w:rsid w:val="2E491136"/>
    <w:rsid w:val="2EC908A3"/>
    <w:rsid w:val="2ED73427"/>
    <w:rsid w:val="2F2F2A58"/>
    <w:rsid w:val="2F5D1137"/>
    <w:rsid w:val="2F6E0190"/>
    <w:rsid w:val="2F745341"/>
    <w:rsid w:val="2F8D4635"/>
    <w:rsid w:val="2FB35567"/>
    <w:rsid w:val="3012512B"/>
    <w:rsid w:val="30140526"/>
    <w:rsid w:val="306E5387"/>
    <w:rsid w:val="30AB0C90"/>
    <w:rsid w:val="310A0BC4"/>
    <w:rsid w:val="31281962"/>
    <w:rsid w:val="312A1C2B"/>
    <w:rsid w:val="31317960"/>
    <w:rsid w:val="314C430D"/>
    <w:rsid w:val="315A3762"/>
    <w:rsid w:val="31624147"/>
    <w:rsid w:val="317E4255"/>
    <w:rsid w:val="31AA66BF"/>
    <w:rsid w:val="31D65AF9"/>
    <w:rsid w:val="3201564A"/>
    <w:rsid w:val="321C265E"/>
    <w:rsid w:val="32343B0A"/>
    <w:rsid w:val="32A70709"/>
    <w:rsid w:val="32D53CB8"/>
    <w:rsid w:val="32FE69F0"/>
    <w:rsid w:val="33184235"/>
    <w:rsid w:val="336B64D8"/>
    <w:rsid w:val="33E75D8A"/>
    <w:rsid w:val="341807F9"/>
    <w:rsid w:val="342465E2"/>
    <w:rsid w:val="3469157A"/>
    <w:rsid w:val="347C0671"/>
    <w:rsid w:val="34B21D2C"/>
    <w:rsid w:val="34E04A84"/>
    <w:rsid w:val="34E65163"/>
    <w:rsid w:val="35135498"/>
    <w:rsid w:val="35465824"/>
    <w:rsid w:val="354F42BD"/>
    <w:rsid w:val="3573124D"/>
    <w:rsid w:val="359527A9"/>
    <w:rsid w:val="35A0391C"/>
    <w:rsid w:val="35B56B4B"/>
    <w:rsid w:val="362E64E7"/>
    <w:rsid w:val="36744D66"/>
    <w:rsid w:val="36E95DAE"/>
    <w:rsid w:val="37184DFF"/>
    <w:rsid w:val="37904CE2"/>
    <w:rsid w:val="37B34BCA"/>
    <w:rsid w:val="37B84612"/>
    <w:rsid w:val="37C93788"/>
    <w:rsid w:val="37EF6300"/>
    <w:rsid w:val="37FD7B6F"/>
    <w:rsid w:val="380942B0"/>
    <w:rsid w:val="382D54B8"/>
    <w:rsid w:val="38363290"/>
    <w:rsid w:val="383A3742"/>
    <w:rsid w:val="38732C18"/>
    <w:rsid w:val="387A66CC"/>
    <w:rsid w:val="387C7014"/>
    <w:rsid w:val="38921ED5"/>
    <w:rsid w:val="3897249D"/>
    <w:rsid w:val="38C22A0D"/>
    <w:rsid w:val="39122B90"/>
    <w:rsid w:val="39260453"/>
    <w:rsid w:val="393063E5"/>
    <w:rsid w:val="394B4A07"/>
    <w:rsid w:val="39511D42"/>
    <w:rsid w:val="3967591C"/>
    <w:rsid w:val="39731517"/>
    <w:rsid w:val="39791EC9"/>
    <w:rsid w:val="39841846"/>
    <w:rsid w:val="399C38E8"/>
    <w:rsid w:val="39A60AA5"/>
    <w:rsid w:val="39C93AF0"/>
    <w:rsid w:val="3A2F07E2"/>
    <w:rsid w:val="3A5D281B"/>
    <w:rsid w:val="3A906CBE"/>
    <w:rsid w:val="3AA934A6"/>
    <w:rsid w:val="3B0A5D15"/>
    <w:rsid w:val="3B6877C8"/>
    <w:rsid w:val="3BCD02B3"/>
    <w:rsid w:val="3BDA7DE5"/>
    <w:rsid w:val="3BE73729"/>
    <w:rsid w:val="3C204805"/>
    <w:rsid w:val="3C2F160E"/>
    <w:rsid w:val="3C5F033A"/>
    <w:rsid w:val="3C7ECD05"/>
    <w:rsid w:val="3CA8487C"/>
    <w:rsid w:val="3CD117BD"/>
    <w:rsid w:val="3CF83180"/>
    <w:rsid w:val="3D0B1E04"/>
    <w:rsid w:val="3D1362FF"/>
    <w:rsid w:val="3D23696B"/>
    <w:rsid w:val="3D94503B"/>
    <w:rsid w:val="3DAA6DAB"/>
    <w:rsid w:val="3DD55352"/>
    <w:rsid w:val="3DD73586"/>
    <w:rsid w:val="3DE32562"/>
    <w:rsid w:val="3E20508B"/>
    <w:rsid w:val="3E3C70AF"/>
    <w:rsid w:val="3ED12338"/>
    <w:rsid w:val="3EE438FE"/>
    <w:rsid w:val="3EF468CE"/>
    <w:rsid w:val="3F087986"/>
    <w:rsid w:val="3F192620"/>
    <w:rsid w:val="3F31781F"/>
    <w:rsid w:val="3F346049"/>
    <w:rsid w:val="3F3D4664"/>
    <w:rsid w:val="3F580B78"/>
    <w:rsid w:val="3F6727CC"/>
    <w:rsid w:val="3FA70E1B"/>
    <w:rsid w:val="3FBC30E1"/>
    <w:rsid w:val="3FBE1749"/>
    <w:rsid w:val="3FC4365E"/>
    <w:rsid w:val="3FD009E6"/>
    <w:rsid w:val="3FD4707F"/>
    <w:rsid w:val="3FFD57FE"/>
    <w:rsid w:val="404B17A6"/>
    <w:rsid w:val="40945F74"/>
    <w:rsid w:val="409D6C96"/>
    <w:rsid w:val="40A50B34"/>
    <w:rsid w:val="40C0750A"/>
    <w:rsid w:val="410178FA"/>
    <w:rsid w:val="419C40BE"/>
    <w:rsid w:val="41A74911"/>
    <w:rsid w:val="41BE244C"/>
    <w:rsid w:val="41C24932"/>
    <w:rsid w:val="41EE09AD"/>
    <w:rsid w:val="42271CA4"/>
    <w:rsid w:val="42291FBB"/>
    <w:rsid w:val="423A4979"/>
    <w:rsid w:val="42553C37"/>
    <w:rsid w:val="4275720E"/>
    <w:rsid w:val="42A47894"/>
    <w:rsid w:val="42AB283A"/>
    <w:rsid w:val="43465CD3"/>
    <w:rsid w:val="43FE0A0B"/>
    <w:rsid w:val="4421141E"/>
    <w:rsid w:val="44256103"/>
    <w:rsid w:val="444923EA"/>
    <w:rsid w:val="445E5EFA"/>
    <w:rsid w:val="445F1218"/>
    <w:rsid w:val="44993F4E"/>
    <w:rsid w:val="44F72146"/>
    <w:rsid w:val="45276590"/>
    <w:rsid w:val="452B2CE7"/>
    <w:rsid w:val="459F5DC5"/>
    <w:rsid w:val="45C327BF"/>
    <w:rsid w:val="45DB5022"/>
    <w:rsid w:val="45DE6545"/>
    <w:rsid w:val="46314443"/>
    <w:rsid w:val="4634401A"/>
    <w:rsid w:val="46352992"/>
    <w:rsid w:val="46377A05"/>
    <w:rsid w:val="467F7F60"/>
    <w:rsid w:val="469D497C"/>
    <w:rsid w:val="46C07C6D"/>
    <w:rsid w:val="46D46FCB"/>
    <w:rsid w:val="46F44A2C"/>
    <w:rsid w:val="473F0C29"/>
    <w:rsid w:val="474159DD"/>
    <w:rsid w:val="475DC38C"/>
    <w:rsid w:val="48045B63"/>
    <w:rsid w:val="484F2842"/>
    <w:rsid w:val="4851401A"/>
    <w:rsid w:val="48A977E9"/>
    <w:rsid w:val="49006A23"/>
    <w:rsid w:val="492A682B"/>
    <w:rsid w:val="49596A53"/>
    <w:rsid w:val="498D1081"/>
    <w:rsid w:val="49AE2D68"/>
    <w:rsid w:val="49BB60F6"/>
    <w:rsid w:val="49C3065B"/>
    <w:rsid w:val="49FE7196"/>
    <w:rsid w:val="4A3148B7"/>
    <w:rsid w:val="4A3C2091"/>
    <w:rsid w:val="4A41431D"/>
    <w:rsid w:val="4A8A325C"/>
    <w:rsid w:val="4AAB058A"/>
    <w:rsid w:val="4AB84ECB"/>
    <w:rsid w:val="4ACF4B48"/>
    <w:rsid w:val="4AEB69AD"/>
    <w:rsid w:val="4B6D7706"/>
    <w:rsid w:val="4BA51F05"/>
    <w:rsid w:val="4BFB127C"/>
    <w:rsid w:val="4C0963DD"/>
    <w:rsid w:val="4C1623CC"/>
    <w:rsid w:val="4C240DC6"/>
    <w:rsid w:val="4C373125"/>
    <w:rsid w:val="4C52210E"/>
    <w:rsid w:val="4C687A8F"/>
    <w:rsid w:val="4C990DFC"/>
    <w:rsid w:val="4CAA019C"/>
    <w:rsid w:val="4CAA7518"/>
    <w:rsid w:val="4CBC3A42"/>
    <w:rsid w:val="4CDC02F4"/>
    <w:rsid w:val="4CF91E5B"/>
    <w:rsid w:val="4D181700"/>
    <w:rsid w:val="4D6B0A00"/>
    <w:rsid w:val="4D75145B"/>
    <w:rsid w:val="4D9449F9"/>
    <w:rsid w:val="4D9F002D"/>
    <w:rsid w:val="4DA85F8D"/>
    <w:rsid w:val="4DD62215"/>
    <w:rsid w:val="4E2B5D5D"/>
    <w:rsid w:val="4E3246A1"/>
    <w:rsid w:val="4E604C84"/>
    <w:rsid w:val="4E8B3508"/>
    <w:rsid w:val="4ED13285"/>
    <w:rsid w:val="4EFF2366"/>
    <w:rsid w:val="4F1A6236"/>
    <w:rsid w:val="4F2618A8"/>
    <w:rsid w:val="4F6A651C"/>
    <w:rsid w:val="4F721548"/>
    <w:rsid w:val="4FA73771"/>
    <w:rsid w:val="4FD4377C"/>
    <w:rsid w:val="4FF42A4F"/>
    <w:rsid w:val="4FFF4C5B"/>
    <w:rsid w:val="50086DF5"/>
    <w:rsid w:val="508E5ABD"/>
    <w:rsid w:val="50A336F5"/>
    <w:rsid w:val="50BD79A6"/>
    <w:rsid w:val="510D1202"/>
    <w:rsid w:val="513F51B6"/>
    <w:rsid w:val="515D1CF8"/>
    <w:rsid w:val="515D60CA"/>
    <w:rsid w:val="51714084"/>
    <w:rsid w:val="51AA50CA"/>
    <w:rsid w:val="51D12D37"/>
    <w:rsid w:val="51E46BB8"/>
    <w:rsid w:val="521F04B3"/>
    <w:rsid w:val="528E639D"/>
    <w:rsid w:val="52DE0B2A"/>
    <w:rsid w:val="52E63BA6"/>
    <w:rsid w:val="52E7230E"/>
    <w:rsid w:val="53073C5C"/>
    <w:rsid w:val="53651256"/>
    <w:rsid w:val="53857348"/>
    <w:rsid w:val="539E4AC9"/>
    <w:rsid w:val="53AD3C9D"/>
    <w:rsid w:val="543A5B0D"/>
    <w:rsid w:val="54504F86"/>
    <w:rsid w:val="545F151F"/>
    <w:rsid w:val="5462681B"/>
    <w:rsid w:val="54FF0C4E"/>
    <w:rsid w:val="55050666"/>
    <w:rsid w:val="55560136"/>
    <w:rsid w:val="556569E9"/>
    <w:rsid w:val="556826C8"/>
    <w:rsid w:val="558D031D"/>
    <w:rsid w:val="55B7728F"/>
    <w:rsid w:val="55F24B54"/>
    <w:rsid w:val="56011E88"/>
    <w:rsid w:val="56115940"/>
    <w:rsid w:val="56352C58"/>
    <w:rsid w:val="56377440"/>
    <w:rsid w:val="563F0589"/>
    <w:rsid w:val="56416453"/>
    <w:rsid w:val="568B320E"/>
    <w:rsid w:val="568B7A5E"/>
    <w:rsid w:val="569461B3"/>
    <w:rsid w:val="56FAEAFD"/>
    <w:rsid w:val="57072CB9"/>
    <w:rsid w:val="57513E95"/>
    <w:rsid w:val="575E2A63"/>
    <w:rsid w:val="57672FF6"/>
    <w:rsid w:val="576C2AED"/>
    <w:rsid w:val="578A3D39"/>
    <w:rsid w:val="579A20B9"/>
    <w:rsid w:val="57DD4B77"/>
    <w:rsid w:val="57F61BB3"/>
    <w:rsid w:val="58182573"/>
    <w:rsid w:val="583121F8"/>
    <w:rsid w:val="58376A24"/>
    <w:rsid w:val="5844620B"/>
    <w:rsid w:val="58C4469B"/>
    <w:rsid w:val="58C919AA"/>
    <w:rsid w:val="58E90CAC"/>
    <w:rsid w:val="59254995"/>
    <w:rsid w:val="595347E9"/>
    <w:rsid w:val="595E5D54"/>
    <w:rsid w:val="595E6596"/>
    <w:rsid w:val="59667436"/>
    <w:rsid w:val="598177AB"/>
    <w:rsid w:val="598E51A0"/>
    <w:rsid w:val="59D21F08"/>
    <w:rsid w:val="59D74A3B"/>
    <w:rsid w:val="59E254CE"/>
    <w:rsid w:val="5A0862EA"/>
    <w:rsid w:val="5A136301"/>
    <w:rsid w:val="5A2D63DF"/>
    <w:rsid w:val="5A32726C"/>
    <w:rsid w:val="5A417C55"/>
    <w:rsid w:val="5A55165E"/>
    <w:rsid w:val="5A5C093F"/>
    <w:rsid w:val="5AA36BE1"/>
    <w:rsid w:val="5AF64E2C"/>
    <w:rsid w:val="5AFE68EE"/>
    <w:rsid w:val="5B263105"/>
    <w:rsid w:val="5B505870"/>
    <w:rsid w:val="5B9546C3"/>
    <w:rsid w:val="5B982FC7"/>
    <w:rsid w:val="5B9A26B1"/>
    <w:rsid w:val="5BB64501"/>
    <w:rsid w:val="5BBE2157"/>
    <w:rsid w:val="5BE96A8D"/>
    <w:rsid w:val="5BF15375"/>
    <w:rsid w:val="5BF938B5"/>
    <w:rsid w:val="5C1B251D"/>
    <w:rsid w:val="5C523F6F"/>
    <w:rsid w:val="5C76716F"/>
    <w:rsid w:val="5C866EDB"/>
    <w:rsid w:val="5C973F92"/>
    <w:rsid w:val="5C9A1486"/>
    <w:rsid w:val="5C9A6C78"/>
    <w:rsid w:val="5CAC0B80"/>
    <w:rsid w:val="5CE23BD6"/>
    <w:rsid w:val="5CFF4E17"/>
    <w:rsid w:val="5D1237AB"/>
    <w:rsid w:val="5D442416"/>
    <w:rsid w:val="5D5B7524"/>
    <w:rsid w:val="5D731173"/>
    <w:rsid w:val="5DB61076"/>
    <w:rsid w:val="5DB96EBE"/>
    <w:rsid w:val="5DC0098B"/>
    <w:rsid w:val="5DF255C1"/>
    <w:rsid w:val="5DF2D34D"/>
    <w:rsid w:val="5DFA426F"/>
    <w:rsid w:val="5E60221A"/>
    <w:rsid w:val="5E852B06"/>
    <w:rsid w:val="5E8E5228"/>
    <w:rsid w:val="5EBB0773"/>
    <w:rsid w:val="5EC9424F"/>
    <w:rsid w:val="5EE7E8F7"/>
    <w:rsid w:val="5EEE216B"/>
    <w:rsid w:val="5F3F6EB7"/>
    <w:rsid w:val="5F595787"/>
    <w:rsid w:val="5F8D1C46"/>
    <w:rsid w:val="5FBD03D0"/>
    <w:rsid w:val="5FBEB657"/>
    <w:rsid w:val="5FE50B69"/>
    <w:rsid w:val="5FE73935"/>
    <w:rsid w:val="5FFD49DA"/>
    <w:rsid w:val="601B4866"/>
    <w:rsid w:val="60303D05"/>
    <w:rsid w:val="60386110"/>
    <w:rsid w:val="606977B6"/>
    <w:rsid w:val="60B75222"/>
    <w:rsid w:val="610966E3"/>
    <w:rsid w:val="61495C93"/>
    <w:rsid w:val="61A06ED8"/>
    <w:rsid w:val="61CA2A1B"/>
    <w:rsid w:val="61CC6283"/>
    <w:rsid w:val="61EB1FBB"/>
    <w:rsid w:val="620458E9"/>
    <w:rsid w:val="624422CE"/>
    <w:rsid w:val="62812C52"/>
    <w:rsid w:val="6298596F"/>
    <w:rsid w:val="634E079D"/>
    <w:rsid w:val="635553E5"/>
    <w:rsid w:val="637D795A"/>
    <w:rsid w:val="63E9591E"/>
    <w:rsid w:val="640F4520"/>
    <w:rsid w:val="644E2961"/>
    <w:rsid w:val="64797172"/>
    <w:rsid w:val="649C056B"/>
    <w:rsid w:val="64AE5736"/>
    <w:rsid w:val="64CE25B3"/>
    <w:rsid w:val="64DB4BB5"/>
    <w:rsid w:val="65155138"/>
    <w:rsid w:val="65342BA2"/>
    <w:rsid w:val="658A3C2E"/>
    <w:rsid w:val="65BE0B5B"/>
    <w:rsid w:val="65EE1625"/>
    <w:rsid w:val="667B70FF"/>
    <w:rsid w:val="66815ECF"/>
    <w:rsid w:val="668D4153"/>
    <w:rsid w:val="66A82973"/>
    <w:rsid w:val="67133770"/>
    <w:rsid w:val="672E0D6A"/>
    <w:rsid w:val="677F638E"/>
    <w:rsid w:val="67C1331A"/>
    <w:rsid w:val="67CC7BA0"/>
    <w:rsid w:val="67D04C04"/>
    <w:rsid w:val="67F973CE"/>
    <w:rsid w:val="6808097F"/>
    <w:rsid w:val="68464DC5"/>
    <w:rsid w:val="686076FC"/>
    <w:rsid w:val="68CA3301"/>
    <w:rsid w:val="68E479A1"/>
    <w:rsid w:val="69421DD6"/>
    <w:rsid w:val="69423DA8"/>
    <w:rsid w:val="6A59468E"/>
    <w:rsid w:val="6A5A7538"/>
    <w:rsid w:val="6A7C3B1B"/>
    <w:rsid w:val="6A9153AF"/>
    <w:rsid w:val="6A96318B"/>
    <w:rsid w:val="6A9A5399"/>
    <w:rsid w:val="6B3F3AAD"/>
    <w:rsid w:val="6B891093"/>
    <w:rsid w:val="6BA55CDC"/>
    <w:rsid w:val="6BBB7B1A"/>
    <w:rsid w:val="6BC177C6"/>
    <w:rsid w:val="6BC37DD4"/>
    <w:rsid w:val="6C021C08"/>
    <w:rsid w:val="6C0A466E"/>
    <w:rsid w:val="6C1948F8"/>
    <w:rsid w:val="6C4D6808"/>
    <w:rsid w:val="6C5459F7"/>
    <w:rsid w:val="6C725360"/>
    <w:rsid w:val="6C7908D0"/>
    <w:rsid w:val="6C8A0C15"/>
    <w:rsid w:val="6C926DA7"/>
    <w:rsid w:val="6CB16FB4"/>
    <w:rsid w:val="6CE4440B"/>
    <w:rsid w:val="6CF73991"/>
    <w:rsid w:val="6D0154E8"/>
    <w:rsid w:val="6D034EA5"/>
    <w:rsid w:val="6D1334E9"/>
    <w:rsid w:val="6D231259"/>
    <w:rsid w:val="6D3203DA"/>
    <w:rsid w:val="6D5B79BC"/>
    <w:rsid w:val="6DCF4058"/>
    <w:rsid w:val="6DE9238A"/>
    <w:rsid w:val="6E182D60"/>
    <w:rsid w:val="6E2B147B"/>
    <w:rsid w:val="6E33263A"/>
    <w:rsid w:val="6E3A4154"/>
    <w:rsid w:val="6E712470"/>
    <w:rsid w:val="6E893371"/>
    <w:rsid w:val="6E8C71B7"/>
    <w:rsid w:val="6EA731B5"/>
    <w:rsid w:val="6EB6086C"/>
    <w:rsid w:val="6EC648DD"/>
    <w:rsid w:val="6EE52460"/>
    <w:rsid w:val="6EEF649B"/>
    <w:rsid w:val="6F0C63B7"/>
    <w:rsid w:val="6F0F9811"/>
    <w:rsid w:val="6F345206"/>
    <w:rsid w:val="6F658521"/>
    <w:rsid w:val="6F941165"/>
    <w:rsid w:val="6FBC2D32"/>
    <w:rsid w:val="6FD3EC2C"/>
    <w:rsid w:val="70007B47"/>
    <w:rsid w:val="702F1D23"/>
    <w:rsid w:val="705342C1"/>
    <w:rsid w:val="708D3892"/>
    <w:rsid w:val="70B75CF8"/>
    <w:rsid w:val="70C079DE"/>
    <w:rsid w:val="712573D2"/>
    <w:rsid w:val="7155010D"/>
    <w:rsid w:val="715C4E8A"/>
    <w:rsid w:val="71710EA0"/>
    <w:rsid w:val="717F152D"/>
    <w:rsid w:val="71D07EE4"/>
    <w:rsid w:val="720F3D8F"/>
    <w:rsid w:val="72A75458"/>
    <w:rsid w:val="72D92721"/>
    <w:rsid w:val="73436223"/>
    <w:rsid w:val="735538BA"/>
    <w:rsid w:val="735A1725"/>
    <w:rsid w:val="7377C359"/>
    <w:rsid w:val="73AC6967"/>
    <w:rsid w:val="73AE56BA"/>
    <w:rsid w:val="73F33232"/>
    <w:rsid w:val="73FFEFF4"/>
    <w:rsid w:val="740941C7"/>
    <w:rsid w:val="74A24F54"/>
    <w:rsid w:val="74DA21D9"/>
    <w:rsid w:val="75250E17"/>
    <w:rsid w:val="75412B9C"/>
    <w:rsid w:val="75576C93"/>
    <w:rsid w:val="75711074"/>
    <w:rsid w:val="757A58E6"/>
    <w:rsid w:val="75893E4D"/>
    <w:rsid w:val="75BA3B6D"/>
    <w:rsid w:val="75BF3AFA"/>
    <w:rsid w:val="75D12F9F"/>
    <w:rsid w:val="75E87AE4"/>
    <w:rsid w:val="76206188"/>
    <w:rsid w:val="767E6D89"/>
    <w:rsid w:val="768B48F5"/>
    <w:rsid w:val="76A32A08"/>
    <w:rsid w:val="76DD66F2"/>
    <w:rsid w:val="76EC6FC3"/>
    <w:rsid w:val="770B2702"/>
    <w:rsid w:val="7718563E"/>
    <w:rsid w:val="776A3F9A"/>
    <w:rsid w:val="77901978"/>
    <w:rsid w:val="77915027"/>
    <w:rsid w:val="779D4F4D"/>
    <w:rsid w:val="77CF1648"/>
    <w:rsid w:val="77DB5E90"/>
    <w:rsid w:val="77EC0444"/>
    <w:rsid w:val="78027526"/>
    <w:rsid w:val="781D2C7A"/>
    <w:rsid w:val="783A56AF"/>
    <w:rsid w:val="78413BD7"/>
    <w:rsid w:val="788F717D"/>
    <w:rsid w:val="78915F29"/>
    <w:rsid w:val="789FF4B8"/>
    <w:rsid w:val="78A77DB4"/>
    <w:rsid w:val="78B31BDE"/>
    <w:rsid w:val="78E70DA1"/>
    <w:rsid w:val="78F21850"/>
    <w:rsid w:val="790A1A84"/>
    <w:rsid w:val="791B03AB"/>
    <w:rsid w:val="79714C66"/>
    <w:rsid w:val="79D31F15"/>
    <w:rsid w:val="79D657CC"/>
    <w:rsid w:val="79E40A04"/>
    <w:rsid w:val="7A151811"/>
    <w:rsid w:val="7A67702F"/>
    <w:rsid w:val="7B3C52F1"/>
    <w:rsid w:val="7B670E83"/>
    <w:rsid w:val="7B9D0472"/>
    <w:rsid w:val="7BA046F3"/>
    <w:rsid w:val="7BAF2E36"/>
    <w:rsid w:val="7BC37346"/>
    <w:rsid w:val="7BE71A21"/>
    <w:rsid w:val="7BF87E00"/>
    <w:rsid w:val="7C064DA7"/>
    <w:rsid w:val="7C0A2379"/>
    <w:rsid w:val="7C551636"/>
    <w:rsid w:val="7C5F3CF1"/>
    <w:rsid w:val="7C697AB1"/>
    <w:rsid w:val="7C7D4586"/>
    <w:rsid w:val="7CB460B3"/>
    <w:rsid w:val="7CD445C4"/>
    <w:rsid w:val="7CEA00DC"/>
    <w:rsid w:val="7CED17F8"/>
    <w:rsid w:val="7CF17B62"/>
    <w:rsid w:val="7CFD1A9F"/>
    <w:rsid w:val="7D274421"/>
    <w:rsid w:val="7D3D452B"/>
    <w:rsid w:val="7D957EE1"/>
    <w:rsid w:val="7DFC4CA2"/>
    <w:rsid w:val="7E137B54"/>
    <w:rsid w:val="7E4E0E62"/>
    <w:rsid w:val="7E503B32"/>
    <w:rsid w:val="7E6B7B24"/>
    <w:rsid w:val="7E757D8F"/>
    <w:rsid w:val="7E782A8A"/>
    <w:rsid w:val="7E7F9514"/>
    <w:rsid w:val="7E9BE02F"/>
    <w:rsid w:val="7EAE11D8"/>
    <w:rsid w:val="7EFFFA7B"/>
    <w:rsid w:val="7F27A7F8"/>
    <w:rsid w:val="7F8A5226"/>
    <w:rsid w:val="7F8F9BE4"/>
    <w:rsid w:val="7FA54E49"/>
    <w:rsid w:val="7FC14E2C"/>
    <w:rsid w:val="7FDEF211"/>
    <w:rsid w:val="7FDF4F3D"/>
    <w:rsid w:val="7FEB0169"/>
    <w:rsid w:val="7FEB9989"/>
    <w:rsid w:val="7FF3312E"/>
    <w:rsid w:val="7FF71BBD"/>
    <w:rsid w:val="7FFB0F4A"/>
    <w:rsid w:val="7FFB7C81"/>
    <w:rsid w:val="7FFCD805"/>
    <w:rsid w:val="7FFE9155"/>
    <w:rsid w:val="7FFFDB9C"/>
    <w:rsid w:val="8E5F25BA"/>
    <w:rsid w:val="8F4E5F79"/>
    <w:rsid w:val="9DF5F888"/>
    <w:rsid w:val="9EA70739"/>
    <w:rsid w:val="9EDF35C2"/>
    <w:rsid w:val="9F6F6015"/>
    <w:rsid w:val="A2FF49CE"/>
    <w:rsid w:val="A77EB74B"/>
    <w:rsid w:val="B77FF80E"/>
    <w:rsid w:val="B7FB8CCC"/>
    <w:rsid w:val="B95D833E"/>
    <w:rsid w:val="B9FE8950"/>
    <w:rsid w:val="BDDB85EB"/>
    <w:rsid w:val="BEAEDF73"/>
    <w:rsid w:val="BEEFDDF0"/>
    <w:rsid w:val="BFB32579"/>
    <w:rsid w:val="BFFF0EDB"/>
    <w:rsid w:val="C57D2B75"/>
    <w:rsid w:val="C7DB93C8"/>
    <w:rsid w:val="CBFFB9F2"/>
    <w:rsid w:val="CEDFA829"/>
    <w:rsid w:val="CF69B4D1"/>
    <w:rsid w:val="CF9E04DF"/>
    <w:rsid w:val="D7BC42FE"/>
    <w:rsid w:val="DBCD4D86"/>
    <w:rsid w:val="DBF6C505"/>
    <w:rsid w:val="DD7E7DC7"/>
    <w:rsid w:val="DE8B2ABB"/>
    <w:rsid w:val="DEF5E07B"/>
    <w:rsid w:val="DFFC612E"/>
    <w:rsid w:val="E3D7C693"/>
    <w:rsid w:val="E3FA4C4F"/>
    <w:rsid w:val="E7CE09B1"/>
    <w:rsid w:val="E9FBDB03"/>
    <w:rsid w:val="ECF9DE7E"/>
    <w:rsid w:val="EDDEB85C"/>
    <w:rsid w:val="EDFDA1C1"/>
    <w:rsid w:val="EDFFE083"/>
    <w:rsid w:val="EED3E18C"/>
    <w:rsid w:val="EFDB9889"/>
    <w:rsid w:val="EFDFC976"/>
    <w:rsid w:val="EFEEB9E2"/>
    <w:rsid w:val="F15B28AE"/>
    <w:rsid w:val="F39FB4DC"/>
    <w:rsid w:val="F3BF73A9"/>
    <w:rsid w:val="F5BC2D1B"/>
    <w:rsid w:val="F5DBA8FA"/>
    <w:rsid w:val="F6FE7EE0"/>
    <w:rsid w:val="F7B6DA9D"/>
    <w:rsid w:val="FA8F4A88"/>
    <w:rsid w:val="FAED25F3"/>
    <w:rsid w:val="FAF78665"/>
    <w:rsid w:val="FB36D67F"/>
    <w:rsid w:val="FB5A4813"/>
    <w:rsid w:val="FBB5378C"/>
    <w:rsid w:val="FBBB980B"/>
    <w:rsid w:val="FC690BA9"/>
    <w:rsid w:val="FDEFAA57"/>
    <w:rsid w:val="FEFF38BC"/>
    <w:rsid w:val="FF39B41F"/>
    <w:rsid w:val="FF71DDCA"/>
    <w:rsid w:val="FFBB39C4"/>
    <w:rsid w:val="FFDF5A7D"/>
    <w:rsid w:val="FFEB0C14"/>
    <w:rsid w:val="FFF73784"/>
    <w:rsid w:val="FFFF4A17"/>
    <w:rsid w:val="FFFF8849"/>
    <w:rsid w:val="FFFFB4A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宋体" w:hAnsi="宋体" w:eastAsia="宋体" w:cs="宋体"/>
      <w:sz w:val="24"/>
      <w:szCs w:val="24"/>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widowControl w:val="0"/>
      <w:jc w:val="both"/>
    </w:pPr>
    <w:rPr>
      <w:rFonts w:ascii="仿宋_GB2312" w:hAnsi="仿宋_GB2312" w:eastAsia="仿宋_GB2312" w:cs="仿宋_GB2312"/>
      <w:kern w:val="2"/>
      <w:sz w:val="32"/>
      <w:szCs w:val="32"/>
    </w:rPr>
  </w:style>
  <w:style w:type="paragraph" w:styleId="3">
    <w:name w:val="annotation text"/>
    <w:basedOn w:val="1"/>
    <w:qFormat/>
    <w:uiPriority w:val="0"/>
    <w:pPr>
      <w:widowControl w:val="0"/>
    </w:pPr>
    <w:rPr>
      <w:rFonts w:ascii="Times New Roman" w:hAnsi="Times New Roman" w:cs="Times New Roman"/>
      <w:kern w:val="2"/>
      <w:sz w:val="21"/>
    </w:rPr>
  </w:style>
  <w:style w:type="paragraph" w:styleId="4">
    <w:name w:val="Body Text Indent"/>
    <w:basedOn w:val="1"/>
    <w:next w:val="5"/>
    <w:unhideWhenUsed/>
    <w:qFormat/>
    <w:uiPriority w:val="99"/>
    <w:pPr>
      <w:widowControl w:val="0"/>
      <w:spacing w:after="120"/>
      <w:ind w:left="420" w:leftChars="200"/>
      <w:jc w:val="both"/>
    </w:pPr>
    <w:rPr>
      <w:rFonts w:ascii="Times New Roman" w:hAnsi="Times New Roman" w:cs="Times New Roman"/>
      <w:kern w:val="2"/>
      <w:sz w:val="21"/>
    </w:rPr>
  </w:style>
  <w:style w:type="paragraph" w:styleId="5">
    <w:name w:val="Body Text First Indent 2"/>
    <w:basedOn w:val="4"/>
    <w:next w:val="1"/>
    <w:unhideWhenUsed/>
    <w:qFormat/>
    <w:uiPriority w:val="99"/>
    <w:pPr>
      <w:ind w:left="0" w:leftChars="0" w:firstLine="420"/>
    </w:pPr>
    <w:rPr>
      <w:rFonts w:ascii="仿宋_GB2312" w:eastAsia="仿宋_GB2312" w:cs="仿宋_GB2312"/>
      <w:sz w:val="32"/>
      <w:szCs w:val="32"/>
    </w:rPr>
  </w:style>
  <w:style w:type="paragraph" w:styleId="6">
    <w:name w:val="footer"/>
    <w:basedOn w:val="1"/>
    <w:link w:val="17"/>
    <w:qFormat/>
    <w:uiPriority w:val="0"/>
    <w:pPr>
      <w:widowControl w:val="0"/>
      <w:tabs>
        <w:tab w:val="center" w:pos="4153"/>
        <w:tab w:val="right" w:pos="8306"/>
      </w:tabs>
      <w:snapToGrid w:val="0"/>
    </w:pPr>
    <w:rPr>
      <w:rFonts w:ascii="Times New Roman" w:hAnsi="Times New Roman" w:cs="Times New Roman"/>
      <w:kern w:val="2"/>
      <w:sz w:val="18"/>
      <w:szCs w:val="18"/>
    </w:rPr>
  </w:style>
  <w:style w:type="paragraph" w:styleId="7">
    <w:name w:val="header"/>
    <w:basedOn w:val="1"/>
    <w:link w:val="16"/>
    <w:qFormat/>
    <w:uiPriority w:val="0"/>
    <w:pPr>
      <w:widowControl w:val="0"/>
      <w:pBdr>
        <w:bottom w:val="single" w:color="auto" w:sz="6" w:space="1"/>
      </w:pBdr>
      <w:tabs>
        <w:tab w:val="center" w:pos="4153"/>
        <w:tab w:val="right" w:pos="8306"/>
      </w:tabs>
      <w:snapToGrid w:val="0"/>
      <w:jc w:val="center"/>
    </w:pPr>
    <w:rPr>
      <w:rFonts w:ascii="Times New Roman" w:hAnsi="Times New Roman" w:cs="Times New Roman"/>
      <w:kern w:val="2"/>
      <w:sz w:val="18"/>
      <w:szCs w:val="18"/>
    </w:rPr>
  </w:style>
  <w:style w:type="paragraph" w:styleId="8">
    <w:name w:val="HTML Preformatted"/>
    <w:basedOn w:val="1"/>
    <w:unhideWhenUsed/>
    <w:qFormat/>
    <w:uiPriority w:val="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cs="Times New Roman"/>
    </w:rPr>
  </w:style>
  <w:style w:type="paragraph" w:styleId="9">
    <w:name w:val="Normal (Web)"/>
    <w:basedOn w:val="1"/>
    <w:qFormat/>
    <w:uiPriority w:val="0"/>
    <w:pPr>
      <w:widowControl w:val="0"/>
      <w:spacing w:beforeAutospacing="1" w:afterAutospacing="1"/>
    </w:pPr>
    <w:rPr>
      <w:rFonts w:ascii="Times New Roman" w:hAnsi="Times New Roman" w:cs="Times New Roman"/>
    </w:rPr>
  </w:style>
  <w:style w:type="paragraph" w:styleId="10">
    <w:name w:val="Body Text First Indent"/>
    <w:basedOn w:val="2"/>
    <w:unhideWhenUsed/>
    <w:qFormat/>
    <w:uiPriority w:val="99"/>
    <w:pPr>
      <w:ind w:firstLine="420" w:firstLineChars="100"/>
    </w:pPr>
    <w:rPr>
      <w:rFonts w:ascii="Times New Roman" w:hAnsi="Times New Roman" w:eastAsia="仿宋_GB2312"/>
      <w:sz w:val="32"/>
    </w:rPr>
  </w:style>
  <w:style w:type="character" w:styleId="13">
    <w:name w:val="Strong"/>
    <w:basedOn w:val="12"/>
    <w:qFormat/>
    <w:uiPriority w:val="0"/>
    <w:rPr>
      <w:b/>
    </w:rPr>
  </w:style>
  <w:style w:type="character" w:styleId="14">
    <w:name w:val="FollowedHyperlink"/>
    <w:basedOn w:val="12"/>
    <w:qFormat/>
    <w:uiPriority w:val="0"/>
    <w:rPr>
      <w:color w:val="800080"/>
      <w:u w:val="single"/>
    </w:rPr>
  </w:style>
  <w:style w:type="character" w:styleId="15">
    <w:name w:val="Hyperlink"/>
    <w:basedOn w:val="12"/>
    <w:qFormat/>
    <w:uiPriority w:val="0"/>
    <w:rPr>
      <w:color w:val="0000FF"/>
      <w:u w:val="single"/>
    </w:rPr>
  </w:style>
  <w:style w:type="character" w:customStyle="1" w:styleId="16">
    <w:name w:val="页眉 字符"/>
    <w:basedOn w:val="12"/>
    <w:link w:val="7"/>
    <w:qFormat/>
    <w:uiPriority w:val="0"/>
    <w:rPr>
      <w:kern w:val="2"/>
      <w:sz w:val="18"/>
      <w:szCs w:val="18"/>
    </w:rPr>
  </w:style>
  <w:style w:type="character" w:customStyle="1" w:styleId="17">
    <w:name w:val="页脚 字符"/>
    <w:basedOn w:val="12"/>
    <w:link w:val="6"/>
    <w:qFormat/>
    <w:uiPriority w:val="0"/>
    <w:rPr>
      <w:kern w:val="2"/>
      <w:sz w:val="18"/>
      <w:szCs w:val="18"/>
    </w:rPr>
  </w:style>
  <w:style w:type="paragraph" w:customStyle="1" w:styleId="18">
    <w:name w:val="修订1"/>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4</Pages>
  <Words>1650</Words>
  <Characters>1880</Characters>
  <Lines>17</Lines>
  <Paragraphs>4</Paragraphs>
  <TotalTime>18</TotalTime>
  <ScaleCrop>false</ScaleCrop>
  <LinksUpToDate>false</LinksUpToDate>
  <CharactersWithSpaces>1880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2019-08-17T22:54:00Z</dcterms:created>
  <dc:creator>zkk</dc:creator>
  <cp:lastModifiedBy>张九峰</cp:lastModifiedBy>
  <cp:lastPrinted>2026-04-15T18:20:00Z</cp:lastPrinted>
  <dcterms:modified xsi:type="dcterms:W3CDTF">2026-09-14T09:30:29Z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B6777B61F0554A1BA861EA18070E1411_13</vt:lpwstr>
  </property>
  <property fmtid="{D5CDD505-2E9C-101B-9397-08002B2CF9AE}" pid="4" name="KSOTemplateDocerSaveRecord">
    <vt:lpwstr>eyJoZGlkIjoiMmMwYmNjZmFlYmZkNDhhN2I5MzI1MmE3Nzk4ZGZiMDMiLCJ1c2VySWQiOiIzNTgxMjQ0NTQifQ==</vt:lpwstr>
  </property>
</Properties>
</file>