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C085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0BE5D7DA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2025年支持上市辅导专业赋能奖励</w:t>
      </w:r>
    </w:p>
    <w:p w14:paraId="2E077EC5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769FD88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0AC4F4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67954FD3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北京经济技术开发区《关于实施“群雁计划”促进企业上市培育服务工作的若干措施》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支持上市辅导专业赋能。推动企业治理现代化、运营合规化、资本运作科学化。对聘请证券机构、会计师事务所、律师事务所等机构开展境内上市辅导、境外上市保荐的企业，按企业当年合计实际支付服务费用的30%给予补贴，单家企业年度补贴最高为200万元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”。</w:t>
      </w:r>
    </w:p>
    <w:p w14:paraId="6B9D3B86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65073C6C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2025年支</w:t>
      </w:r>
      <w:r>
        <w:rPr>
          <w:rFonts w:hint="eastAsia" w:eastAsia="仿宋_GB2312" w:cs="仿宋_GB2312"/>
          <w:sz w:val="32"/>
          <w:szCs w:val="32"/>
        </w:rPr>
        <w:t>持上市辅导专业赋能奖励</w:t>
      </w:r>
    </w:p>
    <w:p w14:paraId="58562B45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2593E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在亦庄新城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平方公里范围内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实际经营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。</w:t>
      </w:r>
    </w:p>
    <w:p w14:paraId="5F605C8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年无重大行政处罚记录和刑事犯罪记录，未列入严重违法失信主体名单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且纳入经开区“群雁计划”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（本措施另有规定的除外）。</w:t>
      </w:r>
    </w:p>
    <w:p w14:paraId="3F9CFD6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6431C1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（一）对于聘请证券机构、会计师事务所、律师事务所等机构开展境内上市辅导、境外上市保荐的企业，按企业当年合计实际支付服务费用的30%给予补贴，单家企业年度补贴最高为200万元。</w:t>
      </w:r>
    </w:p>
    <w:p w14:paraId="0A7BD6B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（二）补贴金额以万元为单位，保留两位小数。</w:t>
      </w:r>
    </w:p>
    <w:p w14:paraId="7E2ED3E7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7053A0E0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1.支持上市辅导专业赋能奖励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6BAE2F6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B884E4F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3E688022">
      <w:pPr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D541B78"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与中介机构签订的协议，原件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；</w:t>
      </w:r>
    </w:p>
    <w:p w14:paraId="4D025F00">
      <w:pPr>
        <w:spacing w:line="560" w:lineRule="exact"/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6.付款发票，原件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6E5BA00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BAB2A4F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309BFDDE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418292D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商务金融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0E5ECC43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商务金融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 w14:paraId="4005E04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商务金融局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43BDB722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7523B89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2B6C3948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商务金融</w:t>
      </w:r>
      <w:r>
        <w:rPr>
          <w:rFonts w:hint="eastAsia" w:eastAsia="仿宋_GB2312" w:cs="仿宋_GB2312"/>
          <w:sz w:val="32"/>
          <w:szCs w:val="32"/>
        </w:rPr>
        <w:t>局</w:t>
      </w:r>
    </w:p>
    <w:p w14:paraId="385FF47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205E8EDD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1411054B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79AA0C2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8494A7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5CFAD64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3B95A7F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3B4C69D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商务金融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潘眉眉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83508587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3339C4A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5EB318D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7B70A4DD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41760F4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4395C26F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7A865B1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2C2E3A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3AD2075"/>
    <w:rsid w:val="13FD3CDB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71615D"/>
    <w:rsid w:val="17A47EC5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A51A50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12777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026F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4C51EB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570200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776BB9"/>
    <w:rsid w:val="40945F74"/>
    <w:rsid w:val="409D6C96"/>
    <w:rsid w:val="40A50B34"/>
    <w:rsid w:val="40C0750A"/>
    <w:rsid w:val="40E63BC5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BFFF172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676C69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06824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52C6B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FF6326"/>
    <w:rsid w:val="70007B47"/>
    <w:rsid w:val="702F1D23"/>
    <w:rsid w:val="702F28D8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264D14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BFE408D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044C1"/>
    <w:rsid w:val="7FFB8B28"/>
    <w:rsid w:val="9F6F6015"/>
    <w:rsid w:val="C7DB93C8"/>
    <w:rsid w:val="DD7E7DC7"/>
    <w:rsid w:val="DEF5E07B"/>
    <w:rsid w:val="EFEEB9E2"/>
    <w:rsid w:val="F4EF9BD6"/>
    <w:rsid w:val="F5DBA8FA"/>
    <w:rsid w:val="FBBA57CE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1149</Words>
  <Characters>1314</Characters>
  <Lines>11</Lines>
  <Paragraphs>3</Paragraphs>
  <TotalTime>6</TotalTime>
  <ScaleCrop>false</ScaleCrop>
  <LinksUpToDate>false</LinksUpToDate>
  <CharactersWithSpaces>1314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2019-08-14T06:54:00Z</dcterms:created>
  <dc:creator>zkk</dc:creator>
  <cp:lastModifiedBy>张九峰</cp:lastModifiedBy>
  <cp:lastPrinted>2020-03-24T03:03:00Z</cp:lastPrinted>
  <dcterms:modified xsi:type="dcterms:W3CDTF">2026-03-23T02:27:55Z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