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12A0">
      <w:pPr>
        <w:pStyle w:val="2"/>
        <w:spacing w:before="0" w:after="0" w:line="560" w:lineRule="exact"/>
        <w:rPr>
          <w:rFonts w:hint="eastAsia" w:ascii="仿宋" w:hAnsi="仿宋" w:eastAsia="仿宋"/>
          <w:color w:val="auto"/>
          <w:spacing w:val="-11"/>
          <w:sz w:val="32"/>
          <w:szCs w:val="32"/>
          <w:highlight w:val="none"/>
        </w:rPr>
      </w:pPr>
      <w:bookmarkStart w:id="0" w:name="_Toc728995724"/>
      <w:bookmarkStart w:id="1" w:name="_Toc572542454"/>
      <w:bookmarkStart w:id="2" w:name="_Toc7690"/>
      <w:bookmarkStart w:id="3" w:name="_Toc1688240444"/>
      <w:bookmarkStart w:id="4" w:name="_Toc1725897018"/>
      <w:bookmarkStart w:id="5" w:name="_Toc184846293"/>
      <w:bookmarkStart w:id="6" w:name="_Toc284562195"/>
      <w:r>
        <w:rPr>
          <w:rFonts w:hint="eastAsia" w:ascii="黑体" w:hAnsi="黑体" w:eastAsia="黑体" w:cs="黑体"/>
          <w:b w:val="0"/>
          <w:bCs w:val="0"/>
          <w:color w:val="auto"/>
          <w:sz w:val="32"/>
          <w:szCs w:val="32"/>
          <w:highlight w:val="none"/>
        </w:rPr>
        <w:t>附件2</w:t>
      </w:r>
      <w:bookmarkEnd w:id="0"/>
      <w:bookmarkEnd w:id="1"/>
      <w:bookmarkEnd w:id="2"/>
      <w:bookmarkEnd w:id="3"/>
      <w:bookmarkEnd w:id="4"/>
      <w:bookmarkEnd w:id="5"/>
      <w:bookmarkEnd w:id="6"/>
    </w:p>
    <w:p w14:paraId="5E2AAE4F">
      <w:pPr>
        <w:spacing w:line="560" w:lineRule="exact"/>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区疫苗质量安全事件应急</w:t>
      </w:r>
      <w:r>
        <w:rPr>
          <w:rFonts w:hint="eastAsia" w:ascii="方正小标宋简体" w:hAnsi="方正小标宋简体" w:eastAsia="方正小标宋简体" w:cs="方正小标宋简体"/>
          <w:color w:val="auto"/>
          <w:kern w:val="0"/>
          <w:sz w:val="44"/>
          <w:szCs w:val="44"/>
          <w:highlight w:val="none"/>
          <w:lang w:val="en-US" w:eastAsia="zh-CN"/>
        </w:rPr>
        <w:t>工作</w:t>
      </w:r>
      <w:r>
        <w:rPr>
          <w:rFonts w:hint="eastAsia" w:ascii="方正小标宋简体" w:hAnsi="方正小标宋简体" w:eastAsia="方正小标宋简体" w:cs="方正小标宋简体"/>
          <w:b w:val="0"/>
          <w:bCs w:val="0"/>
          <w:color w:val="auto"/>
          <w:kern w:val="0"/>
          <w:sz w:val="44"/>
          <w:szCs w:val="44"/>
          <w:highlight w:val="none"/>
          <w:shd w:val="clear" w:color="auto" w:fill="auto"/>
          <w:lang w:val="en-US" w:eastAsia="zh-CN"/>
        </w:rPr>
        <w:t>协调小组</w:t>
      </w:r>
    </w:p>
    <w:p w14:paraId="7EFAD122">
      <w:pPr>
        <w:spacing w:line="560" w:lineRule="exact"/>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成员单位及其职责</w:t>
      </w:r>
    </w:p>
    <w:p w14:paraId="5BECF8BF">
      <w:pPr>
        <w:pStyle w:val="3"/>
        <w:spacing w:line="560" w:lineRule="exact"/>
        <w:ind w:firstLine="640"/>
        <w:rPr>
          <w:color w:val="auto"/>
          <w:highlight w:val="none"/>
        </w:rPr>
      </w:pPr>
    </w:p>
    <w:p w14:paraId="3766D63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成员单位：党政办公室、宣传文化部、社会工作部、经济发展局、</w:t>
      </w:r>
      <w:r>
        <w:rPr>
          <w:rFonts w:hint="eastAsia" w:ascii="仿宋_GB2312" w:hAnsi="仿宋_GB2312" w:eastAsia="仿宋_GB2312" w:cs="仿宋_GB2312"/>
          <w:color w:val="auto"/>
          <w:sz w:val="32"/>
          <w:szCs w:val="32"/>
          <w:highlight w:val="none"/>
          <w:shd w:val="clear" w:color="auto" w:fill="FFFFFF"/>
          <w:lang w:bidi="ar"/>
        </w:rPr>
        <w:t>人力资源和社会保障服务中心、</w:t>
      </w:r>
      <w:r>
        <w:rPr>
          <w:rFonts w:hint="eastAsia" w:ascii="仿宋_GB2312" w:hAnsi="仿宋_GB2312" w:eastAsia="仿宋_GB2312" w:cs="仿宋_GB2312"/>
          <w:color w:val="auto"/>
          <w:sz w:val="32"/>
          <w:szCs w:val="32"/>
          <w:highlight w:val="none"/>
        </w:rPr>
        <w:t>营商环境建设局、科技和产业促进局、信息技术产业局、生物技术和大健康产业局、机器人和智能制造产业局、高端汽车和新能源产业局、财政国资局、开发建设局、城市运行局、生态环境建设局、社会事业局、商务金融局、综合执法局、综合服务保障中心、亦庄海关、大兴公安分局、通州公安分局、交通大队、荣华街道、博兴街道、亦庄镇、旧宫镇、瀛海镇、长子营镇、采育镇、青云店镇、马驹桥镇、台湖镇。</w:t>
      </w:r>
    </w:p>
    <w:p w14:paraId="0D425469">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（1）党政办公室：协助工委、管委会领导组织开展与疫苗质量相关的突发事件应对工作，将疫苗应急</w:t>
      </w:r>
      <w:r>
        <w:rPr>
          <w:rFonts w:hint="eastAsia" w:ascii="仿宋_GB2312" w:hAnsi="仿宋_GB2312" w:eastAsia="仿宋_GB2312" w:cs="仿宋_GB2312"/>
          <w:color w:val="auto"/>
          <w:sz w:val="32"/>
          <w:szCs w:val="32"/>
          <w:highlight w:val="none"/>
          <w:shd w:val="clear" w:color="auto" w:fill="FFFFFF"/>
          <w:lang w:val="en-US" w:eastAsia="zh-CN"/>
        </w:rPr>
        <w:t>协调小组</w:t>
      </w:r>
      <w:r>
        <w:rPr>
          <w:rFonts w:hint="eastAsia" w:ascii="仿宋_GB2312" w:hAnsi="仿宋_GB2312" w:eastAsia="仿宋_GB2312" w:cs="仿宋_GB2312"/>
          <w:color w:val="auto"/>
          <w:sz w:val="32"/>
          <w:szCs w:val="32"/>
          <w:highlight w:val="none"/>
        </w:rPr>
        <w:t>办公室和相关部门上报的突发事件信息，及时向相关领导报告。负责疫苗质量安全事件信息上报市委市政府。</w:t>
      </w:r>
    </w:p>
    <w:p w14:paraId="3B1EFEA6">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（2）商务金融局：负责完成疫苗应急</w:t>
      </w:r>
      <w:r>
        <w:rPr>
          <w:rFonts w:hint="eastAsia" w:ascii="仿宋_GB2312" w:hAnsi="仿宋_GB2312" w:eastAsia="仿宋_GB2312" w:cs="仿宋_GB2312"/>
          <w:b w:val="0"/>
          <w:bCs w:val="0"/>
          <w:color w:val="auto"/>
          <w:sz w:val="32"/>
          <w:szCs w:val="32"/>
          <w:highlight w:val="none"/>
          <w:shd w:val="clear" w:color="auto" w:fill="FFFFFF"/>
          <w:lang w:val="en-US" w:eastAsia="zh-CN"/>
        </w:rPr>
        <w:t>协调小组</w:t>
      </w:r>
      <w:r>
        <w:rPr>
          <w:rFonts w:hint="eastAsia" w:ascii="仿宋_GB2312" w:hAnsi="仿宋_GB2312" w:eastAsia="仿宋_GB2312" w:cs="仿宋_GB2312"/>
          <w:color w:val="auto"/>
          <w:sz w:val="32"/>
          <w:szCs w:val="32"/>
          <w:highlight w:val="none"/>
        </w:rPr>
        <w:t>办公室相关职责工作；负责组织指导疫苗质量</w:t>
      </w:r>
      <w:r>
        <w:rPr>
          <w:rFonts w:hint="eastAsia" w:ascii="仿宋_GB2312" w:hAnsi="仿宋_GB2312" w:eastAsia="仿宋_GB2312" w:cs="仿宋_GB2312"/>
          <w:color w:val="auto"/>
          <w:sz w:val="32"/>
          <w:szCs w:val="32"/>
          <w:highlight w:val="none"/>
          <w:shd w:val="clear" w:color="auto" w:fill="auto"/>
        </w:rPr>
        <w:t>安全风险监测、事件调查等疫苗</w:t>
      </w:r>
      <w:r>
        <w:rPr>
          <w:rFonts w:hint="eastAsia" w:ascii="仿宋_GB2312" w:hAnsi="仿宋_GB2312" w:eastAsia="仿宋_GB2312" w:cs="仿宋_GB2312"/>
          <w:color w:val="auto"/>
          <w:sz w:val="32"/>
          <w:szCs w:val="32"/>
          <w:highlight w:val="none"/>
        </w:rPr>
        <w:t>质量安全事件应急处置工作；负责发生疫苗质量安全事件时组织协调重要生活必需品的供应工作；组织事件应急处置应急物资的保障供给。</w:t>
      </w:r>
    </w:p>
    <w:p w14:paraId="40169C3E">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（3）宣传文化部：会同处置事件的有关部门积极主动引导舆论回应社会关切，协调新闻媒体及时对事件信息和应急处置工作进行报道。会同</w:t>
      </w:r>
      <w:r>
        <w:rPr>
          <w:rFonts w:hint="eastAsia" w:ascii="仿宋_GB2312" w:hAnsi="仿宋_GB2312" w:eastAsia="仿宋_GB2312" w:cs="仿宋_GB2312"/>
          <w:color w:val="auto"/>
          <w:sz w:val="32"/>
          <w:szCs w:val="32"/>
          <w:highlight w:val="none"/>
          <w:lang w:val="en-US" w:eastAsia="zh-CN"/>
        </w:rPr>
        <w:t>商务金融局</w:t>
      </w:r>
      <w:r>
        <w:rPr>
          <w:rFonts w:hint="eastAsia" w:ascii="仿宋_GB2312" w:hAnsi="仿宋_GB2312" w:eastAsia="仿宋_GB2312" w:cs="仿宋_GB2312"/>
          <w:color w:val="auto"/>
          <w:sz w:val="32"/>
          <w:szCs w:val="32"/>
          <w:highlight w:val="none"/>
        </w:rPr>
        <w:t>等部门收集、整理</w:t>
      </w:r>
      <w:r>
        <w:rPr>
          <w:rFonts w:hint="eastAsia" w:ascii="仿宋_GB2312" w:hAnsi="仿宋_GB2312" w:eastAsia="仿宋_GB2312" w:cs="仿宋_GB2312"/>
          <w:color w:val="auto"/>
          <w:sz w:val="32"/>
          <w:szCs w:val="32"/>
          <w:highlight w:val="none"/>
          <w:lang w:eastAsia="zh-CN"/>
        </w:rPr>
        <w:t>疫苗</w:t>
      </w:r>
      <w:r>
        <w:rPr>
          <w:rFonts w:hint="eastAsia" w:ascii="仿宋_GB2312" w:hAnsi="仿宋_GB2312" w:eastAsia="仿宋_GB2312" w:cs="仿宋_GB2312"/>
          <w:color w:val="auto"/>
          <w:sz w:val="32"/>
          <w:szCs w:val="32"/>
          <w:highlight w:val="none"/>
        </w:rPr>
        <w:t>质量安全事件舆情信息，配合开展</w:t>
      </w:r>
      <w:r>
        <w:rPr>
          <w:rFonts w:hint="eastAsia" w:ascii="仿宋_GB2312" w:hAnsi="仿宋_GB2312" w:eastAsia="仿宋_GB2312" w:cs="仿宋_GB2312"/>
          <w:color w:val="auto"/>
          <w:sz w:val="32"/>
          <w:szCs w:val="32"/>
          <w:highlight w:val="none"/>
          <w:lang w:eastAsia="zh-CN"/>
        </w:rPr>
        <w:t>疫苗</w:t>
      </w:r>
      <w:r>
        <w:rPr>
          <w:rFonts w:hint="eastAsia" w:ascii="仿宋_GB2312" w:hAnsi="仿宋_GB2312" w:eastAsia="仿宋_GB2312" w:cs="仿宋_GB2312"/>
          <w:color w:val="auto"/>
          <w:sz w:val="32"/>
          <w:szCs w:val="32"/>
          <w:highlight w:val="none"/>
        </w:rPr>
        <w:t>质量安全事件舆论引导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网络舆情监测和</w:t>
      </w:r>
      <w:r>
        <w:rPr>
          <w:rFonts w:hint="eastAsia" w:ascii="仿宋_GB2312" w:hAnsi="仿宋_GB2312" w:eastAsia="仿宋_GB2312" w:cs="仿宋_GB2312"/>
          <w:color w:val="auto"/>
          <w:sz w:val="32"/>
          <w:szCs w:val="32"/>
          <w:highlight w:val="none"/>
        </w:rPr>
        <w:t>谣言辟除工作。</w:t>
      </w:r>
    </w:p>
    <w:p w14:paraId="1BD0A35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社会工作部：负责协助做好受疫苗质量安全事件影响导致基本生活陷入严重困难人群的救助工作；统筹律师等各类法律服务资源，配合管委会及有关部门，为疫苗质量安全事件当事人提供相关法律服务，维护合法权益。</w:t>
      </w:r>
    </w:p>
    <w:p w14:paraId="3C8CB9EF">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（5）财政国资局：负责疫苗质量安全事件应急相关经费保障，并对预算管理情况进行监督。</w:t>
      </w:r>
    </w:p>
    <w:p w14:paraId="6A42FA71">
      <w:pPr>
        <w:widowControl/>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（6）社会事业局：负责协助</w:t>
      </w:r>
      <w:r>
        <w:rPr>
          <w:rFonts w:hint="eastAsia" w:ascii="仿宋_GB2312" w:hAnsi="仿宋_GB2312" w:eastAsia="仿宋_GB2312" w:cs="仿宋_GB2312"/>
          <w:color w:val="auto"/>
          <w:sz w:val="32"/>
          <w:szCs w:val="32"/>
          <w:highlight w:val="none"/>
          <w:lang w:val="en-US" w:eastAsia="zh-CN"/>
        </w:rPr>
        <w:t>赋权管辖范围内</w:t>
      </w:r>
      <w:r>
        <w:rPr>
          <w:rFonts w:hint="eastAsia" w:ascii="仿宋_GB2312" w:hAnsi="仿宋_GB2312" w:eastAsia="仿宋_GB2312" w:cs="仿宋_GB2312"/>
          <w:color w:val="auto"/>
          <w:sz w:val="32"/>
          <w:szCs w:val="32"/>
          <w:highlight w:val="none"/>
        </w:rPr>
        <w:t>有关监管部门对教育、体育、卫生等行业主管部门所管辖的学校、幼儿园、托管托育机构、体育场所、医院等发生的疫苗质量安全事件进行调查处理及相关救援工作；</w:t>
      </w:r>
      <w:r>
        <w:rPr>
          <w:rFonts w:ascii="仿宋_GB2312" w:hAnsi="宋体" w:eastAsia="仿宋_GB2312" w:cs="仿宋_GB2312"/>
          <w:color w:val="auto"/>
          <w:kern w:val="0"/>
          <w:sz w:val="32"/>
          <w:szCs w:val="32"/>
          <w:highlight w:val="none"/>
          <w:lang w:val="en-US" w:eastAsia="zh-CN" w:bidi="ar"/>
        </w:rPr>
        <w:t>协助专业部门做好对各镇（街道、功能区）教育</w:t>
      </w:r>
      <w:r>
        <w:rPr>
          <w:rFonts w:hint="eastAsia" w:ascii="仿宋_GB2312" w:hAnsi="宋体" w:eastAsia="仿宋_GB2312" w:cs="仿宋_GB2312"/>
          <w:color w:val="auto"/>
          <w:kern w:val="0"/>
          <w:sz w:val="32"/>
          <w:szCs w:val="32"/>
          <w:highlight w:val="none"/>
          <w:lang w:val="en-US" w:eastAsia="zh-CN" w:bidi="ar"/>
        </w:rPr>
        <w:t>行政部门和各级各类学校相关人员的知识培训；</w:t>
      </w:r>
      <w:r>
        <w:rPr>
          <w:rFonts w:hint="eastAsia" w:ascii="仿宋_GB2312" w:hAnsi="仿宋_GB2312" w:eastAsia="仿宋_GB2312" w:cs="仿宋_GB2312"/>
          <w:color w:val="auto"/>
          <w:kern w:val="0"/>
          <w:sz w:val="32"/>
          <w:szCs w:val="32"/>
          <w:highlight w:val="none"/>
          <w:shd w:val="clear" w:color="auto" w:fill="FFFFFF"/>
        </w:rPr>
        <w:t>负责组织实施疫苗质量安全事件的医疗救治工作</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shd w:val="clear" w:color="auto" w:fill="FFFFFF"/>
        </w:rPr>
        <w:t>配合有关部门对事件进行调查评估</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shd w:val="clear" w:color="auto" w:fill="FFFFFF"/>
        </w:rPr>
        <w:t>对事件受害或疑似的病例进行确认，对医疗卫生机构中的疫苗质量安全事件采取控制措施</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shd w:val="clear" w:color="auto" w:fill="FFFFFF"/>
        </w:rPr>
        <w:t>组织、指导、监督医疗卫生机构开展</w:t>
      </w:r>
      <w:r>
        <w:rPr>
          <w:rFonts w:hint="eastAsia" w:ascii="仿宋_GB2312" w:hAnsi="仿宋_GB2312" w:eastAsia="仿宋_GB2312" w:cs="仿宋_GB2312"/>
          <w:color w:val="auto"/>
          <w:sz w:val="32"/>
          <w:szCs w:val="32"/>
          <w:highlight w:val="none"/>
          <w:shd w:val="clear" w:color="auto" w:fill="FFFFFF"/>
        </w:rPr>
        <w:t>疫苗不良反应（事件）监测、报告分析、评价和管理；</w:t>
      </w:r>
    </w:p>
    <w:p w14:paraId="3B34DAE5">
      <w:pPr>
        <w:spacing w:line="56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（7）综合执法局：负责协助做好疫苗质量安全事件的预防控制和调查处理等工作，依法查处违法违规行为。</w:t>
      </w:r>
      <w:r>
        <w:rPr>
          <w:rFonts w:hint="eastAsia" w:ascii="仿宋_GB2312" w:hAnsi="仿宋_GB2312" w:eastAsia="仿宋_GB2312" w:cs="仿宋_GB2312"/>
          <w:color w:val="auto"/>
          <w:sz w:val="32"/>
          <w:szCs w:val="32"/>
          <w:highlight w:val="none"/>
          <w:shd w:val="clear" w:color="auto" w:fill="FFFFFF"/>
        </w:rPr>
        <w:t>对疫苗质量安全事件中违法行为，依据相关职责和法律规定进行调查处理和采取必要的行政强制措施；</w:t>
      </w:r>
      <w:r>
        <w:rPr>
          <w:rFonts w:hint="eastAsia" w:ascii="仿宋_GB2312" w:hAnsi="仿宋_GB2312" w:eastAsia="仿宋_GB2312" w:cs="仿宋_GB2312"/>
          <w:color w:val="auto"/>
          <w:sz w:val="32"/>
          <w:szCs w:val="32"/>
          <w:highlight w:val="none"/>
        </w:rPr>
        <w:t>配合有关部门依法追究责任单位和责任人的行政责任，对涉及刑事犯罪的依法移送公安机关追究刑事责任；</w:t>
      </w:r>
    </w:p>
    <w:p w14:paraId="79A8541A">
      <w:pPr>
        <w:widowControl/>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bidi="ar"/>
        </w:rPr>
        <w:t>（8）人力资源和社会保障服务中心：按照国家政策负责医保支付工作。</w:t>
      </w:r>
    </w:p>
    <w:p w14:paraId="71CA5916">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（9）大兴、通州公安分局：负责疫苗质量安全事件中现场秩序的维护，做好交通管制工作，对属于公安机关管辖范围的涉嫌违法犯罪案件进行调查、侦查、检验鉴定和处理等工作。</w:t>
      </w:r>
    </w:p>
    <w:p w14:paraId="20D55F59">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（10）开发区交通大队：负责协调提供医疗救治物资和人员的应急运力，及维护事故现场秩序维护和交通疏导工作。</w:t>
      </w:r>
    </w:p>
    <w:p w14:paraId="75C10AA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（11）营商环境建设局：根据商务金融局、社会事业局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宣传文化部</w:t>
      </w:r>
      <w:r>
        <w:rPr>
          <w:rFonts w:hint="eastAsia" w:ascii="仿宋_GB2312" w:hAnsi="仿宋_GB2312" w:eastAsia="仿宋_GB2312" w:cs="仿宋_GB2312"/>
          <w:color w:val="auto"/>
          <w:sz w:val="32"/>
          <w:szCs w:val="32"/>
          <w:highlight w:val="none"/>
        </w:rPr>
        <w:t>等相关部门出具书面认定意见，配合依法查处疫苗质量安全事件中涉及的违</w:t>
      </w:r>
      <w:r>
        <w:rPr>
          <w:rFonts w:hint="eastAsia" w:ascii="Calibri" w:hAnsi="Calibri" w:eastAsia="仿宋_GB2312" w:cs="Calibri"/>
          <w:color w:val="auto"/>
          <w:sz w:val="32"/>
          <w:szCs w:val="32"/>
          <w:highlight w:val="none"/>
        </w:rPr>
        <w:t>法</w:t>
      </w:r>
      <w:r>
        <w:rPr>
          <w:rFonts w:hint="eastAsia" w:ascii="仿宋_GB2312" w:hAnsi="仿宋_GB2312" w:eastAsia="仿宋_GB2312" w:cs="仿宋_GB2312"/>
          <w:color w:val="auto"/>
          <w:sz w:val="32"/>
          <w:szCs w:val="32"/>
          <w:highlight w:val="none"/>
        </w:rPr>
        <w:t>违规互联网站和应用；负责组织协同企业做好应急通信系统保障工作，保障通信指挥畅通。</w:t>
      </w:r>
    </w:p>
    <w:p w14:paraId="76481BCD">
      <w:pPr>
        <w:shd w:val="clear" w:color="auto" w:fill="FFFFFF"/>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城市运行局：会同党政办公室做好疫苗质量安全事件的信息上报工作，协助处置疫苗质量安全事件。负责协助做好疫苗质量安全事件中受灾群众的救助，并会同商务金融局等部门及时组织救灾物资和生活必需品的调拨和发放，保障群众基本生活。</w:t>
      </w:r>
    </w:p>
    <w:p w14:paraId="12AB6BC8">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（13）经济发展局：负责综合协调亦庄新城165平方公里范围内相关职能部门及公共服务机构落实疫苗质量安全事件的预防和控制、应急物资储备有关工作。</w:t>
      </w:r>
    </w:p>
    <w:p w14:paraId="5E24D756">
      <w:pPr>
        <w:spacing w:line="560" w:lineRule="exact"/>
        <w:ind w:firstLine="640" w:firstLineChars="200"/>
        <w:rPr>
          <w:rFonts w:hint="eastAsia"/>
          <w:color w:val="auto"/>
          <w:sz w:val="32"/>
          <w:szCs w:val="32"/>
          <w:highlight w:val="none"/>
        </w:rPr>
      </w:pPr>
      <w:r>
        <w:rPr>
          <w:rFonts w:hint="eastAsia" w:ascii="仿宋_GB2312" w:hAnsi="仿宋_GB2312" w:eastAsia="仿宋_GB2312" w:cs="仿宋_GB2312"/>
          <w:color w:val="auto"/>
          <w:sz w:val="32"/>
          <w:szCs w:val="32"/>
          <w:highlight w:val="none"/>
        </w:rPr>
        <w:t>（14）亦庄海关：依法向有关部门反馈疫苗质量安全事件相关货物在口岸的进出口通关情况；对有问题的进口疫苗，应停止进口通关。</w:t>
      </w:r>
    </w:p>
    <w:p w14:paraId="5BAB53E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科技和产业促进局、信息技术产业局、生态环境建设局、生物技术和大健康产业局、机器人和智能制造产业局、高端汽车和新能源产业局：负责协助有关监管部门对分管企业发生的疫苗质量安全事件进行调查处理及相关救援工作。</w:t>
      </w:r>
    </w:p>
    <w:p w14:paraId="6D9E0FF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（16）开发建设局：负责协助有关监管部门对房屋建筑和市政基础设施工程施工现场发生的疫苗质量安全事件进行调查处理及相关应急救援工作。</w:t>
      </w:r>
    </w:p>
    <w:p w14:paraId="04D6593A">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（17）综合服务保障中心：负责协助提供疫苗质量安全事件应急处置所需车辆，做好相关后勤保障。负责疫苗质量安全事件政府采购项目对接、跟踪服务工作。</w:t>
      </w:r>
    </w:p>
    <w:p w14:paraId="093C6C6D">
      <w:pPr>
        <w:keepNext w:val="0"/>
        <w:keepLines w:val="0"/>
        <w:pageBreakBefore w:val="0"/>
        <w:widowControl w:val="0"/>
        <w:kinsoku/>
        <w:wordWrap/>
        <w:overflowPunct/>
        <w:topLinePunct w:val="0"/>
        <w:autoSpaceDE/>
        <w:autoSpaceDN/>
        <w:bidi w:val="0"/>
        <w:adjustRightInd/>
        <w:snapToGrid/>
        <w:ind w:firstLine="640" w:firstLineChars="200"/>
        <w:textAlignment w:val="auto"/>
      </w:pPr>
      <w:bookmarkStart w:id="7" w:name="_GoBack"/>
      <w:r>
        <w:rPr>
          <w:rFonts w:hint="eastAsia" w:ascii="仿宋_GB2312" w:hAnsi="仿宋_GB2312" w:eastAsia="仿宋_GB2312" w:cs="仿宋_GB2312"/>
          <w:color w:val="auto"/>
          <w:sz w:val="32"/>
          <w:szCs w:val="32"/>
          <w:highlight w:val="none"/>
        </w:rPr>
        <w:t>（18）荣华街道、博兴街道办事处，亦庄镇、旧宫镇、瀛海镇、长子营镇、采育镇、青云店镇、马驹桥镇、台湖镇：</w:t>
      </w:r>
      <w:r>
        <w:rPr>
          <w:rFonts w:hint="eastAsia" w:ascii="仿宋_GB2312" w:hAnsi="仿宋_GB2312" w:eastAsia="仿宋_GB2312" w:cs="仿宋_GB2312"/>
          <w:color w:val="auto"/>
          <w:sz w:val="32"/>
          <w:szCs w:val="32"/>
          <w:highlight w:val="none"/>
          <w:shd w:val="clear" w:color="auto" w:fill="FFFFFF"/>
        </w:rPr>
        <w:t>组织本行政区域内疫苗质量安全事件的指挥协调、应急准备、监测与预警、应急处置及善后等应急工作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rPr>
        <w:t>组织制定本级疫苗质量安全事件应急预案，建立专业处置队伍；组织培训和应急演练；</w:t>
      </w:r>
      <w:r>
        <w:rPr>
          <w:rFonts w:hint="eastAsia" w:ascii="仿宋_GB2312" w:hAnsi="仿宋_GB2312" w:eastAsia="仿宋_GB2312" w:cs="仿宋_GB2312"/>
          <w:color w:val="auto"/>
          <w:sz w:val="32"/>
          <w:szCs w:val="32"/>
          <w:highlight w:val="none"/>
        </w:rPr>
        <w:t>负责对困难群众提供基本生活保障等</w:t>
      </w:r>
      <w:r>
        <w:rPr>
          <w:rFonts w:hint="eastAsia" w:ascii="仿宋_GB2312" w:hAnsi="仿宋_GB2312" w:eastAsia="仿宋_GB2312" w:cs="仿宋_GB2312"/>
          <w:color w:val="auto"/>
          <w:sz w:val="32"/>
          <w:szCs w:val="32"/>
          <w:highlight w:val="none"/>
          <w:lang w:eastAsia="zh-CN"/>
        </w:rPr>
        <w:t>。</w:t>
      </w:r>
    </w:p>
    <w:bookmarkEnd w:i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65E13"/>
    <w:rsid w:val="71C02878"/>
    <w:rsid w:val="72D6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2014</Words>
  <Characters>2025</Characters>
  <Lines>0</Lines>
  <Paragraphs>0</Paragraphs>
  <TotalTime>0</TotalTime>
  <ScaleCrop>false</ScaleCrop>
  <LinksUpToDate>false</LinksUpToDate>
  <CharactersWithSpaces>2025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2025-12-22T03:57:00Z</dcterms:created>
  <dc:creator>刘冠斌</dc:creator>
  <cp:lastModifiedBy>刘冠斌</cp:lastModifiedBy>
  <dcterms:modified xsi:type="dcterms:W3CDTF">2025-12-22T03:59:56Z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F275EA023EF44FF0B753C5AC05D17867_11</vt:lpwstr>
  </property>
  <property fmtid="{D5CDD505-2E9C-101B-9397-08002B2CF9AE}" pid="4" name="KSOTemplateDocerSaveRecord">
    <vt:lpwstr>eyJoZGlkIjoiNzdjMzE4MGRjYzlmYzc1ZDA5NmEyZjM0NWU3ZTRmNTUiLCJ1c2VySWQiOiIxNjU3NjU2MDY1In0=</vt:lpwstr>
  </property>
</Properties>
</file>