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A3730">
      <w:pPr>
        <w:pStyle w:val="2"/>
        <w:keepNext w:val="0"/>
        <w:keepLines w:val="0"/>
        <w:pageBreakBefore w:val="0"/>
        <w:kinsoku/>
        <w:wordWrap/>
        <w:overflowPunct/>
        <w:topLinePunct w:val="0"/>
        <w:autoSpaceDE/>
        <w:autoSpaceDN/>
        <w:bidi w:val="0"/>
        <w:adjustRightInd/>
        <w:snapToGrid/>
        <w:spacing w:before="0" w:after="0" w:line="560" w:lineRule="exact"/>
        <w:jc w:val="left"/>
        <w:textAlignment w:val="auto"/>
        <w:rPr>
          <w:rFonts w:hint="eastAsia" w:ascii="黑体" w:hAnsi="黑体" w:eastAsia="黑体" w:cs="黑体"/>
          <w:b w:val="0"/>
          <w:bCs w:val="0"/>
          <w:color w:val="auto"/>
          <w:highlight w:val="none"/>
        </w:rPr>
      </w:pPr>
      <w:bookmarkStart w:id="0" w:name="_Toc27270"/>
      <w:bookmarkStart w:id="1" w:name="_Toc184844568"/>
      <w:r>
        <w:rPr>
          <w:rFonts w:hint="eastAsia" w:ascii="黑体" w:hAnsi="黑体" w:eastAsia="黑体" w:cs="黑体"/>
          <w:b w:val="0"/>
          <w:bCs w:val="0"/>
          <w:color w:val="auto"/>
          <w:highlight w:val="none"/>
        </w:rPr>
        <w:t>附件2</w:t>
      </w:r>
      <w:bookmarkEnd w:id="0"/>
    </w:p>
    <w:p w14:paraId="5854CCAB">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区药品安全事件应急</w:t>
      </w:r>
      <w:r>
        <w:rPr>
          <w:rFonts w:hint="eastAsia" w:ascii="方正小标宋简体" w:hAnsi="方正小标宋简体" w:eastAsia="方正小标宋简体" w:cs="方正小标宋简体"/>
          <w:color w:val="auto"/>
          <w:kern w:val="0"/>
          <w:sz w:val="44"/>
          <w:szCs w:val="44"/>
          <w:highlight w:val="none"/>
          <w:lang w:eastAsia="zh-CN"/>
        </w:rPr>
        <w:t>工作</w:t>
      </w:r>
      <w:r>
        <w:rPr>
          <w:rFonts w:hint="eastAsia" w:ascii="方正小标宋简体" w:hAnsi="方正小标宋简体" w:eastAsia="方正小标宋简体" w:cs="方正小标宋简体"/>
          <w:b w:val="0"/>
          <w:bCs w:val="0"/>
          <w:color w:val="auto"/>
          <w:kern w:val="0"/>
          <w:sz w:val="44"/>
          <w:szCs w:val="44"/>
          <w:highlight w:val="none"/>
          <w:lang w:val="en-US" w:eastAsia="zh-CN"/>
        </w:rPr>
        <w:t>协调小组</w:t>
      </w:r>
    </w:p>
    <w:p w14:paraId="5973F429">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成</w:t>
      </w:r>
      <w:bookmarkStart w:id="2" w:name="_GoBack"/>
      <w:bookmarkEnd w:id="2"/>
      <w:r>
        <w:rPr>
          <w:rFonts w:hint="eastAsia" w:ascii="方正小标宋简体" w:hAnsi="方正小标宋简体" w:eastAsia="方正小标宋简体" w:cs="方正小标宋简体"/>
          <w:color w:val="auto"/>
          <w:kern w:val="0"/>
          <w:sz w:val="44"/>
          <w:szCs w:val="44"/>
          <w:highlight w:val="none"/>
        </w:rPr>
        <w:t>员单位及其职责</w:t>
      </w:r>
    </w:p>
    <w:p w14:paraId="2B7833D3">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kern w:val="0"/>
          <w:sz w:val="32"/>
          <w:szCs w:val="32"/>
          <w:highlight w:val="none"/>
        </w:rPr>
      </w:pPr>
    </w:p>
    <w:p w14:paraId="2B5E02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员单位：党政办公室、宣传文化部、社会工作部、经济发展局、营商环境建设局、科技和产业促进局、信息技术产业局、生物技术和大健康产业局、机器人和智能制造产业局、高端汽车和新能源产业局、财政国资局、开发建设局、城市运行局、生态环境建设局、社会事业局、商务金融局、综合执法局、综合服务保障中心、</w:t>
      </w:r>
      <w:r>
        <w:rPr>
          <w:rFonts w:hint="eastAsia" w:ascii="仿宋_GB2312" w:hAnsi="仿宋_GB2312" w:eastAsia="仿宋_GB2312" w:cs="仿宋_GB2312"/>
          <w:color w:val="auto"/>
          <w:sz w:val="32"/>
          <w:szCs w:val="32"/>
          <w:highlight w:val="none"/>
          <w:shd w:val="clear" w:color="auto" w:fill="FFFFFF"/>
          <w:lang w:bidi="ar"/>
        </w:rPr>
        <w:t>人力资源和社会保障服务中心、</w:t>
      </w:r>
      <w:r>
        <w:rPr>
          <w:rFonts w:hint="eastAsia" w:ascii="仿宋_GB2312" w:hAnsi="仿宋_GB2312" w:eastAsia="仿宋_GB2312" w:cs="仿宋_GB2312"/>
          <w:color w:val="auto"/>
          <w:sz w:val="32"/>
          <w:szCs w:val="32"/>
          <w:highlight w:val="none"/>
        </w:rPr>
        <w:t>亦庄海关、大兴公安分局、通州公安分局、交通大队、荣华街道、博兴街道、亦庄镇、旧宫镇、瀛海镇、长子营镇、采育镇、青云店镇、马驹桥镇、台湖镇。</w:t>
      </w:r>
    </w:p>
    <w:p w14:paraId="106EC8C4">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党政办公室：协助工委、管委会领导组织开展与药品质量相关的突发事件应对工作，将药品应急</w:t>
      </w:r>
      <w:r>
        <w:rPr>
          <w:rFonts w:hint="eastAsia" w:ascii="仿宋_GB2312" w:hAnsi="仿宋_GB2312" w:eastAsia="仿宋_GB2312" w:cs="仿宋_GB2312"/>
          <w:b w:val="0"/>
          <w:bCs w:val="0"/>
          <w:color w:val="auto"/>
          <w:sz w:val="32"/>
          <w:szCs w:val="32"/>
          <w:highlight w:val="none"/>
          <w:lang w:val="en-US" w:eastAsia="zh-CN"/>
        </w:rPr>
        <w:t>协调小组</w:t>
      </w:r>
      <w:r>
        <w:rPr>
          <w:rFonts w:hint="eastAsia" w:ascii="仿宋_GB2312" w:hAnsi="仿宋_GB2312" w:eastAsia="仿宋_GB2312" w:cs="仿宋_GB2312"/>
          <w:color w:val="auto"/>
          <w:sz w:val="32"/>
          <w:szCs w:val="32"/>
          <w:highlight w:val="none"/>
        </w:rPr>
        <w:t>办公室和相关部门上报的突发事件信息，及时向相关领导报告。负责药品安全事件信息上报市委市政府。</w:t>
      </w:r>
    </w:p>
    <w:p w14:paraId="1E04DB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（2）商务金融局：负责完成区药品安全应急</w:t>
      </w:r>
      <w:r>
        <w:rPr>
          <w:rFonts w:hint="eastAsia" w:ascii="仿宋_GB2312" w:hAnsi="仿宋_GB2312" w:eastAsia="仿宋_GB2312" w:cs="仿宋_GB2312"/>
          <w:b w:val="0"/>
          <w:bCs w:val="0"/>
          <w:color w:val="auto"/>
          <w:sz w:val="32"/>
          <w:szCs w:val="32"/>
          <w:highlight w:val="none"/>
          <w:lang w:val="en-US" w:eastAsia="zh-CN"/>
        </w:rPr>
        <w:t>协调小组</w:t>
      </w:r>
      <w:r>
        <w:rPr>
          <w:rFonts w:hint="eastAsia" w:ascii="仿宋_GB2312" w:hAnsi="仿宋_GB2312" w:eastAsia="仿宋_GB2312" w:cs="仿宋_GB2312"/>
          <w:color w:val="auto"/>
          <w:sz w:val="32"/>
          <w:szCs w:val="32"/>
          <w:highlight w:val="none"/>
        </w:rPr>
        <w:t>办公室相关职责工作；负责组织指导药品</w:t>
      </w:r>
      <w:r>
        <w:rPr>
          <w:rFonts w:hint="eastAsia" w:ascii="仿宋_GB2312" w:hAnsi="仿宋_GB2312" w:eastAsia="仿宋_GB2312" w:cs="仿宋_GB2312"/>
          <w:color w:val="auto"/>
          <w:sz w:val="32"/>
          <w:szCs w:val="32"/>
          <w:highlight w:val="none"/>
          <w:shd w:val="clear" w:color="auto" w:fill="FFFFFF"/>
        </w:rPr>
        <w:t>安全风险监测、事件调查等药品</w:t>
      </w:r>
      <w:r>
        <w:rPr>
          <w:rFonts w:hint="eastAsia" w:ascii="仿宋_GB2312" w:hAnsi="仿宋_GB2312" w:eastAsia="仿宋_GB2312" w:cs="仿宋_GB2312"/>
          <w:color w:val="auto"/>
          <w:sz w:val="32"/>
          <w:szCs w:val="32"/>
          <w:highlight w:val="none"/>
        </w:rPr>
        <w:t>安全事件应急处置工作；负责发生药品安全事件时组织协调重要生活必需品的供应工作；组织事件应急处置物资的保障供给。</w:t>
      </w:r>
    </w:p>
    <w:p w14:paraId="2966298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（3）宣传文化部：会同处置事件的有关部门积极主动引导舆论回应社会关切，协调新闻媒体及时对事件信息和应急处置工作进行报道。会同</w:t>
      </w:r>
      <w:r>
        <w:rPr>
          <w:rFonts w:hint="eastAsia" w:ascii="仿宋_GB2312" w:hAnsi="仿宋_GB2312" w:eastAsia="仿宋_GB2312" w:cs="仿宋_GB2312"/>
          <w:color w:val="auto"/>
          <w:sz w:val="32"/>
          <w:szCs w:val="32"/>
          <w:highlight w:val="none"/>
          <w:lang w:val="en-US" w:eastAsia="zh-CN"/>
        </w:rPr>
        <w:t>商务金融局</w:t>
      </w:r>
      <w:r>
        <w:rPr>
          <w:rFonts w:hint="eastAsia" w:ascii="仿宋_GB2312" w:hAnsi="仿宋_GB2312" w:eastAsia="仿宋_GB2312" w:cs="仿宋_GB2312"/>
          <w:color w:val="auto"/>
          <w:sz w:val="32"/>
          <w:szCs w:val="32"/>
          <w:highlight w:val="none"/>
        </w:rPr>
        <w:t>等部门收集、整理药品质量安全事件舆情信息，配合开展药品质量安全事件舆论引导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舆情监测</w:t>
      </w:r>
      <w:r>
        <w:rPr>
          <w:rFonts w:hint="eastAsia" w:ascii="仿宋_GB2312" w:hAnsi="仿宋_GB2312" w:eastAsia="仿宋_GB2312" w:cs="仿宋_GB2312"/>
          <w:color w:val="auto"/>
          <w:sz w:val="32"/>
          <w:szCs w:val="32"/>
          <w:highlight w:val="none"/>
        </w:rPr>
        <w:t>和谣言辟除工作。</w:t>
      </w:r>
    </w:p>
    <w:p w14:paraId="389B89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社会工作部：负责协助做好受药品安全事件影响导致基本生活陷入严重困难人群的救助工作；统筹律师等各类法律服务资源，配合管委会及有关部门，为药品安全事件当事人提供相关法律服务，维护合法权益。</w:t>
      </w:r>
    </w:p>
    <w:p w14:paraId="4D1849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（5）财政国资局：负责药品安全事件应急相关经费保障，并对预算管理情况进行监督。</w:t>
      </w:r>
    </w:p>
    <w:p w14:paraId="394418C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（6）社会事业局：负责协助</w:t>
      </w:r>
      <w:r>
        <w:rPr>
          <w:rFonts w:hint="eastAsia" w:ascii="仿宋_GB2312" w:hAnsi="仿宋_GB2312" w:eastAsia="仿宋_GB2312" w:cs="仿宋_GB2312"/>
          <w:color w:val="000000"/>
          <w:sz w:val="32"/>
          <w:szCs w:val="32"/>
          <w:highlight w:val="none"/>
          <w:lang w:val="en-US" w:eastAsia="zh-CN"/>
        </w:rPr>
        <w:t>赋权管辖范围内</w:t>
      </w:r>
      <w:r>
        <w:rPr>
          <w:rFonts w:hint="eastAsia" w:ascii="仿宋_GB2312" w:hAnsi="仿宋_GB2312" w:eastAsia="仿宋_GB2312" w:cs="仿宋_GB2312"/>
          <w:color w:val="auto"/>
          <w:sz w:val="32"/>
          <w:szCs w:val="32"/>
          <w:highlight w:val="none"/>
        </w:rPr>
        <w:t>有关监管部门对教育、体育、卫生等行业主管部门所管辖的学校、幼儿园、托管托育机构、体育场所、医院等发生的药品安全事件进行调查处理及相关救援工作；督促、指导学校、幼儿园、托管托育机构、体育场所、医院落实药品安全主体责任；</w:t>
      </w:r>
      <w:r>
        <w:rPr>
          <w:rFonts w:hint="eastAsia" w:ascii="仿宋_GB2312" w:hAnsi="仿宋_GB2312" w:eastAsia="仿宋_GB2312" w:cs="仿宋_GB2312"/>
          <w:color w:val="auto"/>
          <w:kern w:val="0"/>
          <w:sz w:val="32"/>
          <w:szCs w:val="32"/>
          <w:highlight w:val="none"/>
          <w:shd w:val="clear" w:color="auto" w:fill="FFFFFF"/>
        </w:rPr>
        <w:t>负责组织实施药品安全事件</w:t>
      </w:r>
      <w:r>
        <w:rPr>
          <w:rFonts w:hint="eastAsia" w:ascii="仿宋_GB2312" w:hAnsi="仿宋_GB2312" w:eastAsia="仿宋_GB2312" w:cs="仿宋_GB2312"/>
          <w:color w:val="auto"/>
          <w:kern w:val="2"/>
          <w:sz w:val="32"/>
          <w:szCs w:val="32"/>
          <w:highlight w:val="none"/>
          <w:shd w:val="clear" w:color="auto" w:fill="auto"/>
        </w:rPr>
        <w:t>的医疗救治工作</w:t>
      </w:r>
      <w:r>
        <w:rPr>
          <w:rFonts w:hint="eastAsia" w:ascii="仿宋_GB2312" w:hAnsi="仿宋_GB2312" w:eastAsia="仿宋_GB2312" w:cs="仿宋_GB2312"/>
          <w:color w:val="auto"/>
          <w:kern w:val="2"/>
          <w:sz w:val="32"/>
          <w:szCs w:val="32"/>
          <w:highlight w:val="none"/>
          <w:shd w:val="clear" w:color="auto" w:fill="auto"/>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auto"/>
        </w:rPr>
        <w:t>配合有关部门对事件进行调查评估，对事件受害或疑似的病例进行确认，对医疗卫生机构中的药品安全事件采取控制措施，组织、指导、监督医疗卫生机构开展药品不良反应监测、报告。</w:t>
      </w:r>
    </w:p>
    <w:p w14:paraId="7776B8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（7）综合执法局：负责协助做好药品安全事件的预防控制和调查处理等工作，依法查处违法违规行为；</w:t>
      </w:r>
      <w:r>
        <w:rPr>
          <w:rFonts w:hint="eastAsia" w:ascii="仿宋_GB2312" w:hAnsi="仿宋_GB2312" w:eastAsia="仿宋_GB2312" w:cs="仿宋_GB2312"/>
          <w:color w:val="auto"/>
          <w:sz w:val="32"/>
          <w:szCs w:val="32"/>
          <w:highlight w:val="none"/>
          <w:shd w:val="clear" w:color="auto" w:fill="FFFFFF"/>
        </w:rPr>
        <w:t>对药品安全事件中违法行为，依据相关职责和法律规定进行调查处理和采取必要的行政强制措施；</w:t>
      </w:r>
      <w:r>
        <w:rPr>
          <w:rFonts w:hint="eastAsia" w:ascii="仿宋_GB2312" w:hAnsi="仿宋_GB2312" w:eastAsia="仿宋_GB2312" w:cs="仿宋_GB2312"/>
          <w:color w:val="auto"/>
          <w:sz w:val="32"/>
          <w:szCs w:val="32"/>
          <w:highlight w:val="none"/>
        </w:rPr>
        <w:t>配合有关部门依法追究责任单位和责任人的行政责任，对涉及刑事犯罪的依法移送公安机关追究刑事责任。</w:t>
      </w:r>
    </w:p>
    <w:p w14:paraId="0CCE161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lang w:bidi="ar"/>
        </w:rPr>
        <w:t>（8）人力资源和社会保障服务中心：按照国家政策负责医保支付工作。</w:t>
      </w:r>
    </w:p>
    <w:p w14:paraId="19CA90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大兴、通州公安分局：负责经开区范围内药品安全事件中现场秩序的维护，做好交通管制工作，配合相关部门开展药品安全事件调查处理工作，协助对麻醉、精神药品群体性滥用事件调查、核实、处理；协调处置药品安全犯罪案件行侦办工作。</w:t>
      </w:r>
    </w:p>
    <w:p w14:paraId="6A5899C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（10）开发区交通大队：负责协调提供医疗救治物资和人员的应急运力，及维护事故现场秩序维护和交通疏导工作。</w:t>
      </w:r>
    </w:p>
    <w:p w14:paraId="4347BDE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（11）营商环境建设局：根据商务金融局、社会事业局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宣传文化部</w:t>
      </w:r>
      <w:r>
        <w:rPr>
          <w:rFonts w:hint="eastAsia" w:ascii="仿宋_GB2312" w:hAnsi="仿宋_GB2312" w:eastAsia="仿宋_GB2312" w:cs="仿宋_GB2312"/>
          <w:color w:val="auto"/>
          <w:sz w:val="32"/>
          <w:szCs w:val="32"/>
          <w:highlight w:val="none"/>
        </w:rPr>
        <w:t>等相关部门出具书面认定意见，配合依法查处药品安全事件中涉及的违规互联网站和应用；负责组织协同企业做好应急通信系统保障工作，保障通信指挥畅通。</w:t>
      </w:r>
    </w:p>
    <w:p w14:paraId="17AC72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w w:val="99"/>
          <w:sz w:val="32"/>
          <w:szCs w:val="32"/>
          <w:highlight w:val="none"/>
        </w:rPr>
      </w:pPr>
      <w:r>
        <w:rPr>
          <w:rFonts w:hint="eastAsia" w:ascii="仿宋_GB2312" w:hAnsi="仿宋_GB2312" w:eastAsia="仿宋_GB2312" w:cs="仿宋_GB2312"/>
          <w:color w:val="auto"/>
          <w:sz w:val="32"/>
          <w:szCs w:val="32"/>
          <w:highlight w:val="none"/>
        </w:rPr>
        <w:t>（12）</w:t>
      </w:r>
      <w:r>
        <w:rPr>
          <w:rFonts w:hint="eastAsia" w:ascii="仿宋_GB2312" w:hAnsi="仿宋_GB2312" w:eastAsia="仿宋_GB2312" w:cs="仿宋_GB2312"/>
          <w:color w:val="auto"/>
          <w:w w:val="99"/>
          <w:sz w:val="32"/>
          <w:szCs w:val="32"/>
          <w:highlight w:val="none"/>
        </w:rPr>
        <w:t>城市运行局：会同党政办公室做好药品安全事件的信息上报工作，协助处置药品安全事件。负责协助做好药品安全事件中受灾群众的救助，并会同商务金融局等部门及时组织救灾物资和生活必需品的调拨和发放，保障群众基本生活。</w:t>
      </w:r>
    </w:p>
    <w:p w14:paraId="5C70CA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（13）经济发展局：负责综合协调亦庄新城165平方公里范围内相关职能部门及公共服务机构落实药品安全事件的预防和控制、应急物资储备有关工作。</w:t>
      </w:r>
    </w:p>
    <w:p w14:paraId="24CBD5E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（14）亦庄海关：依法向有关部门反馈药品安全事件相关货物在口岸的进出口通关情况；对有问题的进口药品，应停止进口通关。</w:t>
      </w:r>
    </w:p>
    <w:p w14:paraId="4C36F65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15）科技和产业促进局、信息技术产业局、生态环境建设局、生物技术和大健康产业局、机器人和智能制造产业局、高端汽车和新能源产业局：负责协助有关监管部门对分管企业发生的药品安全事件进行调查处理及相关救援工作。</w:t>
      </w:r>
    </w:p>
    <w:p w14:paraId="282C37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（16）开发建设局：负责协助有关监管部门对房屋建筑和市政基础设施工程施工现场发生的药品安全事件进行调查处理及相关应急救援工作。</w:t>
      </w:r>
    </w:p>
    <w:p w14:paraId="6ED6E32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（17）综合服务保障中心：负责协助提供药品安全事件应急处置所需车辆，做好相关后勤保障。负责药品安全事件政府采购项目对接、跟踪服务工作。</w:t>
      </w:r>
    </w:p>
    <w:p w14:paraId="6F6E455E">
      <w:pPr>
        <w:keepNext w:val="0"/>
        <w:keepLines w:val="0"/>
        <w:pageBreakBefore w:val="0"/>
        <w:kinsoku/>
        <w:wordWrap/>
        <w:overflowPunct/>
        <w:topLinePunct w:val="0"/>
        <w:autoSpaceDE/>
        <w:autoSpaceDN/>
        <w:bidi w:val="0"/>
        <w:adjustRightInd/>
        <w:snapToGrid/>
        <w:ind w:firstLine="640" w:firstLineChars="200"/>
        <w:textAlignment w:val="auto"/>
      </w:pPr>
      <w:r>
        <w:rPr>
          <w:rFonts w:hint="eastAsia" w:ascii="仿宋_GB2312" w:hAnsi="仿宋_GB2312" w:eastAsia="仿宋_GB2312" w:cs="仿宋_GB2312"/>
          <w:color w:val="auto"/>
          <w:sz w:val="32"/>
          <w:szCs w:val="32"/>
          <w:highlight w:val="none"/>
        </w:rPr>
        <w:t>（18）荣华街道、博兴街道办事处，亦庄镇、旧宫镇、瀛海镇、长子营镇、采育镇、青云店镇、马驹桥镇、台湖镇：组织本行政区域内药品安全事件的指挥协调、应急准备、监测与预警、应急处置及善后等应急工作；组织制定本级药品安全事件应急预案，建立专业处置队伍；组织培训和应急演练；负责对困难群众提供基本生活保障等</w:t>
      </w:r>
      <w:bookmarkEnd w:id="1"/>
      <w:r>
        <w:rPr>
          <w:rFonts w:hint="eastAsia" w:ascii="仿宋_GB2312" w:hAnsi="仿宋_GB2312" w:eastAsia="仿宋_GB2312" w:cs="仿宋_GB2312"/>
          <w:color w:val="auto"/>
          <w:sz w:val="32"/>
          <w:szCs w:val="32"/>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488BF"/>
    <w:multiLevelType w:val="singleLevel"/>
    <w:tmpl w:val="384488B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D342D"/>
    <w:rsid w:val="1ED02718"/>
    <w:rsid w:val="2F9D342D"/>
    <w:rsid w:val="527672E4"/>
    <w:rsid w:val="7B776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ubtitle"/>
    <w:basedOn w:val="1"/>
    <w:next w:val="1"/>
    <w:qFormat/>
    <w:uiPriority w:val="0"/>
    <w:pPr>
      <w:spacing w:before="240" w:after="60" w:line="312" w:lineRule="auto"/>
      <w:jc w:val="center"/>
      <w:outlineLvl w:val="1"/>
    </w:pPr>
    <w:rPr>
      <w:rFonts w:ascii="等线 Light" w:hAnsi="等线 Light" w:cs="Times New Roman"/>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1971</Words>
  <Characters>1982</Characters>
  <Lines>0</Lines>
  <Paragraphs>0</Paragraphs>
  <TotalTime>0</TotalTime>
  <ScaleCrop>false</ScaleCrop>
  <LinksUpToDate>false</LinksUpToDate>
  <CharactersWithSpaces>1982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2025-12-22T03:46:00Z</dcterms:created>
  <dc:creator>刘冠斌</dc:creator>
  <cp:lastModifiedBy>刘冠斌</cp:lastModifiedBy>
  <dcterms:modified xsi:type="dcterms:W3CDTF">2025-12-22T04:00:45Z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948B211158AD4B36B471A5230C0521A0_11</vt:lpwstr>
  </property>
  <property fmtid="{D5CDD505-2E9C-101B-9397-08002B2CF9AE}" pid="4" name="KSOTemplateDocerSaveRecord">
    <vt:lpwstr>eyJoZGlkIjoiNzdjMzE4MGRjYzlmYzc1ZDA5NmEyZjM0NWU3ZTRmNTUiLCJ1c2VySWQiOiIxNjU3NjU2MDY1In0=</vt:lpwstr>
  </property>
</Properties>
</file>