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outlineLvl w:val="0"/>
        <w:rPr>
          <w:rFonts w:hint="eastAsia" w:ascii="黑体" w:hAnsi="黑体" w:eastAsia="黑体" w:cs="黑体"/>
          <w:color w:val="333333"/>
          <w:spacing w:val="15"/>
          <w:kern w:val="0"/>
          <w:sz w:val="32"/>
          <w:szCs w:val="32"/>
          <w:shd w:val="clear" w:color="auto" w:fill="FFFFFF"/>
          <w:lang w:val="en-US" w:eastAsia="zh-CN"/>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3</w:t>
      </w:r>
      <w:bookmarkStart w:id="2" w:name="_GoBack"/>
      <w:bookmarkEnd w:id="2"/>
    </w:p>
    <w:p>
      <w:pPr>
        <w:spacing w:line="560" w:lineRule="exact"/>
        <w:jc w:val="left"/>
        <w:outlineLvl w:val="0"/>
        <w:rPr>
          <w:rFonts w:ascii="方正小标宋简体" w:hAnsi="方正小标宋简体" w:eastAsia="黑体" w:cs="方正小标宋简体"/>
          <w:sz w:val="44"/>
          <w:szCs w:val="44"/>
        </w:rPr>
      </w:pPr>
    </w:p>
    <w:p>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w:t>
      </w:r>
      <w:r>
        <w:rPr>
          <w:rFonts w:hint="eastAsia" w:ascii="方正小标宋简体" w:hAnsi="方正小标宋简体" w:eastAsia="方正小标宋简体" w:cs="方正小标宋简体"/>
          <w:sz w:val="44"/>
          <w:szCs w:val="44"/>
        </w:rPr>
        <w:t>夜间经济奖励办事指南</w:t>
      </w:r>
    </w:p>
    <w:p>
      <w:pPr>
        <w:spacing w:line="560" w:lineRule="exact"/>
        <w:rPr>
          <w:rFonts w:ascii="方正小标宋简体" w:hAnsi="方正小标宋简体" w:eastAsia="方正小标宋简体" w:cs="方正小标宋简体"/>
          <w:sz w:val="44"/>
          <w:szCs w:val="44"/>
        </w:rPr>
      </w:pP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一、政策依据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《北京经济技术开发区促进商业领域发展的若干措施（试行）》（</w:t>
      </w:r>
      <w:r>
        <w:rPr>
          <w:rFonts w:ascii="仿宋_GB2312" w:hAnsi="仿宋_GB2312" w:eastAsia="仿宋_GB2312" w:cs="仿宋_GB2312"/>
          <w:sz w:val="32"/>
          <w:szCs w:val="32"/>
        </w:rPr>
        <w:t>京技管发〔2023〕17号</w:t>
      </w:r>
      <w:r>
        <w:rPr>
          <w:rFonts w:hint="eastAsia" w:ascii="仿宋_GB2312" w:hAnsi="仿宋_GB2312" w:eastAsia="仿宋_GB2312" w:cs="仿宋_GB2312"/>
          <w:sz w:val="32"/>
          <w:szCs w:val="32"/>
        </w:rPr>
        <w:t>）第十三条：夜间经济奖励。</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二、事项名称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eastAsia="zh-CN"/>
        </w:rPr>
        <w:t>夜间经济奖励</w:t>
      </w:r>
    </w:p>
    <w:p>
      <w:pPr>
        <w:spacing w:line="560" w:lineRule="exact"/>
        <w:ind w:firstLine="640" w:firstLineChars="200"/>
        <w:outlineLvl w:val="0"/>
        <w:rPr>
          <w:rFonts w:hint="eastAsia" w:ascii="黑体" w:hAnsi="黑体" w:eastAsia="黑体" w:cs="黑体"/>
          <w:bCs/>
          <w:color w:val="000000"/>
          <w:kern w:val="0"/>
          <w:sz w:val="32"/>
          <w:szCs w:val="32"/>
          <w:lang w:eastAsia="zh-CN"/>
        </w:rPr>
      </w:pPr>
      <w:r>
        <w:rPr>
          <w:rFonts w:hint="eastAsia" w:ascii="黑体" w:hAnsi="黑体" w:eastAsia="黑体" w:cs="黑体"/>
          <w:bCs/>
          <w:color w:val="000000"/>
          <w:kern w:val="0"/>
          <w:sz w:val="32"/>
          <w:szCs w:val="32"/>
        </w:rPr>
        <w:t>三、</w:t>
      </w:r>
      <w:r>
        <w:rPr>
          <w:rFonts w:hint="eastAsia" w:ascii="黑体" w:hAnsi="黑体" w:eastAsia="黑体" w:cs="黑体"/>
          <w:bCs/>
          <w:color w:val="000000"/>
          <w:kern w:val="0"/>
          <w:sz w:val="32"/>
          <w:szCs w:val="32"/>
          <w:lang w:eastAsia="zh-CN"/>
        </w:rPr>
        <w:t>支持条件</w:t>
      </w:r>
    </w:p>
    <w:p>
      <w:pPr>
        <w:pStyle w:val="15"/>
        <w:numPr>
          <w:ilvl w:val="0"/>
          <w:numId w:val="0"/>
        </w:numPr>
        <w:spacing w:line="560" w:lineRule="exact"/>
        <w:ind w:left="0" w:firstLine="640"/>
        <w:jc w:val="left"/>
        <w:rPr>
          <w:rFonts w:hint="eastAsia" w:ascii="仿宋_GB2312" w:hAnsi="仿宋_GB2312" w:eastAsia="仿宋_GB2312" w:cs="仿宋_GB2312"/>
          <w:sz w:val="32"/>
          <w:szCs w:val="32"/>
        </w:rPr>
      </w:pPr>
      <w:r>
        <w:rPr>
          <w:rFonts w:hint="eastAsia" w:ascii="仿宋_GB2312" w:hAnsi="楷体" w:eastAsia="仿宋_GB2312" w:cs="仿宋_GB2312"/>
          <w:kern w:val="2"/>
          <w:sz w:val="32"/>
          <w:szCs w:val="32"/>
          <w:lang w:val="en-US" w:eastAsia="zh-CN" w:bidi="ar-SA"/>
        </w:rPr>
        <w:t>（一）</w:t>
      </w:r>
      <w:r>
        <w:rPr>
          <w:rFonts w:hint="eastAsia" w:ascii="仿宋_GB2312" w:hAnsi="仿宋_GB2312" w:eastAsia="仿宋_GB2312" w:cs="仿宋_GB2312"/>
          <w:sz w:val="32"/>
          <w:szCs w:val="32"/>
        </w:rPr>
        <w:t>在亦庄新城225平方公里范围内依法经营</w:t>
      </w:r>
      <w:r>
        <w:rPr>
          <w:rFonts w:hint="eastAsia" w:ascii="仿宋_GB2312" w:hAnsi="仿宋_GB2312" w:eastAsia="仿宋_GB2312" w:cs="仿宋_GB2312"/>
          <w:sz w:val="32"/>
          <w:szCs w:val="32"/>
          <w:lang w:eastAsia="zh-CN"/>
        </w:rPr>
        <w:t>。</w:t>
      </w:r>
    </w:p>
    <w:p>
      <w:pPr>
        <w:pStyle w:val="15"/>
        <w:numPr>
          <w:ilvl w:val="0"/>
          <w:numId w:val="0"/>
        </w:numPr>
        <w:spacing w:line="560" w:lineRule="exact"/>
        <w:ind w:left="0" w:firstLine="640"/>
        <w:jc w:val="left"/>
        <w:rPr>
          <w:rFonts w:ascii="仿宋_GB2312" w:hAnsi="仿宋_GB2312" w:eastAsia="仿宋_GB2312" w:cs="仿宋_GB2312"/>
          <w:sz w:val="32"/>
          <w:szCs w:val="32"/>
        </w:rPr>
      </w:pPr>
      <w:r>
        <w:rPr>
          <w:rFonts w:hint="eastAsia" w:ascii="仿宋_GB2312" w:hAnsi="楷体" w:eastAsia="仿宋_GB2312" w:cs="仿宋_GB2312"/>
          <w:kern w:val="2"/>
          <w:sz w:val="32"/>
          <w:szCs w:val="32"/>
          <w:lang w:val="en-US" w:eastAsia="zh-CN" w:bidi="ar-SA"/>
        </w:rPr>
        <w:t>（二）</w:t>
      </w:r>
      <w:r>
        <w:rPr>
          <w:rFonts w:hint="eastAsia" w:ascii="仿宋_GB2312" w:hAnsi="仿宋_GB2312" w:eastAsia="仿宋_GB2312" w:cs="仿宋_GB2312"/>
          <w:sz w:val="32"/>
          <w:szCs w:val="32"/>
        </w:rPr>
        <w:t>近</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 w:eastAsia="仿宋_GB2312"/>
          <w:color w:val="000000"/>
          <w:spacing w:val="-6"/>
          <w:sz w:val="32"/>
          <w:szCs w:val="32"/>
          <w:highlight w:val="none"/>
        </w:rPr>
        <w:t>202</w:t>
      </w:r>
      <w:r>
        <w:rPr>
          <w:rFonts w:hint="eastAsia" w:ascii="仿宋_GB2312" w:hAnsi="仿宋" w:eastAsia="仿宋_GB2312"/>
          <w:color w:val="000000"/>
          <w:spacing w:val="-6"/>
          <w:sz w:val="32"/>
          <w:szCs w:val="32"/>
          <w:highlight w:val="none"/>
          <w:lang w:val="en-US" w:eastAsia="zh-CN"/>
        </w:rPr>
        <w:t>2</w:t>
      </w:r>
      <w:r>
        <w:rPr>
          <w:rFonts w:hint="eastAsia" w:ascii="仿宋_GB2312" w:hAnsi="仿宋" w:eastAsia="仿宋_GB2312"/>
          <w:color w:val="000000"/>
          <w:spacing w:val="-6"/>
          <w:sz w:val="32"/>
          <w:szCs w:val="32"/>
          <w:highlight w:val="none"/>
        </w:rPr>
        <w:t>年</w:t>
      </w:r>
      <w:r>
        <w:rPr>
          <w:rFonts w:hint="eastAsia" w:ascii="仿宋_GB2312" w:hAnsi="仿宋" w:eastAsia="仿宋_GB2312"/>
          <w:color w:val="000000"/>
          <w:spacing w:val="-6"/>
          <w:sz w:val="32"/>
          <w:szCs w:val="32"/>
          <w:highlight w:val="none"/>
          <w:lang w:val="en-US" w:eastAsia="zh-CN"/>
        </w:rPr>
        <w:t>9</w:t>
      </w:r>
      <w:r>
        <w:rPr>
          <w:rFonts w:hint="eastAsia" w:ascii="仿宋_GB2312" w:hAnsi="仿宋" w:eastAsia="仿宋_GB2312"/>
          <w:color w:val="000000"/>
          <w:spacing w:val="-6"/>
          <w:sz w:val="32"/>
          <w:szCs w:val="32"/>
          <w:highlight w:val="none"/>
        </w:rPr>
        <w:t>月</w:t>
      </w:r>
      <w:r>
        <w:rPr>
          <w:rFonts w:hint="eastAsia" w:ascii="仿宋_GB2312" w:hAnsi="仿宋" w:eastAsia="仿宋_GB2312"/>
          <w:color w:val="000000"/>
          <w:spacing w:val="-6"/>
          <w:sz w:val="32"/>
          <w:szCs w:val="32"/>
          <w:highlight w:val="none"/>
          <w:lang w:val="en-US" w:eastAsia="zh-CN"/>
        </w:rPr>
        <w:t>15</w:t>
      </w:r>
      <w:r>
        <w:rPr>
          <w:rFonts w:hint="eastAsia" w:ascii="仿宋_GB2312" w:hAnsi="仿宋" w:eastAsia="仿宋_GB2312"/>
          <w:color w:val="000000"/>
          <w:spacing w:val="-6"/>
          <w:sz w:val="32"/>
          <w:szCs w:val="32"/>
          <w:highlight w:val="none"/>
        </w:rPr>
        <w:t>日</w:t>
      </w:r>
      <w:r>
        <w:rPr>
          <w:rFonts w:hint="eastAsia" w:ascii="仿宋_GB2312" w:hAnsi="仿宋" w:eastAsia="仿宋_GB2312"/>
          <w:color w:val="000000"/>
          <w:spacing w:val="-6"/>
          <w:sz w:val="32"/>
          <w:szCs w:val="32"/>
          <w:highlight w:val="none"/>
          <w:lang w:val="en-US" w:eastAsia="zh-CN"/>
        </w:rPr>
        <w:t>至</w:t>
      </w:r>
      <w:r>
        <w:rPr>
          <w:rFonts w:hint="eastAsia" w:ascii="仿宋_GB2312" w:hAnsi="仿宋" w:eastAsia="仿宋_GB2312"/>
          <w:color w:val="000000"/>
          <w:spacing w:val="-6"/>
          <w:sz w:val="32"/>
          <w:szCs w:val="32"/>
          <w:highlight w:val="none"/>
        </w:rPr>
        <w:t>202</w:t>
      </w:r>
      <w:r>
        <w:rPr>
          <w:rFonts w:hint="eastAsia" w:ascii="仿宋_GB2312" w:hAnsi="仿宋" w:eastAsia="仿宋_GB2312"/>
          <w:color w:val="000000"/>
          <w:spacing w:val="-6"/>
          <w:sz w:val="32"/>
          <w:szCs w:val="32"/>
          <w:highlight w:val="none"/>
          <w:lang w:val="en-US" w:eastAsia="zh-CN"/>
        </w:rPr>
        <w:t>5</w:t>
      </w:r>
      <w:r>
        <w:rPr>
          <w:rFonts w:hint="eastAsia" w:ascii="仿宋_GB2312" w:hAnsi="仿宋" w:eastAsia="仿宋_GB2312"/>
          <w:color w:val="000000"/>
          <w:spacing w:val="-6"/>
          <w:sz w:val="32"/>
          <w:szCs w:val="32"/>
          <w:highlight w:val="none"/>
        </w:rPr>
        <w:t>年</w:t>
      </w:r>
      <w:r>
        <w:rPr>
          <w:rFonts w:hint="eastAsia" w:ascii="仿宋_GB2312" w:hAnsi="仿宋" w:eastAsia="仿宋_GB2312"/>
          <w:color w:val="000000"/>
          <w:spacing w:val="-6"/>
          <w:sz w:val="32"/>
          <w:szCs w:val="32"/>
          <w:highlight w:val="none"/>
          <w:lang w:val="en-US" w:eastAsia="zh-CN"/>
        </w:rPr>
        <w:t>9</w:t>
      </w:r>
      <w:r>
        <w:rPr>
          <w:rFonts w:hint="eastAsia" w:ascii="仿宋_GB2312" w:hAnsi="仿宋" w:eastAsia="仿宋_GB2312"/>
          <w:color w:val="000000"/>
          <w:spacing w:val="-6"/>
          <w:sz w:val="32"/>
          <w:szCs w:val="32"/>
          <w:highlight w:val="none"/>
        </w:rPr>
        <w:t>月</w:t>
      </w:r>
      <w:r>
        <w:rPr>
          <w:rFonts w:hint="eastAsia" w:ascii="仿宋_GB2312" w:hAnsi="仿宋" w:eastAsia="仿宋_GB2312"/>
          <w:color w:val="000000"/>
          <w:spacing w:val="-6"/>
          <w:sz w:val="32"/>
          <w:szCs w:val="32"/>
          <w:highlight w:val="none"/>
          <w:lang w:val="en-US" w:eastAsia="zh-CN"/>
        </w:rPr>
        <w:t>15</w:t>
      </w:r>
      <w:r>
        <w:rPr>
          <w:rFonts w:hint="eastAsia" w:ascii="仿宋_GB2312" w:hAnsi="仿宋" w:eastAsia="仿宋_GB2312"/>
          <w:color w:val="000000"/>
          <w:spacing w:val="-6"/>
          <w:sz w:val="32"/>
          <w:szCs w:val="32"/>
          <w:highlight w:val="none"/>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无重大行政处罚记录和刑事犯罪记录，未列入严重违法失信主体名单</w:t>
      </w:r>
      <w:r>
        <w:rPr>
          <w:rFonts w:hint="eastAsia" w:ascii="仿宋_GB2312" w:hAnsi="仿宋_GB2312" w:eastAsia="仿宋_GB2312" w:cs="仿宋_GB2312"/>
          <w:sz w:val="32"/>
          <w:szCs w:val="32"/>
          <w:lang w:eastAsia="zh-CN"/>
        </w:rPr>
        <w:t>。</w:t>
      </w:r>
    </w:p>
    <w:p>
      <w:pPr>
        <w:pStyle w:val="15"/>
        <w:numPr>
          <w:ilvl w:val="0"/>
          <w:numId w:val="0"/>
        </w:numPr>
        <w:spacing w:line="560" w:lineRule="exact"/>
        <w:ind w:left="0" w:firstLine="640"/>
        <w:jc w:val="left"/>
        <w:rPr>
          <w:rFonts w:ascii="仿宋_GB2312" w:hAnsi="仿宋_GB2312" w:eastAsia="仿宋_GB2312" w:cs="仿宋_GB2312"/>
          <w:sz w:val="32"/>
          <w:szCs w:val="32"/>
          <w:highlight w:val="none"/>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三</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highlight w:val="none"/>
          <w:lang w:eastAsia="zh-CN"/>
        </w:rPr>
        <w:t>支持项目应在北京市商务局发布的</w:t>
      </w:r>
      <w:r>
        <w:rPr>
          <w:rFonts w:hint="eastAsia" w:ascii="仿宋_GB2312" w:hAnsi="仿宋_GB2312" w:eastAsia="仿宋_GB2312" w:cs="仿宋_GB2312"/>
          <w:sz w:val="32"/>
          <w:szCs w:val="32"/>
          <w:highlight w:val="none"/>
          <w:lang w:val="en-US" w:eastAsia="zh-CN"/>
        </w:rPr>
        <w:t>2024年“夜京城”特色消费地标、融合消费打卡地、品质消费生活圈点位名单中，且是首次纳入“夜京城”特色消费地标、融合消费打卡地、品质消费生活圈点位名单。</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w:t>
      </w:r>
      <w:r>
        <w:rPr>
          <w:rFonts w:hint="eastAsia" w:ascii="黑体" w:hAnsi="黑体" w:eastAsia="黑体" w:cs="黑体"/>
          <w:bCs/>
          <w:color w:val="000000"/>
          <w:kern w:val="0"/>
          <w:sz w:val="32"/>
          <w:szCs w:val="32"/>
          <w:lang w:eastAsia="zh-CN"/>
        </w:rPr>
        <w:t>支持内容及标准</w:t>
      </w:r>
    </w:p>
    <w:p>
      <w:pPr>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对首次获得“夜京城”特色消费地标、融合消费打卡地、品质消费生活圈市级认定或挂牌的商业企业，分别给予15万元、10万元、5万元的一次性奖励，单个项目只能享受一项奖励支持。</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五、申报材料及要求</w:t>
      </w:r>
    </w:p>
    <w:p>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企业无需提交申报材料。</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六、办事流程</w:t>
      </w:r>
    </w:p>
    <w:p>
      <w:pPr>
        <w:spacing w:line="560" w:lineRule="exact"/>
        <w:ind w:firstLine="642" w:firstLineChars="200"/>
        <w:rPr>
          <w:rFonts w:eastAsia="仿宋_GB2312" w:cs="仿宋_GB2312"/>
          <w:sz w:val="32"/>
          <w:szCs w:val="32"/>
        </w:rPr>
      </w:pPr>
      <w:r>
        <w:rPr>
          <w:rFonts w:hint="eastAsia" w:eastAsia="仿宋_GB2312" w:cs="仿宋_GB2312"/>
          <w:b/>
          <w:bCs/>
          <w:sz w:val="32"/>
          <w:szCs w:val="32"/>
        </w:rPr>
        <w:t>（一）收集支持项目清单：</w:t>
      </w:r>
      <w:r>
        <w:rPr>
          <w:rFonts w:hint="eastAsia" w:eastAsia="仿宋_GB2312" w:cs="仿宋_GB2312"/>
          <w:sz w:val="32"/>
          <w:szCs w:val="32"/>
        </w:rPr>
        <w:t>经开区商务金融局依据支持内容及标准，</w:t>
      </w:r>
      <w:r>
        <w:rPr>
          <w:rFonts w:hint="eastAsia" w:ascii="仿宋_GB2312" w:hAnsi="等线" w:eastAsia="仿宋_GB2312" w:cs="Times New Roman"/>
          <w:sz w:val="32"/>
          <w:szCs w:val="32"/>
        </w:rPr>
        <w:t>通过北京市</w:t>
      </w:r>
      <w:r>
        <w:rPr>
          <w:rFonts w:hint="eastAsia" w:ascii="仿宋_GB2312" w:hAnsi="等线" w:eastAsia="仿宋_GB2312" w:cs="Times New Roman"/>
          <w:sz w:val="32"/>
          <w:szCs w:val="32"/>
          <w:highlight w:val="none"/>
          <w:lang w:eastAsia="zh-CN"/>
        </w:rPr>
        <w:t>商务</w:t>
      </w:r>
      <w:r>
        <w:rPr>
          <w:rFonts w:hint="eastAsia" w:ascii="仿宋_GB2312" w:hAnsi="等线" w:eastAsia="仿宋_GB2312" w:cs="Times New Roman"/>
          <w:sz w:val="32"/>
          <w:szCs w:val="32"/>
          <w:highlight w:val="none"/>
        </w:rPr>
        <w:t>局网站查询</w:t>
      </w:r>
      <w:r>
        <w:rPr>
          <w:rFonts w:ascii="仿宋_GB2312" w:hAnsi="华文仿宋" w:eastAsia="仿宋_GB2312"/>
          <w:color w:val="000000"/>
          <w:sz w:val="32"/>
          <w:szCs w:val="32"/>
          <w:highlight w:val="none"/>
        </w:rPr>
        <w:t>202</w:t>
      </w:r>
      <w:r>
        <w:rPr>
          <w:rFonts w:hint="eastAsia" w:ascii="仿宋_GB2312" w:hAnsi="华文仿宋" w:eastAsia="仿宋_GB2312"/>
          <w:color w:val="000000"/>
          <w:sz w:val="32"/>
          <w:szCs w:val="32"/>
          <w:highlight w:val="none"/>
          <w:lang w:val="en-US" w:eastAsia="zh-CN"/>
        </w:rPr>
        <w:t>4</w:t>
      </w:r>
      <w:r>
        <w:rPr>
          <w:rFonts w:ascii="仿宋_GB2312" w:hAnsi="华文仿宋" w:eastAsia="仿宋_GB2312"/>
          <w:color w:val="000000"/>
          <w:sz w:val="32"/>
          <w:szCs w:val="32"/>
          <w:highlight w:val="none"/>
        </w:rPr>
        <w:t>年</w:t>
      </w:r>
      <w:r>
        <w:rPr>
          <w:rFonts w:hint="eastAsia" w:ascii="仿宋_GB2312" w:hAnsi="华文仿宋" w:eastAsia="仿宋_GB2312"/>
          <w:color w:val="000000"/>
          <w:sz w:val="32"/>
          <w:szCs w:val="32"/>
          <w:highlight w:val="none"/>
        </w:rPr>
        <w:t>1</w:t>
      </w:r>
      <w:r>
        <w:rPr>
          <w:rFonts w:ascii="仿宋_GB2312" w:hAnsi="华文仿宋" w:eastAsia="仿宋_GB2312"/>
          <w:color w:val="000000"/>
          <w:sz w:val="32"/>
          <w:szCs w:val="32"/>
          <w:highlight w:val="none"/>
        </w:rPr>
        <w:t>月1日</w:t>
      </w:r>
      <w:r>
        <w:rPr>
          <w:rFonts w:hint="eastAsia" w:ascii="仿宋_GB2312" w:hAnsi="华文仿宋" w:eastAsia="仿宋_GB2312"/>
          <w:color w:val="000000"/>
          <w:sz w:val="32"/>
          <w:szCs w:val="32"/>
          <w:highlight w:val="none"/>
          <w:lang w:val="en-US" w:eastAsia="zh-CN"/>
        </w:rPr>
        <w:t>至</w:t>
      </w:r>
      <w:r>
        <w:rPr>
          <w:rFonts w:hint="eastAsia" w:ascii="仿宋_GB2312" w:hAnsi="华文仿宋" w:eastAsia="仿宋_GB2312"/>
          <w:color w:val="000000"/>
          <w:sz w:val="32"/>
          <w:szCs w:val="32"/>
          <w:highlight w:val="none"/>
        </w:rPr>
        <w:t>202</w:t>
      </w:r>
      <w:r>
        <w:rPr>
          <w:rFonts w:hint="eastAsia" w:ascii="仿宋_GB2312" w:hAnsi="华文仿宋" w:eastAsia="仿宋_GB2312"/>
          <w:color w:val="000000"/>
          <w:sz w:val="32"/>
          <w:szCs w:val="32"/>
          <w:highlight w:val="none"/>
          <w:lang w:val="en-US" w:eastAsia="zh-CN"/>
        </w:rPr>
        <w:t>4</w:t>
      </w:r>
      <w:r>
        <w:rPr>
          <w:rFonts w:hint="eastAsia" w:ascii="仿宋_GB2312" w:hAnsi="华文仿宋" w:eastAsia="仿宋_GB2312"/>
          <w:color w:val="000000"/>
          <w:sz w:val="32"/>
          <w:szCs w:val="32"/>
          <w:highlight w:val="none"/>
        </w:rPr>
        <w:t>年12月</w:t>
      </w:r>
      <w:r>
        <w:rPr>
          <w:rFonts w:ascii="仿宋_GB2312" w:hAnsi="华文仿宋" w:eastAsia="仿宋_GB2312"/>
          <w:color w:val="000000"/>
          <w:sz w:val="32"/>
          <w:szCs w:val="32"/>
          <w:highlight w:val="none"/>
        </w:rPr>
        <w:t>31</w:t>
      </w:r>
      <w:r>
        <w:rPr>
          <w:rFonts w:hint="eastAsia" w:ascii="仿宋_GB2312" w:hAnsi="华文仿宋" w:eastAsia="仿宋_GB2312"/>
          <w:color w:val="000000"/>
          <w:sz w:val="32"/>
          <w:szCs w:val="32"/>
          <w:highlight w:val="none"/>
        </w:rPr>
        <w:t>日期间公布的</w:t>
      </w:r>
      <w:r>
        <w:rPr>
          <w:rFonts w:hint="eastAsia" w:ascii="仿宋_GB2312" w:hAnsi="仿宋_GB2312" w:eastAsia="仿宋_GB2312" w:cs="仿宋_GB2312"/>
          <w:sz w:val="32"/>
          <w:szCs w:val="32"/>
          <w:highlight w:val="none"/>
          <w:lang w:val="en-US" w:eastAsia="zh-CN"/>
        </w:rPr>
        <w:t>2024年“夜京城”特色消费地标、融合消费打卡地、品质消费生活圈点位名单</w:t>
      </w:r>
      <w:r>
        <w:rPr>
          <w:rFonts w:hint="eastAsia" w:eastAsia="仿宋_GB2312" w:cs="仿宋_GB2312"/>
          <w:sz w:val="32"/>
          <w:szCs w:val="32"/>
          <w:highlight w:val="none"/>
        </w:rPr>
        <w:t>，形</w:t>
      </w:r>
      <w:r>
        <w:rPr>
          <w:rFonts w:hint="eastAsia" w:eastAsia="仿宋_GB2312" w:cs="仿宋_GB2312"/>
          <w:sz w:val="32"/>
          <w:szCs w:val="32"/>
        </w:rPr>
        <w:t>成初步项目清单。</w:t>
      </w:r>
    </w:p>
    <w:p>
      <w:pPr>
        <w:spacing w:line="560" w:lineRule="exact"/>
        <w:ind w:firstLine="642" w:firstLineChars="200"/>
        <w:rPr>
          <w:rFonts w:eastAsia="仿宋_GB2312" w:cs="仿宋_GB2312"/>
          <w:sz w:val="32"/>
          <w:szCs w:val="32"/>
        </w:rPr>
      </w:pPr>
      <w:r>
        <w:rPr>
          <w:rFonts w:hint="eastAsia" w:eastAsia="仿宋_GB2312" w:cs="仿宋_GB2312"/>
          <w:b/>
          <w:bCs/>
          <w:sz w:val="32"/>
          <w:szCs w:val="32"/>
        </w:rPr>
        <w:t>（二）政策符合性审查：</w:t>
      </w:r>
      <w:r>
        <w:rPr>
          <w:rFonts w:hint="eastAsia" w:eastAsia="仿宋_GB2312" w:cs="仿宋_GB2312"/>
          <w:sz w:val="32"/>
          <w:szCs w:val="32"/>
        </w:rPr>
        <w:t>经开区商务金融局会同相关主管部门，根据措施要求以及经开区管委会政策兑现相关规定，对清单中的项目进行审查。</w:t>
      </w:r>
    </w:p>
    <w:p>
      <w:pPr>
        <w:spacing w:line="560" w:lineRule="exact"/>
        <w:ind w:firstLine="642" w:firstLineChars="200"/>
        <w:rPr>
          <w:rFonts w:eastAsia="仿宋_GB2312" w:cs="仿宋_GB2312"/>
          <w:sz w:val="32"/>
          <w:szCs w:val="32"/>
        </w:rPr>
      </w:pPr>
      <w:r>
        <w:rPr>
          <w:rFonts w:hint="eastAsia" w:eastAsia="仿宋_GB2312" w:cs="仿宋_GB2312"/>
          <w:b/>
          <w:bCs/>
          <w:sz w:val="32"/>
          <w:szCs w:val="32"/>
        </w:rPr>
        <w:t>（三）确定支持结果：</w:t>
      </w:r>
      <w:r>
        <w:rPr>
          <w:rFonts w:hint="eastAsia" w:ascii="仿宋_GB2312" w:hAnsi="仿宋_GB2312" w:eastAsia="仿宋_GB2312" w:cs="仿宋_GB2312"/>
          <w:color w:val="000000"/>
          <w:sz w:val="32"/>
          <w:szCs w:val="32"/>
          <w:highlight w:val="none"/>
        </w:rPr>
        <w:t>经开区</w:t>
      </w:r>
      <w:r>
        <w:rPr>
          <w:rFonts w:hint="eastAsia" w:ascii="仿宋_GB2312" w:hAnsi="仿宋_GB2312" w:eastAsia="仿宋_GB2312" w:cs="仿宋_GB2312"/>
          <w:color w:val="000000"/>
          <w:sz w:val="32"/>
          <w:szCs w:val="32"/>
          <w:highlight w:val="none"/>
          <w:lang w:eastAsia="zh-CN"/>
        </w:rPr>
        <w:t>商务金融</w:t>
      </w:r>
      <w:r>
        <w:rPr>
          <w:rFonts w:hint="eastAsia" w:ascii="仿宋_GB2312" w:hAnsi="仿宋_GB2312" w:eastAsia="仿宋_GB2312" w:cs="仿宋_GB2312"/>
          <w:color w:val="000000"/>
          <w:sz w:val="32"/>
          <w:szCs w:val="32"/>
          <w:highlight w:val="none"/>
        </w:rPr>
        <w:t>局</w:t>
      </w:r>
      <w:r>
        <w:rPr>
          <w:rFonts w:hint="eastAsia" w:ascii="仿宋_GB2312" w:hAnsi="仿宋_GB2312" w:eastAsia="仿宋_GB2312" w:cs="仿宋_GB2312"/>
          <w:color w:val="000000"/>
          <w:kern w:val="2"/>
          <w:sz w:val="32"/>
          <w:szCs w:val="32"/>
          <w:highlight w:val="none"/>
        </w:rPr>
        <w:t>对审核通过的申报主体拟定兑现扶持奖励金额</w:t>
      </w:r>
      <w:r>
        <w:rPr>
          <w:rFonts w:hint="eastAsia" w:ascii="仿宋_GB2312" w:hAnsi="仿宋_GB2312" w:eastAsia="仿宋_GB2312" w:cs="仿宋_GB2312"/>
          <w:color w:val="000000"/>
          <w:sz w:val="32"/>
          <w:szCs w:val="32"/>
        </w:rPr>
        <w:t>。</w:t>
      </w:r>
    </w:p>
    <w:p>
      <w:pPr>
        <w:spacing w:line="560" w:lineRule="exact"/>
        <w:ind w:firstLine="642" w:firstLineChars="200"/>
        <w:rPr>
          <w:rFonts w:eastAsia="仿宋_GB2312" w:cs="仿宋_GB2312"/>
          <w:sz w:val="32"/>
          <w:szCs w:val="32"/>
        </w:rPr>
      </w:pPr>
      <w:r>
        <w:rPr>
          <w:rFonts w:hint="eastAsia" w:eastAsia="仿宋_GB2312" w:cs="仿宋_GB2312"/>
          <w:b/>
          <w:bCs/>
          <w:sz w:val="32"/>
          <w:szCs w:val="32"/>
        </w:rPr>
        <w:t>（四）公示：</w:t>
      </w:r>
      <w:r>
        <w:rPr>
          <w:rFonts w:hint="eastAsia" w:eastAsia="仿宋_GB2312" w:cs="仿宋_GB2312"/>
          <w:sz w:val="32"/>
          <w:szCs w:val="32"/>
        </w:rPr>
        <w:t>经开区商务金融局通过政策兑现综合服务平台对审核通过的支持主体进行公示。</w:t>
      </w:r>
    </w:p>
    <w:p>
      <w:pPr>
        <w:spacing w:line="560" w:lineRule="exact"/>
        <w:ind w:firstLine="642" w:firstLineChars="200"/>
        <w:rPr>
          <w:rFonts w:eastAsia="仿宋_GB2312" w:cs="仿宋_GB2312"/>
          <w:sz w:val="32"/>
          <w:szCs w:val="32"/>
        </w:rPr>
      </w:pPr>
      <w:r>
        <w:rPr>
          <w:rFonts w:hint="eastAsia" w:eastAsia="仿宋_GB2312" w:cs="仿宋_GB2312"/>
          <w:b/>
          <w:bCs/>
          <w:sz w:val="32"/>
          <w:szCs w:val="32"/>
        </w:rPr>
        <w:t>（五）确认账户信息：</w:t>
      </w:r>
      <w:r>
        <w:rPr>
          <w:rFonts w:hint="eastAsia" w:ascii="仿宋_GB2312" w:hAnsi="仿宋_GB2312" w:eastAsia="仿宋_GB2312" w:cs="仿宋_GB2312"/>
          <w:color w:val="000000"/>
          <w:sz w:val="32"/>
          <w:szCs w:val="32"/>
        </w:rPr>
        <w:t>经公示无异议的</w:t>
      </w:r>
      <w:r>
        <w:rPr>
          <w:rFonts w:hint="eastAsia" w:eastAsia="仿宋_GB2312" w:cs="仿宋_GB2312"/>
          <w:sz w:val="32"/>
          <w:szCs w:val="32"/>
        </w:rPr>
        <w:t>项目，通知企业上传承诺书及银行账户信息的盖章彩色扫描件。</w:t>
      </w:r>
    </w:p>
    <w:p>
      <w:pPr>
        <w:pStyle w:val="8"/>
        <w:shd w:val="clear" w:color="auto" w:fill="FFFFFF"/>
        <w:spacing w:before="0" w:beforeAutospacing="0" w:after="0" w:afterAutospacing="0" w:line="560" w:lineRule="exact"/>
        <w:ind w:firstLine="642" w:firstLineChars="200"/>
        <w:rPr>
          <w:rFonts w:eastAsia="仿宋_GB2312" w:cs="仿宋_GB2312"/>
          <w:szCs w:val="32"/>
        </w:rPr>
      </w:pPr>
      <w:r>
        <w:rPr>
          <w:rFonts w:hint="eastAsia" w:ascii="仿宋_GB2312" w:hAnsi="仿宋_GB2312" w:eastAsia="仿宋_GB2312" w:cs="仿宋_GB2312"/>
          <w:b/>
          <w:bCs/>
          <w:color w:val="000000"/>
          <w:szCs w:val="32"/>
        </w:rPr>
        <w:t>（六）资金拨付</w:t>
      </w:r>
      <w:r>
        <w:rPr>
          <w:rFonts w:hint="eastAsia" w:ascii="仿宋_GB2312" w:hAnsi="仿宋_GB2312" w:eastAsia="仿宋_GB2312" w:cs="仿宋_GB2312"/>
          <w:color w:val="000000"/>
          <w:szCs w:val="32"/>
        </w:rPr>
        <w:t>：确认无误的，完成资金拨付工作。</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经开区商务金融局</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八、联系人及联系方式</w:t>
      </w:r>
    </w:p>
    <w:p>
      <w:pPr>
        <w:spacing w:line="560" w:lineRule="exact"/>
        <w:ind w:firstLine="629"/>
        <w:rPr>
          <w:rFonts w:ascii="仿宋_GB2312" w:hAnsi="仿宋_GB2312" w:eastAsia="仿宋_GB2312" w:cs="仿宋_GB2312"/>
          <w:sz w:val="32"/>
          <w:highlight w:val="none"/>
        </w:rPr>
      </w:pPr>
      <w:bookmarkStart w:id="0" w:name="_Hlk153491882"/>
      <w:r>
        <w:rPr>
          <w:rFonts w:hint="eastAsia" w:ascii="仿宋_GB2312" w:hAnsi="仿宋_GB2312" w:eastAsia="仿宋_GB2312" w:cs="仿宋_GB2312"/>
          <w:sz w:val="32"/>
          <w:highlight w:val="none"/>
        </w:rPr>
        <w:t>政策咨询：</w:t>
      </w:r>
    </w:p>
    <w:p>
      <w:pPr>
        <w:spacing w:line="560" w:lineRule="exact"/>
        <w:ind w:firstLine="640" w:firstLineChars="200"/>
        <w:rPr>
          <w:rFonts w:eastAsia="仿宋_GB2312"/>
          <w:sz w:val="32"/>
          <w:szCs w:val="32"/>
          <w:highlight w:val="none"/>
        </w:rPr>
      </w:pPr>
      <w:r>
        <w:rPr>
          <w:rFonts w:hint="eastAsia" w:eastAsia="仿宋_GB2312"/>
          <w:sz w:val="32"/>
          <w:szCs w:val="32"/>
          <w:highlight w:val="none"/>
        </w:rPr>
        <w:t>经开区政务服务</w:t>
      </w:r>
      <w:r>
        <w:rPr>
          <w:rFonts w:hint="eastAsia" w:eastAsia="仿宋_GB2312"/>
          <w:sz w:val="32"/>
          <w:szCs w:val="32"/>
          <w:highlight w:val="none"/>
          <w:lang w:val="en-US" w:eastAsia="zh-CN"/>
        </w:rPr>
        <w:t>大</w:t>
      </w:r>
      <w:r>
        <w:rPr>
          <w:rFonts w:hint="eastAsia" w:eastAsia="仿宋_GB2312"/>
          <w:sz w:val="32"/>
          <w:szCs w:val="32"/>
          <w:highlight w:val="none"/>
        </w:rPr>
        <w:t>厅“政策申报”窗口，联系电话：</w:t>
      </w:r>
      <w:r>
        <w:rPr>
          <w:rFonts w:hint="eastAsia" w:ascii="仿宋_GB2312" w:hAnsi="仿宋_GB2312" w:eastAsia="仿宋_GB2312" w:cs="仿宋_GB2312"/>
          <w:sz w:val="32"/>
          <w:szCs w:val="32"/>
          <w:highlight w:val="none"/>
        </w:rPr>
        <w:t>010-67857687</w:t>
      </w:r>
      <w:r>
        <w:rPr>
          <w:rFonts w:hint="eastAsia" w:eastAsia="仿宋_GB2312"/>
          <w:sz w:val="32"/>
          <w:szCs w:val="32"/>
          <w:highlight w:val="none"/>
        </w:rPr>
        <w:t>；</w:t>
      </w:r>
      <w:r>
        <w:rPr>
          <w:rFonts w:hint="eastAsia" w:ascii="仿宋_GB2312" w:hAnsi="仿宋_GB2312" w:eastAsia="仿宋_GB2312" w:cs="仿宋_GB2312"/>
          <w:sz w:val="32"/>
          <w:szCs w:val="32"/>
          <w:highlight w:val="none"/>
        </w:rPr>
        <w:t>010-67857878转4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工作日上午9:00—12:00，下午1:30—5:00。</w:t>
      </w:r>
    </w:p>
    <w:p>
      <w:pPr>
        <w:spacing w:line="560" w:lineRule="exact"/>
        <w:ind w:firstLine="640" w:firstLineChars="200"/>
        <w:rPr>
          <w:rFonts w:eastAsia="仿宋_GB2312"/>
          <w:sz w:val="32"/>
          <w:szCs w:val="32"/>
          <w:highlight w:val="none"/>
        </w:rPr>
      </w:pPr>
      <w:r>
        <w:rPr>
          <w:rFonts w:hint="eastAsia" w:eastAsia="仿宋_GB2312"/>
          <w:sz w:val="32"/>
          <w:szCs w:val="32"/>
          <w:highlight w:val="none"/>
        </w:rPr>
        <w:t>经开区</w:t>
      </w:r>
      <w:r>
        <w:rPr>
          <w:rFonts w:hint="eastAsia" w:eastAsia="仿宋_GB2312"/>
          <w:sz w:val="32"/>
          <w:szCs w:val="32"/>
          <w:highlight w:val="none"/>
          <w:lang w:eastAsia="zh-CN"/>
        </w:rPr>
        <w:t>商务金融</w:t>
      </w:r>
      <w:r>
        <w:rPr>
          <w:rFonts w:hint="eastAsia" w:eastAsia="仿宋_GB2312"/>
          <w:sz w:val="32"/>
          <w:szCs w:val="32"/>
          <w:highlight w:val="none"/>
        </w:rPr>
        <w:t>局</w:t>
      </w:r>
      <w:r>
        <w:rPr>
          <w:rFonts w:hint="eastAsia" w:ascii="仿宋_GB2312" w:hAnsi="仿宋_GB2312" w:eastAsia="仿宋_GB2312" w:cs="仿宋_GB2312"/>
          <w:sz w:val="32"/>
          <w:szCs w:val="32"/>
          <w:highlight w:val="none"/>
        </w:rPr>
        <w:t>，联系电话：010-</w:t>
      </w:r>
      <w:r>
        <w:rPr>
          <w:rFonts w:hint="eastAsia" w:ascii="仿宋_GB2312" w:hAnsi="仿宋_GB2312" w:eastAsia="仿宋_GB2312" w:cs="仿宋_GB2312"/>
          <w:sz w:val="32"/>
          <w:szCs w:val="32"/>
          <w:highlight w:val="none"/>
          <w:lang w:val="en-US" w:eastAsia="zh-CN"/>
        </w:rPr>
        <w:t>83508003</w:t>
      </w:r>
      <w:r>
        <w:rPr>
          <w:rFonts w:hint="eastAsia" w:ascii="仿宋_GB2312" w:hAnsi="仿宋_GB2312" w:eastAsia="仿宋_GB2312" w:cs="仿宋_GB2312"/>
          <w:sz w:val="32"/>
          <w:szCs w:val="32"/>
          <w:highlight w:val="none"/>
        </w:rPr>
        <w:t>，工作日上午9:00—12:00，下午2:00—6:00。</w:t>
      </w:r>
    </w:p>
    <w:p>
      <w:pPr>
        <w:spacing w:line="560" w:lineRule="exact"/>
        <w:ind w:firstLine="629"/>
        <w:rPr>
          <w:rFonts w:ascii="仿宋_GB2312" w:hAnsi="仿宋_GB2312" w:eastAsia="仿宋_GB2312" w:cs="仿宋_GB2312"/>
          <w:sz w:val="32"/>
          <w:highlight w:val="none"/>
        </w:rPr>
      </w:pPr>
      <w:r>
        <w:rPr>
          <w:rFonts w:hint="eastAsia" w:ascii="仿宋_GB2312" w:hAnsi="仿宋_GB2312" w:eastAsia="仿宋_GB2312" w:cs="仿宋_GB2312"/>
          <w:sz w:val="32"/>
          <w:highlight w:val="none"/>
        </w:rPr>
        <w:t>技术支持：</w:t>
      </w:r>
    </w:p>
    <w:p>
      <w:pPr>
        <w:spacing w:line="560" w:lineRule="exact"/>
        <w:ind w:firstLine="640" w:firstLineChars="200"/>
        <w:rPr>
          <w:rFonts w:eastAsia="仿宋_GB2312"/>
          <w:sz w:val="32"/>
          <w:szCs w:val="32"/>
          <w:highlight w:val="none"/>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83509638</w:t>
      </w:r>
      <w:r>
        <w:rPr>
          <w:rFonts w:hint="eastAsia" w:ascii="仿宋_GB2312" w:hAnsi="仿宋_GB2312" w:eastAsia="仿宋_GB2312" w:cs="仿宋_GB2312"/>
          <w:sz w:val="32"/>
          <w:szCs w:val="32"/>
          <w:highlight w:val="none"/>
        </w:rPr>
        <w:t>，工作日上午9:00—12:00，下午2:00—6:00。</w:t>
      </w:r>
    </w:p>
    <w:bookmarkEnd w:id="0"/>
    <w:p>
      <w:pPr>
        <w:spacing w:line="560" w:lineRule="exact"/>
        <w:ind w:firstLine="640" w:firstLineChars="200"/>
        <w:outlineLvl w:val="0"/>
        <w:rPr>
          <w:rFonts w:ascii="仿宋_GB2312" w:hAnsi="仿宋_GB2312" w:eastAsia="仿宋_GB2312" w:cs="仿宋_GB2312"/>
          <w:sz w:val="32"/>
          <w:szCs w:val="32"/>
          <w:highlight w:val="none"/>
        </w:rPr>
      </w:pPr>
      <w:bookmarkStart w:id="1" w:name="_Hlk153491814"/>
      <w:r>
        <w:rPr>
          <w:rFonts w:hint="eastAsia" w:ascii="黑体" w:hAnsi="黑体" w:eastAsia="黑体" w:cs="黑体"/>
          <w:sz w:val="32"/>
          <w:szCs w:val="32"/>
          <w:highlight w:val="none"/>
        </w:rPr>
        <w:t>九、收费标准</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不收费</w:t>
      </w:r>
    </w:p>
    <w:p>
      <w:pPr>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十、特别说明</w:t>
      </w:r>
    </w:p>
    <w:p>
      <w:pPr>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无</w:t>
      </w:r>
    </w:p>
    <w:bookmarkEnd w:id="1"/>
    <w:p>
      <w:pPr>
        <w:spacing w:line="560" w:lineRule="exact"/>
        <w:ind w:firstLine="640" w:firstLineChars="200"/>
        <w:outlineLvl w:val="0"/>
        <w:rPr>
          <w:rFonts w:ascii="仿宋_GB2312" w:hAnsi="仿宋_GB2312" w:eastAsia="仿宋_GB2312" w:cs="仿宋_GB2312"/>
          <w:sz w:val="32"/>
          <w:szCs w:val="32"/>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等线 Light">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altName w:val="方正仿宋_GBK"/>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F4"/>
    <w:rsid w:val="00001E3F"/>
    <w:rsid w:val="00013ECD"/>
    <w:rsid w:val="00024950"/>
    <w:rsid w:val="000328B5"/>
    <w:rsid w:val="00074F9C"/>
    <w:rsid w:val="0008509A"/>
    <w:rsid w:val="0010124B"/>
    <w:rsid w:val="00105CCF"/>
    <w:rsid w:val="001240CA"/>
    <w:rsid w:val="00141348"/>
    <w:rsid w:val="00170DDD"/>
    <w:rsid w:val="00177097"/>
    <w:rsid w:val="00191ADE"/>
    <w:rsid w:val="001A1C31"/>
    <w:rsid w:val="001C7894"/>
    <w:rsid w:val="00200271"/>
    <w:rsid w:val="00242834"/>
    <w:rsid w:val="002804C5"/>
    <w:rsid w:val="002857AF"/>
    <w:rsid w:val="00294456"/>
    <w:rsid w:val="002D5036"/>
    <w:rsid w:val="002D7957"/>
    <w:rsid w:val="002E3B92"/>
    <w:rsid w:val="00300C55"/>
    <w:rsid w:val="00317418"/>
    <w:rsid w:val="003375CA"/>
    <w:rsid w:val="003B4267"/>
    <w:rsid w:val="003E5300"/>
    <w:rsid w:val="003F5352"/>
    <w:rsid w:val="00440E02"/>
    <w:rsid w:val="00445B7F"/>
    <w:rsid w:val="0046579E"/>
    <w:rsid w:val="00484469"/>
    <w:rsid w:val="004B69F0"/>
    <w:rsid w:val="004C4B5A"/>
    <w:rsid w:val="00503393"/>
    <w:rsid w:val="0053084E"/>
    <w:rsid w:val="00565D37"/>
    <w:rsid w:val="00570B21"/>
    <w:rsid w:val="005800CC"/>
    <w:rsid w:val="00587333"/>
    <w:rsid w:val="005B1189"/>
    <w:rsid w:val="005B7C6E"/>
    <w:rsid w:val="005C0EA1"/>
    <w:rsid w:val="005C5B29"/>
    <w:rsid w:val="005D52E9"/>
    <w:rsid w:val="005E3FA1"/>
    <w:rsid w:val="005E457D"/>
    <w:rsid w:val="005F5364"/>
    <w:rsid w:val="00623E16"/>
    <w:rsid w:val="00636FDE"/>
    <w:rsid w:val="006915CF"/>
    <w:rsid w:val="006A757A"/>
    <w:rsid w:val="006D096C"/>
    <w:rsid w:val="007058B2"/>
    <w:rsid w:val="00707B6F"/>
    <w:rsid w:val="007522A9"/>
    <w:rsid w:val="00795588"/>
    <w:rsid w:val="007D1066"/>
    <w:rsid w:val="0081195C"/>
    <w:rsid w:val="00814853"/>
    <w:rsid w:val="008170F9"/>
    <w:rsid w:val="00817509"/>
    <w:rsid w:val="00851271"/>
    <w:rsid w:val="00863C2B"/>
    <w:rsid w:val="008871BB"/>
    <w:rsid w:val="008906F4"/>
    <w:rsid w:val="00891E37"/>
    <w:rsid w:val="008A0FE4"/>
    <w:rsid w:val="008D3858"/>
    <w:rsid w:val="008E6F4D"/>
    <w:rsid w:val="00943AFF"/>
    <w:rsid w:val="00957CE9"/>
    <w:rsid w:val="009963A5"/>
    <w:rsid w:val="009C470F"/>
    <w:rsid w:val="00A1040E"/>
    <w:rsid w:val="00A17682"/>
    <w:rsid w:val="00A232F3"/>
    <w:rsid w:val="00A5123D"/>
    <w:rsid w:val="00A5769A"/>
    <w:rsid w:val="00A646CA"/>
    <w:rsid w:val="00B50495"/>
    <w:rsid w:val="00B65953"/>
    <w:rsid w:val="00BA27BD"/>
    <w:rsid w:val="00C02078"/>
    <w:rsid w:val="00C14A33"/>
    <w:rsid w:val="00C46AB2"/>
    <w:rsid w:val="00CA535E"/>
    <w:rsid w:val="00CB345C"/>
    <w:rsid w:val="00CB4A5D"/>
    <w:rsid w:val="00CC7D6D"/>
    <w:rsid w:val="00CF3DBE"/>
    <w:rsid w:val="00D03D1E"/>
    <w:rsid w:val="00D441B6"/>
    <w:rsid w:val="00D47BB7"/>
    <w:rsid w:val="00D61C41"/>
    <w:rsid w:val="00D62E63"/>
    <w:rsid w:val="00D64A65"/>
    <w:rsid w:val="00D72476"/>
    <w:rsid w:val="00DA5E4C"/>
    <w:rsid w:val="00DD0472"/>
    <w:rsid w:val="00E83FDB"/>
    <w:rsid w:val="00E84723"/>
    <w:rsid w:val="00EB414F"/>
    <w:rsid w:val="00EF658A"/>
    <w:rsid w:val="00F1220C"/>
    <w:rsid w:val="00F3613B"/>
    <w:rsid w:val="00F53B27"/>
    <w:rsid w:val="00FD364C"/>
    <w:rsid w:val="00FF060E"/>
    <w:rsid w:val="00FF6BBD"/>
    <w:rsid w:val="2FA63C69"/>
    <w:rsid w:val="31E4216D"/>
    <w:rsid w:val="43E816C5"/>
    <w:rsid w:val="618B3B61"/>
    <w:rsid w:val="7435333D"/>
    <w:rsid w:val="77FF8855"/>
    <w:rsid w:val="AFFFACFF"/>
    <w:rsid w:val="B996AF11"/>
    <w:rsid w:val="FEFEC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rFonts w:eastAsia="黑体"/>
      <w:b/>
      <w:bCs/>
      <w:kern w:val="44"/>
      <w:sz w:val="32"/>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19"/>
    <w:qFormat/>
    <w:uiPriority w:val="0"/>
    <w:pPr>
      <w:spacing w:after="140" w:line="276" w:lineRule="auto"/>
    </w:pPr>
    <w:rPr>
      <w:rFonts w:ascii="Calibri" w:hAnsi="Calibri" w:eastAsia="宋体" w:cs="Times New Roman"/>
      <w:szCs w:val="24"/>
    </w:rPr>
  </w:style>
  <w:style w:type="paragraph" w:customStyle="1" w:styleId="5">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6">
    <w:name w:val="footer"/>
    <w:basedOn w:val="1"/>
    <w:link w:val="14"/>
    <w:unhideWhenUsed/>
    <w:qFormat/>
    <w:uiPriority w:val="99"/>
    <w:pPr>
      <w:tabs>
        <w:tab w:val="center" w:pos="4513"/>
        <w:tab w:val="right" w:pos="902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513"/>
        <w:tab w:val="right" w:pos="902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ascii="Times New Roman" w:hAnsi="Times New Roman" w:eastAsia="宋体" w:cs="Times New Roman"/>
      <w:sz w:val="32"/>
    </w:rPr>
  </w:style>
  <w:style w:type="character" w:styleId="11">
    <w:name w:val="Strong"/>
    <w:basedOn w:val="10"/>
    <w:qFormat/>
    <w:uiPriority w:val="22"/>
    <w:rPr>
      <w:b/>
      <w:bCs/>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页眉 字符"/>
    <w:basedOn w:val="10"/>
    <w:link w:val="7"/>
    <w:qFormat/>
    <w:uiPriority w:val="0"/>
    <w:rPr>
      <w:sz w:val="18"/>
      <w:szCs w:val="18"/>
    </w:rPr>
  </w:style>
  <w:style w:type="character" w:customStyle="1" w:styleId="14">
    <w:name w:val="页脚 字符"/>
    <w:basedOn w:val="10"/>
    <w:link w:val="6"/>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Unresolved Mention"/>
    <w:basedOn w:val="10"/>
    <w:semiHidden/>
    <w:unhideWhenUsed/>
    <w:qFormat/>
    <w:uiPriority w:val="99"/>
    <w:rPr>
      <w:color w:val="605E5C"/>
      <w:shd w:val="clear" w:color="auto" w:fill="E1DFDD"/>
    </w:rPr>
  </w:style>
  <w:style w:type="character" w:customStyle="1" w:styleId="17">
    <w:name w:val="font61"/>
    <w:basedOn w:val="10"/>
    <w:qFormat/>
    <w:uiPriority w:val="0"/>
    <w:rPr>
      <w:rFonts w:hint="eastAsia" w:ascii="宋体" w:hAnsi="宋体" w:eastAsia="宋体" w:cs="宋体"/>
      <w:color w:val="000000"/>
      <w:sz w:val="24"/>
      <w:szCs w:val="24"/>
      <w:u w:val="none"/>
    </w:rPr>
  </w:style>
  <w:style w:type="character" w:customStyle="1" w:styleId="18">
    <w:name w:val="font31"/>
    <w:basedOn w:val="10"/>
    <w:qFormat/>
    <w:uiPriority w:val="0"/>
    <w:rPr>
      <w:rFonts w:hint="default" w:ascii="Times New Roman" w:hAnsi="Times New Roman" w:cs="Times New Roman"/>
      <w:color w:val="000000"/>
      <w:sz w:val="24"/>
      <w:szCs w:val="24"/>
      <w:u w:val="none"/>
    </w:rPr>
  </w:style>
  <w:style w:type="character" w:customStyle="1" w:styleId="19">
    <w:name w:val="正文文本 字符"/>
    <w:basedOn w:val="10"/>
    <w:link w:val="4"/>
    <w:qFormat/>
    <w:uiPriority w:val="0"/>
    <w:rPr>
      <w:rFonts w:ascii="Calibri" w:hAnsi="Calibri" w:eastAsia="宋体" w:cs="Times New Roman"/>
      <w:szCs w:val="24"/>
    </w:rPr>
  </w:style>
  <w:style w:type="character" w:customStyle="1" w:styleId="20">
    <w:name w:val="标题 1 字符"/>
    <w:basedOn w:val="10"/>
    <w:link w:val="2"/>
    <w:qFormat/>
    <w:uiPriority w:val="9"/>
    <w:rPr>
      <w:rFonts w:eastAsia="黑体"/>
      <w:b/>
      <w:bCs/>
      <w:kern w:val="44"/>
      <w:sz w:val="32"/>
      <w:szCs w:val="44"/>
    </w:rPr>
  </w:style>
  <w:style w:type="paragraph" w:styleId="2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2">
    <w:name w:val="标题 2 字符"/>
    <w:basedOn w:val="10"/>
    <w:link w:val="3"/>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1083</Words>
  <Characters>1219</Characters>
  <Lines>8</Lines>
  <Paragraphs>2</Paragraphs>
  <TotalTime>0</TotalTime>
  <ScaleCrop>false</ScaleCrop>
  <LinksUpToDate>false</LinksUpToDate>
  <CharactersWithSpaces>1219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2024-02-19T14:29:00Z</dcterms:created>
  <dc:creator>Connie Ye/CHN</dc:creator>
  <cp:lastModifiedBy>BDA</cp:lastModifiedBy>
  <dcterms:modified xsi:type="dcterms:W3CDTF">2025-09-18T15:54:00Z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23E37659C5C9CABC6D19D3656A5D737C</vt:lpwstr>
  </property>
  <property fmtid="{D5CDD505-2E9C-101B-9397-08002B2CF9AE}" pid="4" name="KSOTemplateDocerSaveRecord">
    <vt:lpwstr>eyJoZGlkIjoiYmMwMjAwZmU0MjI4MzQzMWEyZmQ1ZDhlMzBkMzRmNzMiLCJ1c2VySWQiOiI1NzIxMjEwNzMifQ==</vt:lpwstr>
  </property>
</Properties>
</file>