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spacing w:val="15"/>
          <w:kern w:val="0"/>
          <w:sz w:val="32"/>
          <w:szCs w:val="32"/>
          <w:shd w:val="clear" w:color="auto" w:fill="FFFFFF"/>
        </w:rPr>
      </w:pPr>
      <w:r>
        <w:rPr>
          <w:rFonts w:hint="eastAsia" w:ascii="黑体" w:hAnsi="黑体" w:eastAsia="黑体" w:cs="黑体"/>
          <w:spacing w:val="15"/>
          <w:kern w:val="0"/>
          <w:sz w:val="32"/>
          <w:szCs w:val="32"/>
          <w:shd w:val="clear" w:color="auto" w:fill="FFFFFF"/>
        </w:rPr>
        <w:t>附件1</w:t>
      </w:r>
    </w:p>
    <w:p>
      <w:pPr>
        <w:spacing w:line="560" w:lineRule="exact"/>
        <w:jc w:val="left"/>
        <w:outlineLvl w:val="9"/>
        <w:rPr>
          <w:rFonts w:ascii="方正小标宋简体" w:hAnsi="方正小标宋简体" w:eastAsia="黑体" w:cs="方正小标宋简体"/>
          <w:sz w:val="44"/>
          <w:szCs w:val="44"/>
        </w:rPr>
      </w:pP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首店开设支持办事指南</w:t>
      </w:r>
    </w:p>
    <w:p>
      <w:pPr>
        <w:spacing w:line="560" w:lineRule="exact"/>
        <w:jc w:val="center"/>
        <w:outlineLvl w:val="9"/>
        <w:rPr>
          <w:rFonts w:ascii="方正小标宋简体" w:hAnsi="方正小标宋简体" w:eastAsia="方正小标宋简体" w:cs="方正小标宋简体"/>
          <w:sz w:val="44"/>
          <w:szCs w:val="44"/>
        </w:rPr>
      </w:pP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w:t>
      </w:r>
      <w:r>
        <w:rPr>
          <w:rFonts w:ascii="仿宋_GB2312" w:hAnsi="仿宋_GB2312" w:eastAsia="仿宋_GB2312" w:cs="仿宋_GB2312"/>
          <w:sz w:val="32"/>
          <w:szCs w:val="32"/>
        </w:rPr>
        <w:t>京技管发〔2023〕17号</w:t>
      </w:r>
      <w:r>
        <w:rPr>
          <w:rFonts w:hint="eastAsia" w:ascii="仿宋_GB2312" w:hAnsi="仿宋_GB2312" w:eastAsia="仿宋_GB2312" w:cs="仿宋_GB2312"/>
          <w:sz w:val="32"/>
          <w:szCs w:val="32"/>
        </w:rPr>
        <w:t>）第五条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首店开设支持。</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二、事项名称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首店开设支持</w:t>
      </w:r>
      <w:bookmarkStart w:id="2" w:name="_GoBack"/>
      <w:bookmarkEnd w:id="2"/>
    </w:p>
    <w:p>
      <w:pPr>
        <w:spacing w:line="560" w:lineRule="exact"/>
        <w:ind w:firstLine="640" w:firstLineChars="200"/>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三、支持</w:t>
      </w:r>
      <w:r>
        <w:rPr>
          <w:rFonts w:hint="eastAsia" w:ascii="黑体" w:hAnsi="黑体" w:eastAsia="黑体" w:cs="黑体"/>
          <w:bCs/>
          <w:color w:val="000000"/>
          <w:kern w:val="0"/>
          <w:sz w:val="32"/>
          <w:szCs w:val="32"/>
          <w:lang w:eastAsia="zh-CN"/>
        </w:rPr>
        <w:t>条件</w:t>
      </w:r>
    </w:p>
    <w:p>
      <w:pPr>
        <w:pStyle w:val="15"/>
        <w:numPr>
          <w:ilvl w:val="0"/>
          <w:numId w:val="0"/>
        </w:numPr>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pPr>
        <w:pStyle w:val="15"/>
        <w:numPr>
          <w:ilvl w:val="0"/>
          <w:numId w:val="0"/>
        </w:numPr>
        <w:spacing w:line="560" w:lineRule="exact"/>
        <w:ind w:left="0" w:lef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pPr>
        <w:numPr>
          <w:ilvl w:val="0"/>
          <w:numId w:val="0"/>
        </w:num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eastAsia="zh-CN"/>
        </w:rPr>
        <w:t>支持主体次年商品零售额或餐饮收入同比增幅不低于经开区社会消费品零售总额全年目标增速。</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）支持项目应为</w:t>
      </w:r>
      <w:r>
        <w:rPr>
          <w:rFonts w:hint="eastAsia" w:ascii="仿宋_GB2312" w:hAnsi="仿宋_GB2312" w:eastAsia="仿宋_GB2312" w:cs="仿宋_GB2312"/>
          <w:sz w:val="32"/>
          <w:szCs w:val="32"/>
        </w:rPr>
        <w:t>在经开区开设的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经市级认定为首店并获得市级首店政策资金支持的亚洲首店、中国（内地）首店、北京首店、旗舰店、创新概念店</w:t>
      </w:r>
      <w:r>
        <w:rPr>
          <w:rFonts w:hint="eastAsia" w:ascii="仿宋_GB2312" w:hAnsi="仿宋_GB2312" w:eastAsia="仿宋_GB2312" w:cs="仿宋_GB2312"/>
          <w:sz w:val="32"/>
          <w:szCs w:val="32"/>
          <w:lang w:eastAsia="zh-CN"/>
        </w:rPr>
        <w:t>。</w:t>
      </w:r>
    </w:p>
    <w:p>
      <w:pPr>
        <w:numPr>
          <w:ilvl w:val="255"/>
          <w:numId w:val="0"/>
        </w:numPr>
        <w:spacing w:line="560" w:lineRule="exact"/>
        <w:ind w:firstLine="627" w:firstLineChars="196"/>
        <w:jc w:val="both"/>
        <w:rPr>
          <w:rFonts w:hint="eastAsia" w:ascii="仿宋_GB2312" w:hAnsi="仿宋_GB2312" w:eastAsia="仿宋_GB2312" w:cs="仿宋_GB2312"/>
          <w:sz w:val="32"/>
          <w:szCs w:val="32"/>
        </w:rPr>
      </w:pPr>
      <w:r>
        <w:rPr>
          <w:rFonts w:hint="eastAsia" w:ascii="仿宋_GB2312" w:hAnsi="楷体" w:eastAsia="仿宋_GB2312" w:cs="仿宋_GB2312"/>
          <w:sz w:val="32"/>
          <w:szCs w:val="32"/>
        </w:rPr>
        <w:t>（</w:t>
      </w:r>
      <w:r>
        <w:rPr>
          <w:rFonts w:hint="eastAsia" w:ascii="仿宋_GB2312" w:hAnsi="楷体" w:eastAsia="仿宋_GB2312" w:cs="仿宋_GB2312"/>
          <w:sz w:val="32"/>
          <w:szCs w:val="32"/>
          <w:lang w:val="en-US" w:eastAsia="zh-CN"/>
        </w:rPr>
        <w:t>五</w:t>
      </w:r>
      <w:r>
        <w:rPr>
          <w:rFonts w:hint="eastAsia" w:ascii="仿宋_GB2312" w:hAnsi="楷体" w:eastAsia="仿宋_GB2312" w:cs="仿宋_GB2312"/>
          <w:sz w:val="32"/>
          <w:szCs w:val="32"/>
        </w:rPr>
        <w:t>）</w:t>
      </w:r>
      <w:r>
        <w:rPr>
          <w:rFonts w:hint="eastAsia" w:ascii="仿宋_GB2312" w:hAnsi="仿宋" w:eastAsia="仿宋_GB2312"/>
          <w:color w:val="000000"/>
          <w:spacing w:val="-6"/>
          <w:sz w:val="32"/>
          <w:szCs w:val="32"/>
          <w:highlight w:val="none"/>
        </w:rPr>
        <w:t>支持项目</w:t>
      </w:r>
      <w:r>
        <w:rPr>
          <w:rFonts w:hint="eastAsia" w:ascii="仿宋_GB2312" w:hAnsi="华文仿宋" w:eastAsia="仿宋_GB2312"/>
          <w:color w:val="000000"/>
          <w:sz w:val="32"/>
          <w:szCs w:val="32"/>
          <w:highlight w:val="none"/>
          <w:lang w:eastAsia="zh-CN"/>
        </w:rPr>
        <w:t>应在北京市商务局</w:t>
      </w:r>
      <w:r>
        <w:rPr>
          <w:rFonts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ascii="仿宋_GB2312" w:hAnsi="华文仿宋" w:eastAsia="仿宋_GB2312"/>
          <w:color w:val="000000"/>
          <w:sz w:val="32"/>
          <w:szCs w:val="32"/>
          <w:highlight w:val="none"/>
        </w:rPr>
        <w:t>年</w:t>
      </w:r>
      <w:r>
        <w:rPr>
          <w:rFonts w:hint="eastAsia" w:ascii="仿宋_GB2312" w:hAnsi="华文仿宋" w:eastAsia="仿宋_GB2312"/>
          <w:color w:val="000000"/>
          <w:sz w:val="32"/>
          <w:szCs w:val="32"/>
          <w:highlight w:val="none"/>
        </w:rPr>
        <w:t>1</w:t>
      </w:r>
      <w:r>
        <w:rPr>
          <w:rFonts w:ascii="仿宋_GB2312" w:hAnsi="华文仿宋" w:eastAsia="仿宋_GB2312"/>
          <w:color w:val="000000"/>
          <w:sz w:val="32"/>
          <w:szCs w:val="32"/>
          <w:highlight w:val="none"/>
        </w:rPr>
        <w:t>月1日</w:t>
      </w:r>
      <w:r>
        <w:rPr>
          <w:rFonts w:hint="eastAsia" w:ascii="仿宋_GB2312" w:hAnsi="华文仿宋" w:eastAsia="仿宋_GB2312"/>
          <w:color w:val="000000"/>
          <w:sz w:val="32"/>
          <w:szCs w:val="32"/>
          <w:highlight w:val="none"/>
          <w:lang w:val="en-US" w:eastAsia="zh-CN"/>
        </w:rPr>
        <w:t>至</w:t>
      </w:r>
      <w:r>
        <w:rPr>
          <w:rFonts w:hint="eastAsia"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hint="eastAsia" w:ascii="仿宋_GB2312" w:hAnsi="华文仿宋" w:eastAsia="仿宋_GB2312"/>
          <w:color w:val="000000"/>
          <w:sz w:val="32"/>
          <w:szCs w:val="32"/>
          <w:highlight w:val="none"/>
        </w:rPr>
        <w:t>年12月</w:t>
      </w:r>
      <w:r>
        <w:rPr>
          <w:rFonts w:ascii="仿宋_GB2312" w:hAnsi="华文仿宋" w:eastAsia="仿宋_GB2312"/>
          <w:color w:val="000000"/>
          <w:sz w:val="32"/>
          <w:szCs w:val="32"/>
          <w:highlight w:val="none"/>
        </w:rPr>
        <w:t>31</w:t>
      </w:r>
      <w:r>
        <w:rPr>
          <w:rFonts w:hint="eastAsia" w:ascii="仿宋_GB2312" w:hAnsi="华文仿宋" w:eastAsia="仿宋_GB2312"/>
          <w:color w:val="000000"/>
          <w:sz w:val="32"/>
          <w:szCs w:val="32"/>
          <w:highlight w:val="none"/>
        </w:rPr>
        <w:t>日</w:t>
      </w:r>
      <w:r>
        <w:rPr>
          <w:rFonts w:hint="eastAsia" w:ascii="仿宋_GB2312" w:hAnsi="华文仿宋" w:eastAsia="仿宋_GB2312"/>
          <w:color w:val="000000"/>
          <w:sz w:val="32"/>
          <w:szCs w:val="32"/>
          <w:highlight w:val="none"/>
          <w:lang w:eastAsia="zh-CN"/>
        </w:rPr>
        <w:t>期间</w:t>
      </w:r>
      <w:r>
        <w:rPr>
          <w:rFonts w:hint="eastAsia" w:ascii="仿宋_GB2312" w:hAnsi="华文仿宋" w:eastAsia="仿宋_GB2312"/>
          <w:color w:val="000000"/>
          <w:sz w:val="32"/>
          <w:szCs w:val="32"/>
          <w:highlight w:val="none"/>
        </w:rPr>
        <w:t>公布的</w:t>
      </w:r>
      <w:r>
        <w:rPr>
          <w:rFonts w:hint="eastAsia" w:ascii="仿宋_GB2312" w:hAnsi="华文仿宋" w:eastAsia="仿宋_GB2312"/>
          <w:color w:val="000000"/>
          <w:sz w:val="32"/>
          <w:szCs w:val="32"/>
          <w:highlight w:val="none"/>
          <w:lang w:val="en-US" w:eastAsia="zh-CN"/>
        </w:rPr>
        <w:t>鼓励发展商业品牌首店首发项目名单中</w:t>
      </w:r>
      <w:r>
        <w:rPr>
          <w:rFonts w:ascii="仿宋_GB2312" w:hAnsi="华文仿宋" w:eastAsia="仿宋_GB2312"/>
          <w:color w:val="000000"/>
          <w:sz w:val="32"/>
          <w:szCs w:val="32"/>
          <w:highlight w:val="none"/>
        </w:rPr>
        <w:t>。</w:t>
      </w:r>
    </w:p>
    <w:p>
      <w:pPr>
        <w:spacing w:line="560" w:lineRule="exact"/>
        <w:ind w:firstLine="640" w:firstLineChars="200"/>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四、</w:t>
      </w:r>
      <w:r>
        <w:rPr>
          <w:rFonts w:hint="eastAsia" w:ascii="黑体" w:hAnsi="黑体" w:eastAsia="黑体" w:cs="黑体"/>
          <w:bCs/>
          <w:color w:val="000000"/>
          <w:kern w:val="0"/>
          <w:sz w:val="32"/>
          <w:szCs w:val="32"/>
          <w:lang w:eastAsia="zh-CN"/>
        </w:rPr>
        <w:t>支持内容及标准</w:t>
      </w:r>
    </w:p>
    <w:p>
      <w:pPr>
        <w:numPr>
          <w:ilvl w:val="255"/>
          <w:numId w:val="0"/>
        </w:numPr>
        <w:spacing w:line="560" w:lineRule="exact"/>
        <w:ind w:firstLine="603" w:firstLineChars="196"/>
        <w:jc w:val="both"/>
        <w:rPr>
          <w:rFonts w:hint="eastAsia"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highlight w:val="none"/>
          <w:lang w:eastAsia="zh-CN"/>
        </w:rPr>
        <w:t>符合支持条件的，</w:t>
      </w:r>
      <w:r>
        <w:rPr>
          <w:rFonts w:hint="eastAsia" w:ascii="仿宋_GB2312" w:hAnsi="仿宋" w:eastAsia="仿宋_GB2312"/>
          <w:color w:val="000000"/>
          <w:spacing w:val="-6"/>
          <w:sz w:val="32"/>
          <w:szCs w:val="32"/>
          <w:highlight w:val="none"/>
        </w:rPr>
        <w:t>根据市级支持额度，按照1：0.5比例予以资金支持，零售领域单个首店最高支持250万元，餐饮领域单个首店最高支持25万元。</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企业无需提交申报材料。</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六、办事流程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eastAsia="仿宋_GB2312" w:cs="仿宋_GB2312"/>
          <w:sz w:val="32"/>
          <w:szCs w:val="32"/>
        </w:rPr>
      </w:pPr>
      <w:r>
        <w:rPr>
          <w:rFonts w:hint="eastAsia" w:eastAsia="仿宋_GB2312" w:cs="仿宋_GB2312"/>
          <w:b/>
          <w:bCs/>
          <w:sz w:val="32"/>
          <w:szCs w:val="32"/>
        </w:rPr>
        <w:t>（一）收集支持项目清单：</w:t>
      </w:r>
      <w:r>
        <w:rPr>
          <w:rFonts w:hint="eastAsia" w:eastAsia="仿宋_GB2312" w:cs="仿宋_GB2312"/>
          <w:sz w:val="32"/>
          <w:szCs w:val="32"/>
        </w:rPr>
        <w:t>经开区商务金融局依据支持内容及标准，</w:t>
      </w:r>
      <w:r>
        <w:rPr>
          <w:rFonts w:hint="eastAsia" w:ascii="仿宋_GB2312" w:hAnsi="等线" w:eastAsia="仿宋_GB2312" w:cs="Times New Roman"/>
          <w:sz w:val="32"/>
          <w:szCs w:val="32"/>
        </w:rPr>
        <w:t>通过北京市</w:t>
      </w:r>
      <w:r>
        <w:rPr>
          <w:rFonts w:hint="eastAsia" w:ascii="仿宋_GB2312" w:hAnsi="等线" w:eastAsia="仿宋_GB2312" w:cs="Times New Roman"/>
          <w:sz w:val="32"/>
          <w:szCs w:val="32"/>
          <w:lang w:eastAsia="zh-CN"/>
        </w:rPr>
        <w:t>商务</w:t>
      </w:r>
      <w:r>
        <w:rPr>
          <w:rFonts w:hint="eastAsia" w:ascii="仿宋_GB2312" w:hAnsi="等线" w:eastAsia="仿宋_GB2312" w:cs="Times New Roman"/>
          <w:sz w:val="32"/>
          <w:szCs w:val="32"/>
        </w:rPr>
        <w:t>局网站查询</w:t>
      </w:r>
      <w:r>
        <w:rPr>
          <w:rFonts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4</w:t>
      </w:r>
      <w:r>
        <w:rPr>
          <w:rFonts w:ascii="仿宋_GB2312" w:hAnsi="华文仿宋" w:eastAsia="仿宋_GB2312"/>
          <w:color w:val="000000"/>
          <w:sz w:val="32"/>
          <w:szCs w:val="32"/>
        </w:rPr>
        <w:t>年</w:t>
      </w:r>
      <w:r>
        <w:rPr>
          <w:rFonts w:hint="eastAsia" w:ascii="仿宋_GB2312" w:hAnsi="华文仿宋" w:eastAsia="仿宋_GB2312"/>
          <w:color w:val="000000"/>
          <w:sz w:val="32"/>
          <w:szCs w:val="32"/>
        </w:rPr>
        <w:t>1</w:t>
      </w:r>
      <w:r>
        <w:rPr>
          <w:rFonts w:ascii="仿宋_GB2312" w:hAnsi="华文仿宋" w:eastAsia="仿宋_GB2312"/>
          <w:color w:val="000000"/>
          <w:sz w:val="32"/>
          <w:szCs w:val="32"/>
        </w:rPr>
        <w:t>月1日</w:t>
      </w:r>
      <w:r>
        <w:rPr>
          <w:rFonts w:hint="eastAsia" w:ascii="仿宋_GB2312" w:hAnsi="华文仿宋" w:eastAsia="仿宋_GB2312"/>
          <w:color w:val="000000"/>
          <w:sz w:val="32"/>
          <w:szCs w:val="32"/>
          <w:lang w:val="en-US" w:eastAsia="zh-CN"/>
        </w:rPr>
        <w:t>至</w:t>
      </w: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年12月</w:t>
      </w:r>
      <w:r>
        <w:rPr>
          <w:rFonts w:ascii="仿宋_GB2312" w:hAnsi="华文仿宋" w:eastAsia="仿宋_GB2312"/>
          <w:color w:val="000000"/>
          <w:sz w:val="32"/>
          <w:szCs w:val="32"/>
        </w:rPr>
        <w:t>31</w:t>
      </w:r>
      <w:r>
        <w:rPr>
          <w:rFonts w:hint="eastAsia" w:ascii="仿宋_GB2312" w:hAnsi="华文仿宋" w:eastAsia="仿宋_GB2312"/>
          <w:color w:val="000000"/>
          <w:sz w:val="32"/>
          <w:szCs w:val="32"/>
        </w:rPr>
        <w:t>日期间公布的</w:t>
      </w:r>
      <w:r>
        <w:rPr>
          <w:rFonts w:hint="eastAsia" w:ascii="仿宋_GB2312" w:hAnsi="华文仿宋" w:eastAsia="仿宋_GB2312"/>
          <w:color w:val="000000"/>
          <w:sz w:val="32"/>
          <w:szCs w:val="32"/>
          <w:highlight w:val="none"/>
          <w:lang w:val="en-US" w:eastAsia="zh-CN"/>
        </w:rPr>
        <w:t>鼓励发展商业品牌首店首发项目</w:t>
      </w:r>
      <w:r>
        <w:rPr>
          <w:rFonts w:hint="eastAsia" w:eastAsia="仿宋_GB2312" w:cs="仿宋_GB2312"/>
          <w:sz w:val="32"/>
          <w:szCs w:val="32"/>
        </w:rPr>
        <w:t>，形成初步项目清单。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eastAsia="仿宋_GB2312" w:cs="仿宋_GB2312"/>
          <w:sz w:val="32"/>
          <w:szCs w:val="32"/>
        </w:rPr>
      </w:pPr>
      <w:r>
        <w:rPr>
          <w:rFonts w:hint="eastAsia" w:eastAsia="仿宋_GB2312" w:cs="仿宋_GB2312"/>
          <w:b/>
          <w:bCs/>
          <w:sz w:val="32"/>
          <w:szCs w:val="32"/>
        </w:rPr>
        <w:t>（二）政策符合性审查：</w:t>
      </w:r>
      <w:r>
        <w:rPr>
          <w:rFonts w:hint="eastAsia" w:eastAsia="仿宋_GB2312" w:cs="仿宋_GB2312"/>
          <w:sz w:val="32"/>
          <w:szCs w:val="32"/>
        </w:rPr>
        <w:t>经开区商务金融局会同相关主管部门，根据措施要求以及经开区管委会政策兑现相关规定，对清单中的项目进行审查。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eastAsia="仿宋_GB2312" w:cs="仿宋_GB2312"/>
          <w:sz w:val="32"/>
          <w:szCs w:val="32"/>
        </w:rPr>
      </w:pPr>
      <w:r>
        <w:rPr>
          <w:rFonts w:hint="eastAsia" w:eastAsia="仿宋_GB2312" w:cs="仿宋_GB2312"/>
          <w:b/>
          <w:bCs/>
          <w:sz w:val="32"/>
          <w:szCs w:val="32"/>
        </w:rPr>
        <w:t>（三）确定支持结果：</w:t>
      </w:r>
      <w:r>
        <w:rPr>
          <w:rFonts w:hint="eastAsia" w:ascii="仿宋_GB2312" w:hAnsi="仿宋_GB2312" w:eastAsia="仿宋_GB2312" w:cs="仿宋_GB2312"/>
          <w:color w:val="000000"/>
          <w:sz w:val="32"/>
          <w:szCs w:val="32"/>
          <w:highlight w:val="none"/>
        </w:rPr>
        <w:t>经开区</w:t>
      </w:r>
      <w:r>
        <w:rPr>
          <w:rFonts w:hint="eastAsia" w:ascii="仿宋_GB2312" w:hAnsi="仿宋_GB2312" w:eastAsia="仿宋_GB2312" w:cs="仿宋_GB2312"/>
          <w:color w:val="000000"/>
          <w:sz w:val="32"/>
          <w:szCs w:val="32"/>
          <w:highlight w:val="none"/>
          <w:lang w:eastAsia="zh-CN"/>
        </w:rPr>
        <w:t>商务金融</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kern w:val="2"/>
          <w:sz w:val="32"/>
          <w:szCs w:val="32"/>
          <w:highlight w:val="none"/>
        </w:rPr>
        <w:t>对审核通过的申报主体拟定兑现扶持奖励金额</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eastAsia="仿宋_GB2312" w:cs="仿宋_GB2312"/>
          <w:sz w:val="32"/>
          <w:szCs w:val="32"/>
        </w:rPr>
      </w:pPr>
      <w:r>
        <w:rPr>
          <w:rFonts w:hint="eastAsia" w:eastAsia="仿宋_GB2312" w:cs="仿宋_GB2312"/>
          <w:b/>
          <w:bCs/>
          <w:sz w:val="32"/>
          <w:szCs w:val="32"/>
        </w:rPr>
        <w:t>（四）公示：</w:t>
      </w:r>
      <w:r>
        <w:rPr>
          <w:rFonts w:hint="eastAsia" w:eastAsia="仿宋_GB2312" w:cs="仿宋_GB2312"/>
          <w:sz w:val="32"/>
          <w:szCs w:val="32"/>
        </w:rPr>
        <w:t>经开区商务金融局通过政策兑现综合服务平台对审核通过的支持主体进行公示。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eastAsia="仿宋_GB2312" w:cs="仿宋_GB2312"/>
          <w:sz w:val="32"/>
          <w:szCs w:val="32"/>
        </w:rPr>
      </w:pPr>
      <w:r>
        <w:rPr>
          <w:rFonts w:hint="eastAsia" w:eastAsia="仿宋_GB2312" w:cs="仿宋_GB2312"/>
          <w:b/>
          <w:bCs/>
          <w:sz w:val="32"/>
          <w:szCs w:val="32"/>
        </w:rPr>
        <w:t>（五）确认账户信息：</w:t>
      </w:r>
      <w:r>
        <w:rPr>
          <w:rFonts w:hint="eastAsia" w:ascii="仿宋_GB2312" w:hAnsi="仿宋_GB2312" w:eastAsia="仿宋_GB2312" w:cs="仿宋_GB2312"/>
          <w:color w:val="000000"/>
          <w:sz w:val="32"/>
          <w:szCs w:val="32"/>
        </w:rPr>
        <w:t>经公示无异议的</w:t>
      </w:r>
      <w:r>
        <w:rPr>
          <w:rFonts w:hint="eastAsia" w:eastAsia="仿宋_GB2312" w:cs="仿宋_GB2312"/>
          <w:sz w:val="32"/>
          <w:szCs w:val="32"/>
        </w:rPr>
        <w:t>项目，通知企业上传承诺书及银行账户信息的盖章彩色扫描件。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eastAsia="仿宋_GB2312" w:cs="仿宋_GB2312"/>
          <w:szCs w:val="32"/>
        </w:rPr>
      </w:pPr>
      <w:r>
        <w:rPr>
          <w:rFonts w:hint="eastAsia" w:ascii="仿宋_GB2312" w:hAnsi="仿宋_GB2312" w:eastAsia="仿宋_GB2312" w:cs="仿宋_GB2312"/>
          <w:b/>
          <w:bCs/>
          <w:color w:val="000000"/>
          <w:szCs w:val="32"/>
        </w:rPr>
        <w:t>（六）资金拨付</w:t>
      </w:r>
      <w:r>
        <w:rPr>
          <w:rFonts w:hint="eastAsia" w:ascii="仿宋_GB2312" w:hAnsi="仿宋_GB2312" w:eastAsia="仿宋_GB2312" w:cs="仿宋_GB2312"/>
          <w:color w:val="000000"/>
          <w:szCs w:val="32"/>
        </w:rPr>
        <w:t>：确认无误的，完成资金拨付工作。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八、联系人及联系方式</w:t>
      </w:r>
    </w:p>
    <w:p>
      <w:pPr>
        <w:spacing w:line="560" w:lineRule="exact"/>
        <w:ind w:firstLine="629"/>
        <w:rPr>
          <w:rFonts w:ascii="仿宋_GB2312" w:hAnsi="仿宋_GB2312" w:eastAsia="仿宋_GB2312" w:cs="仿宋_GB2312"/>
          <w:sz w:val="32"/>
          <w:highlight w:val="none"/>
        </w:rPr>
      </w:pPr>
      <w:bookmarkStart w:id="0" w:name="_Hlk153491882"/>
      <w:r>
        <w:rPr>
          <w:rFonts w:hint="eastAsia" w:ascii="仿宋_GB2312" w:hAnsi="仿宋_GB2312" w:eastAsia="仿宋_GB2312" w:cs="仿宋_GB2312"/>
          <w:sz w:val="32"/>
          <w:highlight w:val="none"/>
        </w:rPr>
        <w:t>政策咨询：</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w:t>
      </w:r>
      <w:r>
        <w:rPr>
          <w:rFonts w:hint="eastAsia" w:eastAsia="仿宋_GB2312"/>
          <w:sz w:val="32"/>
          <w:szCs w:val="32"/>
          <w:highlight w:val="none"/>
        </w:rPr>
        <w:t>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工作日上午9:00—12:00，下午1:30—5:00。</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83508003</w:t>
      </w:r>
      <w:r>
        <w:rPr>
          <w:rFonts w:hint="eastAsia" w:ascii="仿宋_GB2312" w:hAnsi="仿宋_GB2312" w:eastAsia="仿宋_GB2312" w:cs="仿宋_GB2312"/>
          <w:sz w:val="32"/>
          <w:szCs w:val="32"/>
          <w:highlight w:val="none"/>
        </w:rPr>
        <w:t>，工作日上午9:00—12:00，下午2:00—6:00。</w:t>
      </w:r>
    </w:p>
    <w:p>
      <w:pPr>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83509638</w:t>
      </w:r>
      <w:r>
        <w:rPr>
          <w:rFonts w:hint="eastAsia" w:ascii="仿宋_GB2312" w:hAnsi="仿宋_GB2312" w:eastAsia="仿宋_GB2312" w:cs="仿宋_GB2312"/>
          <w:sz w:val="32"/>
          <w:szCs w:val="32"/>
          <w:highlight w:val="none"/>
        </w:rPr>
        <w:t>，工作日上午9:00—12:00，下午2:00—6:00。</w:t>
      </w:r>
    </w:p>
    <w:bookmarkEnd w:id="0"/>
    <w:p>
      <w:pPr>
        <w:spacing w:line="560" w:lineRule="exact"/>
        <w:ind w:firstLine="640" w:firstLineChars="200"/>
        <w:outlineLvl w:val="0"/>
        <w:rPr>
          <w:rFonts w:ascii="仿宋_GB2312" w:hAnsi="仿宋_GB2312" w:eastAsia="仿宋_GB2312" w:cs="仿宋_GB2312"/>
          <w:sz w:val="32"/>
          <w:szCs w:val="32"/>
          <w:highlight w:val="none"/>
        </w:rPr>
      </w:pPr>
      <w:bookmarkStart w:id="1" w:name="_Hlk153491814"/>
      <w:r>
        <w:rPr>
          <w:rFonts w:hint="eastAsia" w:ascii="黑体" w:hAnsi="黑体" w:eastAsia="黑体" w:cs="黑体"/>
          <w:sz w:val="32"/>
          <w:szCs w:val="32"/>
          <w:highlight w:val="none"/>
        </w:rPr>
        <w:t>九、收费标准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十、特别说明</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bookmarkEnd w:id="1"/>
    <w:p>
      <w:pPr>
        <w:spacing w:line="560" w:lineRule="exact"/>
        <w:ind w:firstLine="640" w:firstLineChars="200"/>
        <w:jc w:val="left"/>
        <w:rPr>
          <w:rFonts w:ascii="仿宋_GB2312" w:eastAsia="仿宋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等线">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F4"/>
    <w:rsid w:val="00001E3F"/>
    <w:rsid w:val="00024950"/>
    <w:rsid w:val="00051D33"/>
    <w:rsid w:val="00074F9C"/>
    <w:rsid w:val="0008509A"/>
    <w:rsid w:val="00087005"/>
    <w:rsid w:val="00097BE2"/>
    <w:rsid w:val="00105CCF"/>
    <w:rsid w:val="001240CA"/>
    <w:rsid w:val="00141348"/>
    <w:rsid w:val="00170DDD"/>
    <w:rsid w:val="00171B67"/>
    <w:rsid w:val="00177097"/>
    <w:rsid w:val="00191ADE"/>
    <w:rsid w:val="001A1C31"/>
    <w:rsid w:val="00200271"/>
    <w:rsid w:val="00242834"/>
    <w:rsid w:val="002804C5"/>
    <w:rsid w:val="002857AF"/>
    <w:rsid w:val="00294456"/>
    <w:rsid w:val="002C4863"/>
    <w:rsid w:val="002D5036"/>
    <w:rsid w:val="002D7957"/>
    <w:rsid w:val="002E3B92"/>
    <w:rsid w:val="002E457F"/>
    <w:rsid w:val="00300C55"/>
    <w:rsid w:val="003375CA"/>
    <w:rsid w:val="003E5300"/>
    <w:rsid w:val="003F5352"/>
    <w:rsid w:val="00440E02"/>
    <w:rsid w:val="00445B7F"/>
    <w:rsid w:val="0046579E"/>
    <w:rsid w:val="00484469"/>
    <w:rsid w:val="004B2E90"/>
    <w:rsid w:val="004B3159"/>
    <w:rsid w:val="004B69F0"/>
    <w:rsid w:val="004C4B5A"/>
    <w:rsid w:val="00503393"/>
    <w:rsid w:val="0053084E"/>
    <w:rsid w:val="00565D37"/>
    <w:rsid w:val="00570B21"/>
    <w:rsid w:val="005800CC"/>
    <w:rsid w:val="005B1189"/>
    <w:rsid w:val="005B7C6E"/>
    <w:rsid w:val="005C0EA1"/>
    <w:rsid w:val="005C5B29"/>
    <w:rsid w:val="005D52E9"/>
    <w:rsid w:val="005E3FA1"/>
    <w:rsid w:val="005E457D"/>
    <w:rsid w:val="005F2FDB"/>
    <w:rsid w:val="005F5364"/>
    <w:rsid w:val="00617507"/>
    <w:rsid w:val="00623E16"/>
    <w:rsid w:val="00636FDE"/>
    <w:rsid w:val="006915CF"/>
    <w:rsid w:val="006A757A"/>
    <w:rsid w:val="006D096C"/>
    <w:rsid w:val="007058B2"/>
    <w:rsid w:val="007522A9"/>
    <w:rsid w:val="00795588"/>
    <w:rsid w:val="0079648A"/>
    <w:rsid w:val="007D1066"/>
    <w:rsid w:val="007D31CE"/>
    <w:rsid w:val="007F138D"/>
    <w:rsid w:val="0081195C"/>
    <w:rsid w:val="00814853"/>
    <w:rsid w:val="00817509"/>
    <w:rsid w:val="00851271"/>
    <w:rsid w:val="00863C2B"/>
    <w:rsid w:val="008871BB"/>
    <w:rsid w:val="008906F4"/>
    <w:rsid w:val="00891E37"/>
    <w:rsid w:val="008A0FE4"/>
    <w:rsid w:val="008D3858"/>
    <w:rsid w:val="008E6F4D"/>
    <w:rsid w:val="00943AFF"/>
    <w:rsid w:val="00956F0D"/>
    <w:rsid w:val="00957CE9"/>
    <w:rsid w:val="009963A5"/>
    <w:rsid w:val="009C470F"/>
    <w:rsid w:val="00A1040E"/>
    <w:rsid w:val="00A17682"/>
    <w:rsid w:val="00A232F3"/>
    <w:rsid w:val="00A5123D"/>
    <w:rsid w:val="00A5769A"/>
    <w:rsid w:val="00A646CA"/>
    <w:rsid w:val="00A7485D"/>
    <w:rsid w:val="00B50495"/>
    <w:rsid w:val="00B65953"/>
    <w:rsid w:val="00BA27BD"/>
    <w:rsid w:val="00BB1C98"/>
    <w:rsid w:val="00C02078"/>
    <w:rsid w:val="00C1398D"/>
    <w:rsid w:val="00C46AB2"/>
    <w:rsid w:val="00CA535E"/>
    <w:rsid w:val="00CB345C"/>
    <w:rsid w:val="00CB4A5D"/>
    <w:rsid w:val="00CC7D6D"/>
    <w:rsid w:val="00CD14AB"/>
    <w:rsid w:val="00CF3DBE"/>
    <w:rsid w:val="00D03D1E"/>
    <w:rsid w:val="00D441B6"/>
    <w:rsid w:val="00D47BB7"/>
    <w:rsid w:val="00D61C41"/>
    <w:rsid w:val="00D64A65"/>
    <w:rsid w:val="00D72476"/>
    <w:rsid w:val="00DA5E4C"/>
    <w:rsid w:val="00DD0472"/>
    <w:rsid w:val="00E62D15"/>
    <w:rsid w:val="00E83FDB"/>
    <w:rsid w:val="00E84723"/>
    <w:rsid w:val="00EB414F"/>
    <w:rsid w:val="00EF658A"/>
    <w:rsid w:val="00EF7CE7"/>
    <w:rsid w:val="00F0779D"/>
    <w:rsid w:val="00F1220C"/>
    <w:rsid w:val="00F3613B"/>
    <w:rsid w:val="00F53B27"/>
    <w:rsid w:val="00F66C7A"/>
    <w:rsid w:val="00FB08B7"/>
    <w:rsid w:val="00FB3B03"/>
    <w:rsid w:val="00FD364C"/>
    <w:rsid w:val="00FF060E"/>
    <w:rsid w:val="00FF6BBD"/>
    <w:rsid w:val="01EF572E"/>
    <w:rsid w:val="01F40F97"/>
    <w:rsid w:val="056C1CE4"/>
    <w:rsid w:val="077B3976"/>
    <w:rsid w:val="0BFF8AF0"/>
    <w:rsid w:val="14BD4A7C"/>
    <w:rsid w:val="230B6414"/>
    <w:rsid w:val="26993D37"/>
    <w:rsid w:val="2FB69E8E"/>
    <w:rsid w:val="3F5763DA"/>
    <w:rsid w:val="3F7E5EDF"/>
    <w:rsid w:val="3FFC45A9"/>
    <w:rsid w:val="47FFF81F"/>
    <w:rsid w:val="4BBD0D22"/>
    <w:rsid w:val="4C5E4F57"/>
    <w:rsid w:val="4E6855C9"/>
    <w:rsid w:val="57086B27"/>
    <w:rsid w:val="5A865B59"/>
    <w:rsid w:val="5AF78EAB"/>
    <w:rsid w:val="604A1623"/>
    <w:rsid w:val="61CF8E14"/>
    <w:rsid w:val="6A9C5EB7"/>
    <w:rsid w:val="70A703CB"/>
    <w:rsid w:val="71B5FD2C"/>
    <w:rsid w:val="7375655F"/>
    <w:rsid w:val="73D7975A"/>
    <w:rsid w:val="76F7E5CA"/>
    <w:rsid w:val="78D3EE72"/>
    <w:rsid w:val="7ABE58F8"/>
    <w:rsid w:val="7FE70389"/>
    <w:rsid w:val="7FE71797"/>
    <w:rsid w:val="8377261C"/>
    <w:rsid w:val="8B6E7736"/>
    <w:rsid w:val="8FBE9390"/>
    <w:rsid w:val="9CFFB057"/>
    <w:rsid w:val="9D7FC6EB"/>
    <w:rsid w:val="BF57E2DE"/>
    <w:rsid w:val="BFCE9657"/>
    <w:rsid w:val="D4DB376A"/>
    <w:rsid w:val="DBFEA893"/>
    <w:rsid w:val="DD9DFEE5"/>
    <w:rsid w:val="DE6F2F01"/>
    <w:rsid w:val="DEFF7CDC"/>
    <w:rsid w:val="E4CF83DF"/>
    <w:rsid w:val="E7EF9C68"/>
    <w:rsid w:val="EFEFFB5F"/>
    <w:rsid w:val="F6BB282F"/>
    <w:rsid w:val="FBBB286F"/>
    <w:rsid w:val="FBE7DE65"/>
    <w:rsid w:val="FEFF8061"/>
    <w:rsid w:val="FFBF97A9"/>
    <w:rsid w:val="FFF6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9"/>
    <w:qFormat/>
    <w:uiPriority w:val="0"/>
    <w:pPr>
      <w:spacing w:after="140" w:line="276" w:lineRule="auto"/>
    </w:pPr>
    <w:rPr>
      <w:rFonts w:ascii="Calibri" w:hAnsi="Calibri" w:eastAsia="宋体" w:cs="Times New Roman"/>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footer"/>
    <w:basedOn w:val="1"/>
    <w:link w:val="14"/>
    <w:unhideWhenUsed/>
    <w:qFormat/>
    <w:uiPriority w:val="99"/>
    <w:pPr>
      <w:tabs>
        <w:tab w:val="center" w:pos="4513"/>
        <w:tab w:val="right" w:pos="902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513"/>
        <w:tab w:val="right" w:pos="9026"/>
      </w:tabs>
      <w:snapToGrid w:val="0"/>
      <w:jc w:val="center"/>
    </w:pPr>
    <w:rPr>
      <w:sz w:val="18"/>
      <w:szCs w:val="18"/>
    </w:rPr>
  </w:style>
  <w:style w:type="paragraph" w:styleId="8">
    <w:name w:val="Normal (Web)"/>
    <w:basedOn w:val="1"/>
    <w:unhideWhenUsed/>
    <w:qFormat/>
    <w:uiPriority w:val="0"/>
    <w:pPr>
      <w:spacing w:before="100" w:beforeAutospacing="1" w:after="100" w:afterAutospacing="1"/>
    </w:pPr>
    <w:rPr>
      <w:rFonts w:ascii="Times New Roman" w:hAnsi="Times New Roman" w:eastAsia="宋体" w:cs="Times New Roman"/>
      <w:sz w:val="32"/>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0"/>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Unresolved Mention"/>
    <w:basedOn w:val="10"/>
    <w:semiHidden/>
    <w:unhideWhenUsed/>
    <w:qFormat/>
    <w:uiPriority w:val="99"/>
    <w:rPr>
      <w:color w:val="605E5C"/>
      <w:shd w:val="clear" w:color="auto" w:fill="E1DFDD"/>
    </w:rPr>
  </w:style>
  <w:style w:type="character" w:customStyle="1" w:styleId="17">
    <w:name w:val="font61"/>
    <w:basedOn w:val="10"/>
    <w:qFormat/>
    <w:uiPriority w:val="0"/>
    <w:rPr>
      <w:rFonts w:hint="eastAsia" w:ascii="宋体" w:hAnsi="宋体" w:eastAsia="宋体" w:cs="宋体"/>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4"/>
      <w:szCs w:val="24"/>
      <w:u w:val="none"/>
    </w:rPr>
  </w:style>
  <w:style w:type="character" w:customStyle="1" w:styleId="19">
    <w:name w:val="正文文本 字符"/>
    <w:basedOn w:val="10"/>
    <w:link w:val="4"/>
    <w:qFormat/>
    <w:uiPriority w:val="0"/>
    <w:rPr>
      <w:rFonts w:ascii="Calibri" w:hAnsi="Calibri" w:eastAsia="宋体" w:cs="Times New Roman"/>
      <w:szCs w:val="24"/>
    </w:rPr>
  </w:style>
  <w:style w:type="character" w:customStyle="1" w:styleId="20">
    <w:name w:val="标题 1 字符"/>
    <w:basedOn w:val="10"/>
    <w:link w:val="2"/>
    <w:qFormat/>
    <w:uiPriority w:val="9"/>
    <w:rPr>
      <w:rFonts w:eastAsia="黑体"/>
      <w:b/>
      <w:bCs/>
      <w:kern w:val="44"/>
      <w:sz w:val="32"/>
      <w:szCs w:val="44"/>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2 字符"/>
    <w:basedOn w:val="10"/>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903</Words>
  <Characters>1026</Characters>
  <Lines>8</Lines>
  <Paragraphs>2</Paragraphs>
  <TotalTime>193</TotalTime>
  <ScaleCrop>false</ScaleCrop>
  <LinksUpToDate>false</LinksUpToDate>
  <CharactersWithSpaces>1026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2024-02-20T14:29:00Z</dcterms:created>
  <dc:creator>Connie Ye/CHN</dc:creator>
  <cp:lastModifiedBy>BDA</cp:lastModifiedBy>
  <dcterms:modified xsi:type="dcterms:W3CDTF">2025-09-18T15:52:50Z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495883D4B49A4313470AD3656451C5B9</vt:lpwstr>
  </property>
  <property fmtid="{D5CDD505-2E9C-101B-9397-08002B2CF9AE}" pid="4" name="KSOTemplateDocerSaveRecord">
    <vt:lpwstr>eyJoZGlkIjoiYmMwMjAwZmU0MjI4MzQzMWEyZmQ1ZDhlMzBkMzRmNzMiLCJ1c2VySWQiOiI1NzIxMjEwNzMifQ==</vt:lpwstr>
  </property>
</Properties>
</file>