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03E4A">
      <w:pPr>
        <w:keepNext w:val="0"/>
        <w:keepLines w:val="0"/>
        <w:pageBreakBefore w:val="0"/>
        <w:kinsoku/>
        <w:wordWrap/>
        <w:overflowPunct/>
        <w:topLinePunct w:val="0"/>
        <w:autoSpaceDE/>
        <w:autoSpaceDN/>
        <w:bidi w:val="0"/>
        <w:spacing w:line="560" w:lineRule="exact"/>
        <w:jc w:val="left"/>
        <w:textAlignment w:val="auto"/>
        <w:outlineLvl w:val="0"/>
        <w:rPr>
          <w:rFonts w:hint="eastAsia" w:ascii="黑体" w:hAnsi="黑体" w:eastAsia="黑体" w:cs="黑体"/>
          <w:color w:val="333333"/>
          <w:spacing w:val="15"/>
          <w:kern w:val="0"/>
          <w:sz w:val="32"/>
          <w:szCs w:val="32"/>
          <w:highlight w:val="none"/>
          <w:shd w:val="clear" w:color="auto" w:fill="FFFFFF"/>
        </w:rPr>
      </w:pPr>
      <w:r>
        <w:rPr>
          <w:rFonts w:hint="eastAsia" w:ascii="黑体" w:hAnsi="黑体" w:eastAsia="黑体" w:cs="黑体"/>
          <w:color w:val="333333"/>
          <w:spacing w:val="15"/>
          <w:kern w:val="0"/>
          <w:sz w:val="32"/>
          <w:szCs w:val="32"/>
          <w:highlight w:val="none"/>
          <w:shd w:val="clear" w:color="auto" w:fill="FFFFFF"/>
        </w:rPr>
        <w:t>附件</w:t>
      </w:r>
      <w:r>
        <w:rPr>
          <w:rFonts w:hint="eastAsia" w:ascii="黑体" w:hAnsi="黑体" w:eastAsia="黑体" w:cs="黑体"/>
          <w:color w:val="333333"/>
          <w:spacing w:val="15"/>
          <w:kern w:val="0"/>
          <w:sz w:val="32"/>
          <w:szCs w:val="32"/>
          <w:highlight w:val="none"/>
          <w:shd w:val="clear" w:color="auto" w:fill="FFFFFF"/>
          <w:lang w:val="en-US" w:eastAsia="zh-CN"/>
        </w:rPr>
        <w:t>4</w:t>
      </w:r>
    </w:p>
    <w:p w14:paraId="0E20DDAC">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2025年实体书店活动组织</w:t>
      </w:r>
      <w:r>
        <w:rPr>
          <w:rFonts w:hint="eastAsia" w:ascii="方正小标宋简体" w:hAnsi="方正小标宋简体" w:eastAsia="方正小标宋简体" w:cs="方正小标宋简体"/>
          <w:sz w:val="44"/>
          <w:szCs w:val="44"/>
          <w:highlight w:val="none"/>
        </w:rPr>
        <w:t>奖励</w:t>
      </w:r>
    </w:p>
    <w:p w14:paraId="26487F9F">
      <w:pPr>
        <w:keepNext w:val="0"/>
        <w:keepLines w:val="0"/>
        <w:pageBreakBefore w:val="0"/>
        <w:kinsoku/>
        <w:wordWrap/>
        <w:overflowPunct/>
        <w:topLinePunct w:val="0"/>
        <w:autoSpaceDE/>
        <w:autoSpaceDN/>
        <w:bidi w:val="0"/>
        <w:spacing w:line="560" w:lineRule="exact"/>
        <w:jc w:val="center"/>
        <w:textAlignment w:val="auto"/>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办事指南</w:t>
      </w:r>
    </w:p>
    <w:p w14:paraId="787C5FA6">
      <w:pPr>
        <w:keepNext w:val="0"/>
        <w:keepLines w:val="0"/>
        <w:pageBreakBefore w:val="0"/>
        <w:kinsoku/>
        <w:wordWrap/>
        <w:overflowPunct/>
        <w:topLinePunct w:val="0"/>
        <w:autoSpaceDE/>
        <w:autoSpaceDN/>
        <w:bidi w:val="0"/>
        <w:spacing w:line="560" w:lineRule="exact"/>
        <w:textAlignment w:val="auto"/>
        <w:rPr>
          <w:rFonts w:ascii="仿宋_GB2312" w:hAnsi="仿宋_GB2312" w:eastAsia="仿宋_GB2312" w:cs="仿宋_GB2312"/>
          <w:sz w:val="32"/>
          <w:szCs w:val="32"/>
          <w:highlight w:val="none"/>
        </w:rPr>
      </w:pPr>
    </w:p>
    <w:p w14:paraId="7603E29C">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14:paraId="56421B5B">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000000" w:themeColor="text1"/>
          <w:sz w:val="32"/>
          <w:highlight w:val="none"/>
        </w:rPr>
      </w:pPr>
      <w:r>
        <w:rPr>
          <w:rFonts w:hint="eastAsia" w:ascii="仿宋_GB2312" w:eastAsia="仿宋_GB2312"/>
          <w:bCs/>
          <w:color w:val="000000" w:themeColor="text1"/>
          <w:sz w:val="32"/>
          <w:highlight w:val="none"/>
        </w:rPr>
        <w:t>《北京经济技术开发区促进实体书店发展的管理办法》（京技管</w:t>
      </w:r>
      <w:r>
        <w:rPr>
          <w:rFonts w:hint="eastAsia" w:ascii="仿宋_GB2312" w:eastAsia="仿宋_GB2312"/>
          <w:bCs/>
          <w:color w:val="000000" w:themeColor="text1"/>
          <w:sz w:val="32"/>
          <w:highlight w:val="none"/>
          <w:lang w:val="en-US" w:eastAsia="zh-CN"/>
        </w:rPr>
        <w:t>发</w:t>
      </w:r>
      <w:r>
        <w:rPr>
          <w:rFonts w:hint="eastAsia" w:ascii="仿宋_GB2312" w:eastAsia="仿宋_GB2312"/>
          <w:bCs/>
          <w:color w:val="000000" w:themeColor="text1"/>
          <w:sz w:val="32"/>
          <w:highlight w:val="none"/>
        </w:rPr>
        <w:t>〔202</w:t>
      </w:r>
      <w:r>
        <w:rPr>
          <w:rFonts w:hint="eastAsia" w:ascii="仿宋_GB2312" w:eastAsia="仿宋_GB2312"/>
          <w:bCs/>
          <w:color w:val="000000" w:themeColor="text1"/>
          <w:sz w:val="32"/>
          <w:highlight w:val="none"/>
          <w:lang w:val="en-US" w:eastAsia="zh-CN"/>
        </w:rPr>
        <w:t>5</w:t>
      </w:r>
      <w:r>
        <w:rPr>
          <w:rFonts w:hint="eastAsia" w:ascii="仿宋_GB2312" w:eastAsia="仿宋_GB2312"/>
          <w:bCs/>
          <w:color w:val="000000" w:themeColor="text1"/>
          <w:sz w:val="32"/>
          <w:highlight w:val="none"/>
        </w:rPr>
        <w:t>〕</w:t>
      </w:r>
      <w:r>
        <w:rPr>
          <w:rFonts w:hint="eastAsia" w:ascii="仿宋_GB2312" w:eastAsia="仿宋_GB2312"/>
          <w:bCs/>
          <w:color w:val="000000" w:themeColor="text1"/>
          <w:sz w:val="32"/>
          <w:highlight w:val="none"/>
          <w:lang w:val="en-US" w:eastAsia="zh-CN"/>
        </w:rPr>
        <w:t>21</w:t>
      </w:r>
      <w:r>
        <w:rPr>
          <w:rFonts w:hint="eastAsia" w:ascii="仿宋_GB2312" w:eastAsia="仿宋_GB2312"/>
          <w:bCs/>
          <w:color w:val="000000" w:themeColor="text1"/>
          <w:sz w:val="32"/>
          <w:highlight w:val="none"/>
        </w:rPr>
        <w:t>号）</w:t>
      </w:r>
    </w:p>
    <w:p w14:paraId="691BA106">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二、申报事项</w:t>
      </w:r>
    </w:p>
    <w:p w14:paraId="33A2C35E">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2025年实体书店</w:t>
      </w:r>
      <w:r>
        <w:rPr>
          <w:rFonts w:hint="eastAsia" w:eastAsia="仿宋_GB2312"/>
          <w:sz w:val="32"/>
          <w:szCs w:val="32"/>
          <w:highlight w:val="none"/>
          <w:lang w:eastAsia="zh-CN"/>
        </w:rPr>
        <w:t>活动组织</w:t>
      </w:r>
      <w:r>
        <w:rPr>
          <w:rFonts w:hint="eastAsia" w:ascii="仿宋_GB2312" w:hAnsi="仿宋_GB2312" w:eastAsia="仿宋_GB2312" w:cs="仿宋_GB2312"/>
          <w:kern w:val="0"/>
          <w:sz w:val="32"/>
          <w:szCs w:val="32"/>
          <w:highlight w:val="none"/>
          <w:lang w:eastAsia="zh-CN"/>
        </w:rPr>
        <w:t>奖励</w:t>
      </w:r>
    </w:p>
    <w:p w14:paraId="7520498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14:paraId="22255A5E">
      <w:pPr>
        <w:keepNext w:val="0"/>
        <w:keepLines w:val="0"/>
        <w:pageBreakBefore w:val="0"/>
        <w:kinsoku/>
        <w:wordWrap/>
        <w:overflowPunct/>
        <w:topLinePunct w:val="0"/>
        <w:autoSpaceDE/>
        <w:autoSpaceDN/>
        <w:bidi w:val="0"/>
        <w:spacing w:after="0" w:line="560" w:lineRule="exact"/>
        <w:ind w:firstLine="640" w:firstLineChars="200"/>
        <w:textAlignment w:val="auto"/>
        <w:rPr>
          <w:rFonts w:ascii="Times New Roman" w:hAnsi="Times New Roman" w:eastAsia="仿宋_GB2312"/>
          <w:sz w:val="32"/>
          <w:szCs w:val="32"/>
        </w:rPr>
      </w:pPr>
      <w:r>
        <w:rPr>
          <w:rFonts w:hint="eastAsia" w:ascii="仿宋_GB2312" w:hAnsi="黑体" w:eastAsia="仿宋_GB2312" w:cs="仿宋_GB2312"/>
          <w:sz w:val="32"/>
          <w:szCs w:val="32"/>
          <w:highlight w:val="none"/>
        </w:rPr>
        <w:t>（一）申报主体</w:t>
      </w:r>
      <w:r>
        <w:rPr>
          <w:rFonts w:hint="eastAsia" w:ascii="仿宋_GB2312" w:hAnsi="黑体" w:eastAsia="仿宋_GB2312" w:cs="仿宋_GB2312"/>
          <w:sz w:val="32"/>
          <w:szCs w:val="32"/>
          <w:highlight w:val="none"/>
          <w:lang w:val="en-US" w:eastAsia="zh-CN"/>
        </w:rPr>
        <w:t>为</w:t>
      </w:r>
      <w:r>
        <w:rPr>
          <w:rFonts w:hint="eastAsia" w:ascii="Times New Roman" w:hAnsi="Times New Roman" w:eastAsia="仿宋_GB2312"/>
          <w:sz w:val="32"/>
          <w:szCs w:val="32"/>
          <w:highlight w:val="none"/>
        </w:rPr>
        <w:t>在经开区</w:t>
      </w:r>
      <w:r>
        <w:rPr>
          <w:rFonts w:hint="eastAsia" w:ascii="仿宋_GB2312" w:hAnsi="仿宋_GB2312" w:eastAsia="仿宋_GB2312" w:cs="仿宋_GB2312"/>
          <w:sz w:val="32"/>
          <w:szCs w:val="32"/>
          <w:highlight w:val="none"/>
          <w:lang w:val="en-US" w:eastAsia="zh-CN"/>
        </w:rPr>
        <w:t>60</w:t>
      </w:r>
      <w:r>
        <w:rPr>
          <w:rFonts w:hint="eastAsia" w:ascii="Times New Roman" w:hAnsi="Times New Roman" w:eastAsia="仿宋_GB2312"/>
          <w:sz w:val="32"/>
          <w:szCs w:val="32"/>
          <w:highlight w:val="none"/>
          <w:lang w:val="en-US" w:eastAsia="zh-CN"/>
        </w:rPr>
        <w:t>平方公里范围内</w:t>
      </w:r>
      <w:r>
        <w:rPr>
          <w:rFonts w:ascii="Times New Roman" w:hAnsi="Times New Roman" w:eastAsia="仿宋_GB2312"/>
          <w:sz w:val="32"/>
          <w:szCs w:val="32"/>
          <w:highlight w:val="none"/>
        </w:rPr>
        <w:t>依法注册设立</w:t>
      </w:r>
      <w:r>
        <w:rPr>
          <w:rFonts w:hint="eastAsia" w:ascii="仿宋_GB2312" w:hAnsi="黑体" w:eastAsia="仿宋_GB2312" w:cs="仿宋_GB2312"/>
          <w:sz w:val="32"/>
          <w:szCs w:val="32"/>
          <w:highlight w:val="none"/>
        </w:rPr>
        <w:t>并经营满一年</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lang w:val="en-US" w:eastAsia="zh-CN"/>
        </w:rPr>
        <w:t>且</w:t>
      </w:r>
      <w:r>
        <w:rPr>
          <w:rFonts w:hint="eastAsia" w:ascii="Times New Roman" w:hAnsi="Times New Roman" w:eastAsia="仿宋_GB2312"/>
          <w:sz w:val="32"/>
          <w:szCs w:val="32"/>
        </w:rPr>
        <w:t>申报扶持资金时正常经营</w:t>
      </w:r>
      <w:r>
        <w:rPr>
          <w:rFonts w:hint="eastAsia" w:ascii="仿宋_GB2312" w:hAnsi="黑体" w:eastAsia="仿宋_GB2312" w:cs="仿宋_GB2312"/>
          <w:sz w:val="32"/>
          <w:szCs w:val="32"/>
          <w:highlight w:val="none"/>
        </w:rPr>
        <w:t>的实体书店；</w:t>
      </w:r>
      <w:r>
        <w:rPr>
          <w:rFonts w:ascii="仿宋_GB2312" w:hAnsi="黑体" w:eastAsia="仿宋_GB2312" w:cs="仿宋_GB2312"/>
          <w:sz w:val="32"/>
          <w:szCs w:val="32"/>
          <w:highlight w:val="none"/>
        </w:rPr>
        <w:t>持有《营业执照》</w:t>
      </w:r>
      <w:r>
        <w:rPr>
          <w:rFonts w:hint="eastAsia" w:ascii="仿宋_GB2312" w:hAnsi="黑体" w:eastAsia="仿宋_GB2312" w:cs="仿宋_GB2312"/>
          <w:sz w:val="32"/>
          <w:szCs w:val="32"/>
          <w:highlight w:val="none"/>
        </w:rPr>
        <w:t>和</w:t>
      </w:r>
      <w:r>
        <w:rPr>
          <w:rFonts w:ascii="仿宋_GB2312" w:hAnsi="黑体" w:eastAsia="仿宋_GB2312" w:cs="仿宋_GB2312"/>
          <w:sz w:val="32"/>
          <w:szCs w:val="32"/>
          <w:highlight w:val="none"/>
        </w:rPr>
        <w:t>《出版物经营许可证》；</w:t>
      </w:r>
      <w:r>
        <w:rPr>
          <w:rFonts w:hint="eastAsia" w:ascii="Times New Roman" w:hAnsi="Times New Roman" w:eastAsia="仿宋_GB2312"/>
          <w:sz w:val="32"/>
          <w:szCs w:val="32"/>
        </w:rPr>
        <w:t>在经开区有空间相对独立的</w:t>
      </w:r>
      <w:r>
        <w:rPr>
          <w:rFonts w:ascii="Times New Roman" w:hAnsi="Times New Roman" w:eastAsia="仿宋_GB2312"/>
          <w:sz w:val="32"/>
          <w:szCs w:val="32"/>
        </w:rPr>
        <w:t>固定</w:t>
      </w:r>
      <w:r>
        <w:rPr>
          <w:rFonts w:hint="eastAsia" w:ascii="Times New Roman" w:hAnsi="Times New Roman" w:eastAsia="仿宋_GB2312"/>
          <w:sz w:val="32"/>
          <w:szCs w:val="32"/>
        </w:rPr>
        <w:t>经营</w:t>
      </w:r>
      <w:r>
        <w:rPr>
          <w:rFonts w:ascii="Times New Roman" w:hAnsi="Times New Roman" w:eastAsia="仿宋_GB2312"/>
          <w:sz w:val="32"/>
          <w:szCs w:val="32"/>
        </w:rPr>
        <w:t>场所</w:t>
      </w:r>
      <w:r>
        <w:rPr>
          <w:rFonts w:hint="eastAsia" w:ascii="Times New Roman" w:hAnsi="Times New Roman" w:eastAsia="仿宋_GB2312"/>
          <w:sz w:val="32"/>
          <w:szCs w:val="32"/>
        </w:rPr>
        <w:t>，有显著店招和固定营业时间</w:t>
      </w:r>
      <w:r>
        <w:rPr>
          <w:rFonts w:hint="eastAsia" w:ascii="Times New Roman" w:hAnsi="Times New Roman" w:eastAsia="仿宋_GB2312"/>
          <w:sz w:val="32"/>
          <w:szCs w:val="32"/>
          <w:lang w:eastAsia="zh-CN"/>
        </w:rPr>
        <w:t>，以出版物相关业务为主营业务</w:t>
      </w:r>
      <w:r>
        <w:rPr>
          <w:rFonts w:ascii="Times New Roman" w:hAnsi="Times New Roman" w:eastAsia="仿宋_GB2312"/>
          <w:sz w:val="32"/>
          <w:szCs w:val="32"/>
        </w:rPr>
        <w:t>。</w:t>
      </w:r>
    </w:p>
    <w:p w14:paraId="2CD7BC13">
      <w:pPr>
        <w:pStyle w:val="6"/>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黑体" w:eastAsia="仿宋_GB2312" w:cs="仿宋_GB2312"/>
          <w:kern w:val="2"/>
          <w:sz w:val="32"/>
          <w:szCs w:val="32"/>
          <w:highlight w:val="none"/>
        </w:rPr>
      </w:pPr>
      <w:r>
        <w:rPr>
          <w:rFonts w:hint="eastAsia" w:ascii="仿宋_GB2312" w:hAnsi="黑体" w:eastAsia="仿宋_GB2312" w:cs="仿宋_GB2312"/>
          <w:kern w:val="2"/>
          <w:sz w:val="32"/>
          <w:szCs w:val="32"/>
          <w:highlight w:val="none"/>
        </w:rPr>
        <w:t>（二）</w:t>
      </w:r>
      <w:r>
        <w:rPr>
          <w:rFonts w:hint="eastAsia" w:ascii="Times New Roman" w:hAnsi="Times New Roman" w:eastAsia="仿宋_GB2312"/>
          <w:sz w:val="32"/>
          <w:szCs w:val="32"/>
          <w:highlight w:val="none"/>
        </w:rPr>
        <w:t>整体营业</w:t>
      </w:r>
      <w:r>
        <w:rPr>
          <w:rFonts w:ascii="Times New Roman" w:hAnsi="Times New Roman" w:eastAsia="仿宋_GB2312"/>
          <w:sz w:val="32"/>
          <w:szCs w:val="32"/>
          <w:highlight w:val="none"/>
        </w:rPr>
        <w:t>面积</w:t>
      </w:r>
      <w:r>
        <w:rPr>
          <w:rFonts w:hint="eastAsia" w:ascii="Times New Roman" w:hAnsi="Times New Roman" w:eastAsia="仿宋_GB2312"/>
          <w:sz w:val="32"/>
          <w:szCs w:val="32"/>
          <w:highlight w:val="none"/>
          <w:lang w:eastAsia="zh-CN"/>
        </w:rPr>
        <w:t>不小于</w:t>
      </w:r>
      <w:r>
        <w:rPr>
          <w:rFonts w:hint="eastAsia" w:ascii="仿宋_GB2312" w:hAnsi="仿宋_GB2312" w:eastAsia="仿宋_GB2312" w:cs="仿宋_GB2312"/>
          <w:sz w:val="32"/>
          <w:szCs w:val="32"/>
          <w:highlight w:val="none"/>
          <w:lang w:val="en-US" w:eastAsia="zh-CN"/>
        </w:rPr>
        <w:t>30</w:t>
      </w:r>
      <w:r>
        <w:rPr>
          <w:rFonts w:hint="eastAsia" w:ascii="Times New Roman" w:hAnsi="Times New Roman" w:eastAsia="仿宋_GB2312"/>
          <w:sz w:val="32"/>
          <w:szCs w:val="32"/>
          <w:highlight w:val="none"/>
          <w:lang w:val="en-US" w:eastAsia="zh-CN"/>
        </w:rPr>
        <w:t>平</w:t>
      </w:r>
      <w:r>
        <w:rPr>
          <w:rFonts w:hint="eastAsia" w:ascii="Times New Roman" w:hAnsi="Times New Roman" w:eastAsia="仿宋_GB2312"/>
          <w:sz w:val="32"/>
          <w:szCs w:val="32"/>
          <w:highlight w:val="none"/>
        </w:rPr>
        <w:t>方米</w:t>
      </w:r>
      <w:r>
        <w:rPr>
          <w:rFonts w:ascii="Times New Roman" w:hAnsi="Times New Roman" w:eastAsia="仿宋_GB2312"/>
          <w:sz w:val="32"/>
          <w:szCs w:val="32"/>
          <w:highlight w:val="none"/>
        </w:rPr>
        <w:t>，</w:t>
      </w:r>
      <w:r>
        <w:rPr>
          <w:rFonts w:ascii="Times New Roman" w:hAnsi="Times New Roman" w:eastAsia="仿宋_GB2312"/>
          <w:sz w:val="32"/>
          <w:szCs w:val="32"/>
        </w:rPr>
        <w:t>包括但不限于咖啡、阅读区、交流区、售卖区等多种业态</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其中出版物经营面积超过整体营业面积的</w:t>
      </w:r>
      <w:r>
        <w:rPr>
          <w:rFonts w:hint="eastAsia" w:ascii="仿宋_GB2312" w:hAnsi="仿宋_GB2312" w:eastAsia="仿宋_GB2312" w:cs="仿宋_GB2312"/>
          <w:sz w:val="32"/>
          <w:szCs w:val="32"/>
          <w:highlight w:val="none"/>
        </w:rPr>
        <w:t>50%。</w:t>
      </w:r>
    </w:p>
    <w:p w14:paraId="6D0E3A7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（三）</w:t>
      </w:r>
      <w:r>
        <w:rPr>
          <w:rFonts w:ascii="仿宋_GB2312" w:hAnsi="黑体" w:eastAsia="仿宋_GB2312" w:cs="仿宋_GB2312"/>
          <w:kern w:val="2"/>
          <w:sz w:val="32"/>
          <w:szCs w:val="32"/>
          <w:highlight w:val="none"/>
          <w:lang w:val="en-US" w:eastAsia="zh-CN" w:bidi="ar-SA"/>
        </w:rPr>
        <w:t>上架经营出版物不少于2000册，品种不少于</w:t>
      </w:r>
      <w:r>
        <w:rPr>
          <w:rFonts w:hint="eastAsia" w:ascii="仿宋_GB2312" w:hAnsi="黑体" w:eastAsia="仿宋_GB2312" w:cs="仿宋_GB2312"/>
          <w:kern w:val="2"/>
          <w:sz w:val="32"/>
          <w:szCs w:val="32"/>
          <w:highlight w:val="none"/>
          <w:lang w:val="en-US" w:eastAsia="zh-CN" w:bidi="ar-SA"/>
        </w:rPr>
        <w:t>500</w:t>
      </w:r>
      <w:r>
        <w:rPr>
          <w:rFonts w:ascii="仿宋_GB2312" w:hAnsi="黑体" w:eastAsia="仿宋_GB2312" w:cs="仿宋_GB2312"/>
          <w:kern w:val="2"/>
          <w:sz w:val="32"/>
          <w:szCs w:val="32"/>
          <w:highlight w:val="none"/>
          <w:lang w:val="en-US" w:eastAsia="zh-CN" w:bidi="ar-SA"/>
        </w:rPr>
        <w:t>种</w:t>
      </w:r>
      <w:r>
        <w:rPr>
          <w:rFonts w:hint="eastAsia" w:ascii="仿宋_GB2312" w:hAnsi="黑体" w:eastAsia="仿宋_GB2312" w:cs="仿宋_GB2312"/>
          <w:kern w:val="2"/>
          <w:sz w:val="32"/>
          <w:szCs w:val="32"/>
          <w:highlight w:val="none"/>
          <w:lang w:val="en-US" w:eastAsia="zh-CN" w:bidi="ar-SA"/>
        </w:rPr>
        <w:t>。</w:t>
      </w:r>
    </w:p>
    <w:p w14:paraId="324AE0F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w:t>
      </w:r>
      <w:r>
        <w:rPr>
          <w:rFonts w:hint="eastAsia" w:ascii="仿宋_GB2312" w:hAnsi="黑体" w:eastAsia="仿宋_GB2312" w:cs="仿宋_GB2312"/>
          <w:sz w:val="32"/>
          <w:szCs w:val="32"/>
          <w:highlight w:val="none"/>
          <w:lang w:eastAsia="zh-CN"/>
        </w:rPr>
        <w:t>四</w:t>
      </w:r>
      <w:r>
        <w:rPr>
          <w:rFonts w:hint="eastAsia" w:ascii="仿宋_GB2312" w:hAnsi="黑体" w:eastAsia="仿宋_GB2312" w:cs="仿宋_GB2312"/>
          <w:sz w:val="32"/>
          <w:szCs w:val="32"/>
          <w:highlight w:val="none"/>
        </w:rPr>
        <w:t>）</w:t>
      </w:r>
      <w:r>
        <w:rPr>
          <w:rFonts w:hint="eastAsia" w:ascii="Times New Roman" w:hAnsi="Times New Roman" w:eastAsia="仿宋_GB2312"/>
          <w:sz w:val="32"/>
          <w:szCs w:val="32"/>
        </w:rPr>
        <w:t>每年作为主办方组织开展“书香亦城”各类阅读推广活动不少于</w:t>
      </w:r>
      <w:r>
        <w:rPr>
          <w:rFonts w:hint="eastAsia" w:ascii="仿宋_GB2312" w:hAnsi="黑体" w:eastAsia="仿宋_GB2312" w:cs="仿宋_GB2312"/>
          <w:sz w:val="32"/>
          <w:szCs w:val="32"/>
          <w:lang w:val="zh-CN" w:bidi="zh-CN"/>
        </w:rPr>
        <w:t>4</w:t>
      </w:r>
      <w:r>
        <w:rPr>
          <w:rFonts w:hint="eastAsia" w:ascii="Times New Roman" w:hAnsi="Times New Roman" w:eastAsia="仿宋_GB2312"/>
          <w:sz w:val="32"/>
          <w:szCs w:val="32"/>
        </w:rPr>
        <w:t>场</w:t>
      </w:r>
      <w:r>
        <w:rPr>
          <w:rFonts w:hint="eastAsia" w:ascii="Times New Roman" w:hAnsi="Times New Roman" w:eastAsia="仿宋_GB2312"/>
          <w:sz w:val="32"/>
          <w:szCs w:val="32"/>
          <w:lang w:eastAsia="zh-CN"/>
        </w:rPr>
        <w:t>。</w:t>
      </w:r>
    </w:p>
    <w:p w14:paraId="45BB9EC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kern w:val="2"/>
          <w:sz w:val="32"/>
          <w:szCs w:val="32"/>
          <w:highlight w:val="none"/>
          <w:lang w:val="en-US" w:eastAsia="zh-CN" w:bidi="ar-SA"/>
        </w:rPr>
        <w:t>（五）遵守国家和北京市法律法规，近三年无重大行政处罚公示信息和刑事犯罪记录，未列入严重违法失信主体名单。</w:t>
      </w:r>
    </w:p>
    <w:p w14:paraId="1AFEB529">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kern w:val="2"/>
          <w:sz w:val="32"/>
          <w:szCs w:val="32"/>
          <w:highlight w:val="none"/>
          <w:lang w:val="en-US" w:eastAsia="zh-CN" w:bidi="ar-SA"/>
        </w:rPr>
        <w:t>（六）</w:t>
      </w:r>
      <w:r>
        <w:rPr>
          <w:rFonts w:ascii="仿宋_GB2312" w:hAnsi="黑体" w:eastAsia="仿宋_GB2312" w:cs="仿宋_GB2312"/>
          <w:kern w:val="2"/>
          <w:sz w:val="32"/>
          <w:szCs w:val="32"/>
          <w:highlight w:val="none"/>
          <w:lang w:val="en-US" w:eastAsia="zh-CN" w:bidi="ar-SA"/>
        </w:rPr>
        <w:t>资金申报单位按期</w:t>
      </w:r>
      <w:r>
        <w:rPr>
          <w:rFonts w:ascii="仿宋_GB2312" w:hAnsi="黑体" w:eastAsia="仿宋_GB2312" w:cs="仿宋_GB2312"/>
          <w:sz w:val="32"/>
          <w:szCs w:val="32"/>
          <w:highlight w:val="none"/>
        </w:rPr>
        <w:t>参加主管部门的年度核检且经营状况正常，具备健全的财务管理制度和社会劳动保障制度，有完备的安全管理制度和日常安全记录。</w:t>
      </w:r>
    </w:p>
    <w:p w14:paraId="2897F4E7">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14:paraId="675550A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对作为主办方在经开区范围内组织开展主题讲座、名家讲坛、读书沙龙等各类高质量、公益性的阅读推广活动的实体书店给予奖励。活动内容体现图书元素，对不特定的公众免费开</w:t>
      </w:r>
      <w:r>
        <w:rPr>
          <w:rFonts w:hint="eastAsia" w:ascii="仿宋_GB2312" w:hAnsi="仿宋_GB2312" w:eastAsia="仿宋_GB2312" w:cs="仿宋_GB2312"/>
          <w:sz w:val="32"/>
          <w:szCs w:val="32"/>
          <w:highlight w:val="none"/>
          <w:lang w:eastAsia="zh-CN"/>
        </w:rPr>
        <w:t>放。鼓</w:t>
      </w:r>
      <w:r>
        <w:rPr>
          <w:rFonts w:hint="eastAsia" w:ascii="仿宋_GB2312" w:hAnsi="仿宋_GB2312" w:eastAsia="仿宋_GB2312" w:cs="仿宋_GB2312"/>
          <w:sz w:val="32"/>
          <w:szCs w:val="32"/>
          <w:highlight w:val="none"/>
        </w:rPr>
        <w:t>励实体书店组织开展阅读推广活动进社区、进企业、进园区等体现经开区区域特色的空间。</w:t>
      </w:r>
    </w:p>
    <w:p w14:paraId="5F80173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活动形式包括线下活动和线上活动，单场活动总时长应不少于</w:t>
      </w:r>
      <w:r>
        <w:rPr>
          <w:rFonts w:hint="eastAsia" w:ascii="仿宋_GB2312" w:hAnsi="仿宋_GB2312" w:eastAsia="仿宋_GB2312" w:cs="仿宋_GB2312"/>
          <w:sz w:val="32"/>
          <w:szCs w:val="32"/>
          <w:highlight w:val="none"/>
          <w:lang w:val="en-US" w:eastAsia="zh-CN"/>
        </w:rPr>
        <w:t>40分钟。单场线下活动参与人数不少于10人；单场线上活动参与人数峰值不少于30人或累计参与人数不少于100人。</w:t>
      </w:r>
      <w:r>
        <w:rPr>
          <w:rFonts w:hint="eastAsia" w:ascii="仿宋_GB2312" w:hAnsi="仿宋_GB2312" w:eastAsia="仿宋_GB2312" w:cs="仿宋_GB2312"/>
          <w:sz w:val="32"/>
          <w:szCs w:val="32"/>
          <w:highlight w:val="none"/>
        </w:rPr>
        <w:t>线上、线下同步开展的活动，认定为一场活动。单场线下活动给予奖励2500元，单场线上活动给予奖励775元，每家实体书店每年活动奖励总额不超过13万元。</w:t>
      </w:r>
    </w:p>
    <w:p w14:paraId="16861197">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以下活动不纳入阅读推广活动奖励范围：</w:t>
      </w:r>
    </w:p>
    <w:p w14:paraId="4CE62D6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在书店内举办的展览活动；</w:t>
      </w:r>
    </w:p>
    <w:p w14:paraId="144F7A0C">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书店内部的团建、培训等活动；</w:t>
      </w:r>
    </w:p>
    <w:p w14:paraId="2172624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影视放映、打卡等与阅读关联程度较低的活动；</w:t>
      </w:r>
    </w:p>
    <w:p w14:paraId="2811944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直播带货、优惠购书、市集售卖等各类营销活动；</w:t>
      </w:r>
    </w:p>
    <w:p w14:paraId="1715247C">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非直播的语音视频类活动；</w:t>
      </w:r>
    </w:p>
    <w:p w14:paraId="0B6DB40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非本书店主办或书店收费承办的活动；</w:t>
      </w:r>
    </w:p>
    <w:p w14:paraId="7FA605C0">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仅限收费会员参与的活动；</w:t>
      </w:r>
    </w:p>
    <w:p w14:paraId="563F37C0">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其他经评审认定不予奖励的活动。</w:t>
      </w:r>
    </w:p>
    <w:p w14:paraId="04D9205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五、申报材料及要求</w:t>
      </w:r>
    </w:p>
    <w:p w14:paraId="338E2A06">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实体书店</w:t>
      </w:r>
      <w:r>
        <w:rPr>
          <w:rFonts w:hint="eastAsia" w:ascii="仿宋_GB2312" w:hAnsi="仿宋_GB2312" w:eastAsia="仿宋_GB2312" w:cs="仿宋_GB2312"/>
          <w:kern w:val="0"/>
          <w:sz w:val="32"/>
          <w:szCs w:val="32"/>
          <w:highlight w:val="none"/>
          <w:lang w:eastAsia="zh-CN"/>
        </w:rPr>
        <w:t>活动组织奖励</w:t>
      </w:r>
      <w:r>
        <w:rPr>
          <w:rFonts w:hint="eastAsia" w:ascii="仿宋_GB2312" w:hAnsi="仿宋_GB2312" w:eastAsia="仿宋_GB2312" w:cs="仿宋_GB2312"/>
          <w:kern w:val="0"/>
          <w:sz w:val="32"/>
          <w:szCs w:val="32"/>
          <w:highlight w:val="none"/>
        </w:rPr>
        <w:t>申报表，在线填写；</w:t>
      </w:r>
    </w:p>
    <w:p w14:paraId="648C642D">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2.企业营业执照，选取电子证照；</w:t>
      </w:r>
    </w:p>
    <w:p w14:paraId="62B2FBAF">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3.承诺书，</w:t>
      </w:r>
      <w:r>
        <w:rPr>
          <w:rFonts w:hint="eastAsia" w:ascii="仿宋_GB2312" w:hAnsi="仿宋_GB2312" w:eastAsia="仿宋_GB2312" w:cs="仿宋_GB2312"/>
          <w:kern w:val="0"/>
          <w:sz w:val="32"/>
          <w:szCs w:val="32"/>
          <w:highlight w:val="none"/>
          <w:lang w:val="en-US" w:eastAsia="zh-CN"/>
        </w:rPr>
        <w:t>下载模板填写，</w:t>
      </w:r>
      <w:r>
        <w:rPr>
          <w:rFonts w:hint="eastAsia" w:ascii="仿宋_GB2312" w:hAnsi="仿宋_GB2312" w:eastAsia="仿宋_GB2312" w:cs="仿宋_GB2312"/>
          <w:kern w:val="0"/>
          <w:sz w:val="32"/>
          <w:szCs w:val="32"/>
          <w:highlight w:val="none"/>
        </w:rPr>
        <w:t>签字、加盖公章，彩色扫描上传；</w:t>
      </w:r>
    </w:p>
    <w:p w14:paraId="2432ED9C">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4.银行</w:t>
      </w:r>
      <w:r>
        <w:rPr>
          <w:rFonts w:hint="eastAsia" w:ascii="仿宋_GB2312" w:hAnsi="仿宋_GB2312" w:eastAsia="仿宋_GB2312" w:cs="仿宋_GB2312"/>
          <w:kern w:val="0"/>
          <w:sz w:val="32"/>
          <w:szCs w:val="32"/>
          <w:highlight w:val="none"/>
          <w:lang w:val="en-US" w:eastAsia="zh-CN"/>
        </w:rPr>
        <w:t>账户信息</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下载模板填写，加盖公章，</w:t>
      </w:r>
      <w:r>
        <w:rPr>
          <w:rFonts w:hint="eastAsia" w:ascii="仿宋_GB2312" w:hAnsi="仿宋_GB2312" w:eastAsia="仿宋_GB2312" w:cs="仿宋_GB2312"/>
          <w:kern w:val="0"/>
          <w:sz w:val="32"/>
          <w:szCs w:val="32"/>
          <w:highlight w:val="none"/>
        </w:rPr>
        <w:t>彩色扫描上传；</w:t>
      </w:r>
    </w:p>
    <w:p w14:paraId="3EFA9281">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5.出版物经营许可证，</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50DB19B8">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.经营场所(含经营出版物的实体书店面积)证明文件</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自有房屋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提供不动产产权证明，租赁房屋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提供租赁协议和202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年房租发票，</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bookmarkStart w:id="0" w:name="_GoBack"/>
      <w:bookmarkEnd w:id="0"/>
    </w:p>
    <w:p w14:paraId="06F6450A">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7.在售出版物</w:t>
      </w:r>
      <w:r>
        <w:rPr>
          <w:rFonts w:hint="eastAsia" w:ascii="仿宋_GB2312" w:hAnsi="仿宋_GB2312" w:eastAsia="仿宋_GB2312" w:cs="仿宋_GB2312"/>
          <w:kern w:val="0"/>
          <w:sz w:val="32"/>
          <w:szCs w:val="32"/>
          <w:highlight w:val="none"/>
        </w:rPr>
        <w:t>总数量</w:t>
      </w:r>
      <w:r>
        <w:rPr>
          <w:rFonts w:hint="eastAsia" w:ascii="仿宋_GB2312" w:hAnsi="仿宋_GB2312" w:eastAsia="仿宋_GB2312" w:cs="仿宋_GB2312"/>
          <w:kern w:val="0"/>
          <w:sz w:val="32"/>
          <w:szCs w:val="32"/>
          <w:highlight w:val="none"/>
          <w:lang w:val="en-US" w:eastAsia="zh-CN"/>
        </w:rPr>
        <w:t>和总品种数证明材料，加</w:t>
      </w:r>
      <w:r>
        <w:rPr>
          <w:rFonts w:hint="eastAsia" w:ascii="仿宋_GB2312" w:hAnsi="仿宋_GB2312" w:eastAsia="仿宋_GB2312" w:cs="仿宋_GB2312"/>
          <w:kern w:val="0"/>
          <w:sz w:val="32"/>
          <w:szCs w:val="32"/>
          <w:highlight w:val="none"/>
          <w:lang w:eastAsia="zh-CN"/>
        </w:rPr>
        <w:t>盖</w:t>
      </w:r>
      <w:r>
        <w:rPr>
          <w:rFonts w:hint="eastAsia" w:ascii="仿宋_GB2312" w:hAnsi="仿宋_GB2312" w:eastAsia="仿宋_GB2312" w:cs="仿宋_GB2312"/>
          <w:kern w:val="0"/>
          <w:sz w:val="32"/>
          <w:szCs w:val="32"/>
          <w:highlight w:val="none"/>
          <w:lang w:val="en-US" w:eastAsia="zh-CN"/>
        </w:rPr>
        <w:t>公</w:t>
      </w:r>
      <w:r>
        <w:rPr>
          <w:rFonts w:hint="eastAsia" w:ascii="仿宋_GB2312" w:hAnsi="仿宋_GB2312" w:eastAsia="仿宋_GB2312" w:cs="仿宋_GB2312"/>
          <w:kern w:val="0"/>
          <w:sz w:val="32"/>
          <w:szCs w:val="32"/>
          <w:highlight w:val="none"/>
          <w:lang w:eastAsia="zh-CN"/>
        </w:rPr>
        <w:t>章，</w:t>
      </w:r>
      <w:r>
        <w:rPr>
          <w:rFonts w:hint="eastAsia" w:ascii="仿宋_GB2312" w:hAnsi="仿宋_GB2312" w:eastAsia="仿宋_GB2312" w:cs="仿宋_GB2312"/>
          <w:kern w:val="0"/>
          <w:sz w:val="32"/>
          <w:szCs w:val="32"/>
          <w:highlight w:val="none"/>
          <w:lang w:val="en-US" w:eastAsia="zh-CN"/>
        </w:rPr>
        <w:t>彩色扫描上传；</w:t>
      </w:r>
    </w:p>
    <w:p w14:paraId="4FD4D87F">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店面外观与店堂内部照片，原件彩色扫描上传；</w:t>
      </w:r>
    </w:p>
    <w:p w14:paraId="6FD26533">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方正小标宋简体" w:hAnsi="方正小标宋简体" w:eastAsia="方正小标宋简体" w:cs="方正小标宋简体"/>
          <w:b/>
          <w:bCs/>
          <w:sz w:val="36"/>
          <w:szCs w:val="36"/>
          <w:highlight w:val="none"/>
        </w:rPr>
      </w:pP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.实体书店</w:t>
      </w:r>
      <w:r>
        <w:rPr>
          <w:rFonts w:hint="eastAsia" w:ascii="仿宋_GB2312" w:hAnsi="仿宋_GB2312" w:eastAsia="仿宋_GB2312" w:cs="仿宋_GB2312"/>
          <w:kern w:val="0"/>
          <w:sz w:val="32"/>
          <w:szCs w:val="32"/>
          <w:highlight w:val="none"/>
          <w:lang w:eastAsia="zh-CN"/>
        </w:rPr>
        <w:t>经营</w:t>
      </w:r>
      <w:r>
        <w:rPr>
          <w:rFonts w:hint="eastAsia" w:ascii="仿宋_GB2312" w:hAnsi="仿宋_GB2312" w:eastAsia="仿宋_GB2312" w:cs="仿宋_GB2312"/>
          <w:kern w:val="0"/>
          <w:sz w:val="32"/>
          <w:szCs w:val="32"/>
          <w:highlight w:val="none"/>
        </w:rPr>
        <w:t>费用明细表，下载模板填写，加盖公章，彩色扫描上传；</w:t>
      </w:r>
    </w:p>
    <w:p w14:paraId="511DCCBB">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.管理制度清单及内容，加盖公章，彩色扫描上传</w:t>
      </w:r>
      <w:r>
        <w:rPr>
          <w:rFonts w:hint="eastAsia" w:ascii="仿宋_GB2312" w:hAnsi="仿宋_GB2312" w:eastAsia="仿宋_GB2312" w:cs="仿宋_GB2312"/>
          <w:kern w:val="0"/>
          <w:sz w:val="32"/>
          <w:szCs w:val="32"/>
          <w:highlight w:val="none"/>
          <w:lang w:eastAsia="zh-CN"/>
        </w:rPr>
        <w:t>；</w:t>
      </w:r>
    </w:p>
    <w:p w14:paraId="37EC2A87">
      <w:pPr>
        <w:pStyle w:val="2"/>
        <w:spacing w:line="560" w:lineRule="exact"/>
        <w:ind w:firstLine="640" w:firstLineChars="200"/>
        <w:rPr>
          <w:rFonts w:hint="eastAsia" w:cs="仿宋_GB2312"/>
          <w:kern w:val="0"/>
          <w:sz w:val="32"/>
          <w:szCs w:val="32"/>
          <w:highlight w:val="none"/>
          <w:lang w:val="en-US" w:eastAsia="zh-CN"/>
        </w:rPr>
      </w:pPr>
      <w:r>
        <w:rPr>
          <w:rFonts w:hint="eastAsia" w:cs="仿宋_GB2312"/>
          <w:kern w:val="0"/>
          <w:sz w:val="32"/>
          <w:szCs w:val="32"/>
          <w:highlight w:val="none"/>
          <w:lang w:val="en-US" w:eastAsia="zh-CN"/>
        </w:rPr>
        <w:t>11.举办全民阅读推广活动材料，上传照片或视频，照片需原件彩色扫描上传，视频需mp4格式上传；</w:t>
      </w:r>
    </w:p>
    <w:p w14:paraId="5085424A">
      <w:pPr>
        <w:pStyle w:val="2"/>
        <w:spacing w:line="560" w:lineRule="exact"/>
        <w:ind w:firstLine="640" w:firstLineChars="200"/>
        <w:rPr>
          <w:rFonts w:hint="eastAsia" w:cs="仿宋_GB2312"/>
          <w:kern w:val="0"/>
          <w:sz w:val="32"/>
          <w:szCs w:val="32"/>
          <w:highlight w:val="none"/>
          <w:lang w:eastAsia="zh-CN"/>
        </w:rPr>
      </w:pPr>
      <w:r>
        <w:rPr>
          <w:rFonts w:hint="eastAsia" w:cs="仿宋_GB2312"/>
          <w:kern w:val="0"/>
          <w:sz w:val="32"/>
          <w:szCs w:val="32"/>
          <w:highlight w:val="none"/>
          <w:lang w:val="en-US" w:eastAsia="zh-CN"/>
        </w:rPr>
        <w:t>12.社会形象与影响力情况材料（荣誉证书等），原件</w:t>
      </w:r>
      <w:r>
        <w:rPr>
          <w:rFonts w:hint="eastAsia" w:cs="仿宋_GB2312"/>
          <w:kern w:val="0"/>
          <w:sz w:val="32"/>
          <w:szCs w:val="32"/>
          <w:highlight w:val="none"/>
          <w:lang w:eastAsia="zh-CN"/>
        </w:rPr>
        <w:t>彩色扫描</w:t>
      </w:r>
      <w:r>
        <w:rPr>
          <w:rFonts w:hint="eastAsia" w:ascii="仿宋_GB2312" w:hAnsi="仿宋_GB2312" w:eastAsia="仿宋_GB2312" w:cs="仿宋_GB2312"/>
          <w:kern w:val="0"/>
          <w:sz w:val="32"/>
          <w:szCs w:val="32"/>
          <w:highlight w:val="none"/>
        </w:rPr>
        <w:t>上传</w:t>
      </w:r>
      <w:r>
        <w:rPr>
          <w:rFonts w:hint="eastAsia" w:cs="仿宋_GB2312"/>
          <w:kern w:val="0"/>
          <w:sz w:val="32"/>
          <w:szCs w:val="32"/>
          <w:highlight w:val="none"/>
          <w:lang w:eastAsia="zh-CN"/>
        </w:rPr>
        <w:t>；</w:t>
      </w:r>
    </w:p>
    <w:p w14:paraId="0FDAD3E7">
      <w:pPr>
        <w:pStyle w:val="2"/>
        <w:spacing w:line="560" w:lineRule="exact"/>
        <w:ind w:firstLine="640" w:firstLineChars="200"/>
        <w:rPr>
          <w:rFonts w:hint="default" w:cs="仿宋_GB2312"/>
          <w:kern w:val="0"/>
          <w:sz w:val="32"/>
          <w:szCs w:val="32"/>
          <w:highlight w:val="none"/>
          <w:lang w:val="en-US" w:eastAsia="zh-CN"/>
        </w:rPr>
      </w:pPr>
      <w:r>
        <w:rPr>
          <w:rFonts w:hint="eastAsia" w:cs="仿宋_GB2312"/>
          <w:kern w:val="0"/>
          <w:sz w:val="32"/>
          <w:szCs w:val="32"/>
          <w:highlight w:val="none"/>
          <w:lang w:val="en-US" w:eastAsia="zh-CN"/>
        </w:rPr>
        <w:t>13.其他相关材料，原件彩色扫描上传。</w:t>
      </w:r>
    </w:p>
    <w:p w14:paraId="54BF0A9F">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14:paraId="318D7A56">
      <w:pPr>
        <w:pStyle w:val="6"/>
        <w:keepNext w:val="0"/>
        <w:keepLines w:val="0"/>
        <w:pageBreakBefore w:val="0"/>
        <w:widowControl/>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highlight w:val="none"/>
        </w:rPr>
        <w:t>，注册登录后进行项目申报。如未在规定时间内提交申请的，视为自动放弃。</w:t>
      </w:r>
    </w:p>
    <w:p w14:paraId="69B27D10">
      <w:pPr>
        <w:pStyle w:val="6"/>
        <w:keepNext w:val="0"/>
        <w:keepLines w:val="0"/>
        <w:pageBreakBefore w:val="0"/>
        <w:widowControl/>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val="en-US" w:eastAsia="zh-CN"/>
        </w:rPr>
        <w:t>营商环境建设局</w:t>
      </w:r>
      <w:r>
        <w:rPr>
          <w:rFonts w:hint="eastAsia" w:ascii="仿宋_GB2312" w:hAnsi="仿宋_GB2312" w:eastAsia="仿宋_GB2312" w:cs="仿宋_GB2312"/>
          <w:color w:val="000000"/>
          <w:kern w:val="2"/>
          <w:sz w:val="32"/>
          <w:szCs w:val="32"/>
          <w:highlight w:val="none"/>
        </w:rPr>
        <w:t>对申报主体提交的材料进行完整性审查，材料不齐全或不符合要求的，告知申报主体补齐补正。</w:t>
      </w:r>
    </w:p>
    <w:p w14:paraId="55FB3DF9">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对申请材料进行实质审核。</w:t>
      </w:r>
    </w:p>
    <w:p w14:paraId="3342D784">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专家评审：</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组织专家线下对申请材料进行评审，评审后将结果上传到系统。</w:t>
      </w:r>
    </w:p>
    <w:p w14:paraId="63DF50B4">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（五）</w:t>
      </w:r>
      <w:r>
        <w:rPr>
          <w:rFonts w:hint="eastAsia" w:ascii="仿宋_GB2312" w:hAnsi="仿宋_GB2312" w:eastAsia="仿宋_GB2312" w:cs="仿宋_GB2312"/>
          <w:b/>
          <w:bCs/>
          <w:color w:val="000000"/>
          <w:kern w:val="2"/>
          <w:sz w:val="32"/>
          <w:szCs w:val="32"/>
          <w:highlight w:val="none"/>
        </w:rPr>
        <w:t>确定扶持结果</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经开区工委宣传文化部对审核通过的申报主体拟定兑现扶持奖励金额</w:t>
      </w:r>
      <w:r>
        <w:rPr>
          <w:rFonts w:hint="eastAsia" w:ascii="Times New Roman" w:hAnsi="Times New Roman" w:eastAsia="仿宋_GB2312"/>
          <w:sz w:val="32"/>
          <w:szCs w:val="32"/>
        </w:rPr>
        <w:t>。</w:t>
      </w:r>
    </w:p>
    <w:p w14:paraId="24BD09FF">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（六）</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w:t>
      </w:r>
      <w:r>
        <w:rPr>
          <w:rFonts w:hint="eastAsia" w:ascii="仿宋_GB2312" w:eastAsia="仿宋_GB2312"/>
          <w:kern w:val="2"/>
          <w:sz w:val="32"/>
          <w:szCs w:val="32"/>
          <w:highlight w:val="none"/>
        </w:rPr>
        <w:t>工委宣传文化部</w:t>
      </w:r>
      <w:r>
        <w:rPr>
          <w:rFonts w:hint="eastAsia" w:ascii="仿宋_GB2312" w:hAnsi="仿宋_GB2312" w:eastAsia="仿宋_GB2312" w:cs="仿宋_GB2312"/>
          <w:color w:val="000000"/>
          <w:kern w:val="2"/>
          <w:sz w:val="32"/>
          <w:szCs w:val="32"/>
          <w:highlight w:val="none"/>
          <w:lang w:eastAsia="zh-CN"/>
        </w:rPr>
        <w:t>通过政策兑现综合服务平台</w:t>
      </w:r>
      <w:r>
        <w:rPr>
          <w:rFonts w:hint="eastAsia" w:ascii="仿宋_GB2312" w:hAnsi="仿宋_GB2312" w:eastAsia="仿宋_GB2312" w:cs="仿宋_GB2312"/>
          <w:color w:val="000000"/>
          <w:kern w:val="2"/>
          <w:sz w:val="32"/>
          <w:szCs w:val="32"/>
          <w:highlight w:val="none"/>
        </w:rPr>
        <w:t>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highlight w:val="none"/>
        </w:rPr>
        <w:t>申报主体进行公示。</w:t>
      </w:r>
    </w:p>
    <w:p w14:paraId="7660F7CB">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（七）</w:t>
      </w:r>
      <w:r>
        <w:rPr>
          <w:rFonts w:hint="eastAsia" w:ascii="仿宋_GB2312" w:hAnsi="仿宋_GB2312" w:eastAsia="仿宋_GB2312" w:cs="仿宋_GB2312"/>
          <w:b/>
          <w:bCs/>
          <w:color w:val="000000"/>
          <w:kern w:val="2"/>
          <w:sz w:val="32"/>
          <w:szCs w:val="32"/>
          <w:highlight w:val="none"/>
        </w:rPr>
        <w:t>资金拨付</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经</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BA9D68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14:paraId="11B3B765">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经开区工委宣传文化部</w:t>
      </w:r>
    </w:p>
    <w:p w14:paraId="68EC157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14:paraId="5F63FFC1">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CB83F3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14:paraId="72F9220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color w:val="000000" w:themeColor="text1"/>
          <w:sz w:val="32"/>
          <w:szCs w:val="32"/>
          <w:highlight w:val="none"/>
        </w:rPr>
        <w:t>年</w:t>
      </w:r>
      <w:r>
        <w:rPr>
          <w:rFonts w:hint="eastAsia" w:ascii="仿宋_GB2312" w:hAnsi="仿宋_GB2312" w:eastAsia="仿宋_GB2312" w:cs="仿宋_GB2312"/>
          <w:color w:val="000000" w:themeColor="text1"/>
          <w:sz w:val="32"/>
          <w:szCs w:val="32"/>
          <w:highlight w:val="none"/>
          <w:lang w:val="en-US" w:eastAsia="zh-CN"/>
        </w:rPr>
        <w:t>11</w:t>
      </w:r>
      <w:r>
        <w:rPr>
          <w:rFonts w:hint="eastAsia" w:ascii="仿宋_GB2312" w:hAnsi="仿宋_GB2312" w:eastAsia="仿宋_GB2312" w:cs="仿宋_GB2312"/>
          <w:color w:val="000000" w:themeColor="text1"/>
          <w:sz w:val="32"/>
          <w:szCs w:val="32"/>
          <w:highlight w:val="none"/>
        </w:rPr>
        <w:t>月</w:t>
      </w:r>
      <w:r>
        <w:rPr>
          <w:rFonts w:hint="eastAsia" w:ascii="仿宋_GB2312" w:hAnsi="仿宋_GB2312" w:eastAsia="仿宋_GB2312" w:cs="仿宋_GB2312"/>
          <w:color w:val="000000" w:themeColor="text1"/>
          <w:sz w:val="32"/>
          <w:szCs w:val="32"/>
          <w:highlight w:val="none"/>
          <w:lang w:val="en-US" w:eastAsia="zh-CN"/>
        </w:rPr>
        <w:t>7</w:t>
      </w:r>
      <w:r>
        <w:rPr>
          <w:rFonts w:hint="eastAsia" w:ascii="仿宋_GB2312" w:hAnsi="仿宋_GB2312" w:eastAsia="仿宋_GB2312" w:cs="仿宋_GB2312"/>
          <w:color w:val="000000" w:themeColor="text1"/>
          <w:sz w:val="32"/>
          <w:szCs w:val="32"/>
          <w:highlight w:val="none"/>
        </w:rPr>
        <w:t>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w:t>
      </w:r>
    </w:p>
    <w:p w14:paraId="6997C60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十、联系方式</w:t>
      </w:r>
    </w:p>
    <w:p w14:paraId="5E17FDC0">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lang w:eastAsia="zh-CN"/>
        </w:rPr>
        <w:t>政策</w:t>
      </w:r>
      <w:r>
        <w:rPr>
          <w:rFonts w:hint="eastAsia" w:eastAsia="仿宋_GB2312"/>
          <w:sz w:val="32"/>
          <w:szCs w:val="32"/>
          <w:highlight w:val="none"/>
        </w:rPr>
        <w:t>咨询：</w:t>
      </w:r>
    </w:p>
    <w:p w14:paraId="198ACF8C">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大厅</w:t>
      </w:r>
      <w:r>
        <w:rPr>
          <w:rFonts w:hint="eastAsia" w:eastAsia="仿宋_GB2312"/>
          <w:sz w:val="32"/>
          <w:szCs w:val="32"/>
          <w:highlight w:val="none"/>
        </w:rPr>
        <w:t>“政策申报”窗口，联系电话：</w:t>
      </w:r>
      <w:r>
        <w:rPr>
          <w:rFonts w:hint="eastAsia" w:ascii="仿宋_GB2312" w:hAnsi="仿宋_GB2312" w:eastAsia="仿宋_GB2312" w:cs="仿宋_GB2312"/>
          <w:sz w:val="32"/>
          <w:szCs w:val="32"/>
          <w:highlight w:val="none"/>
        </w:rPr>
        <w:t>010-67857687</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010-67857878转4，工作日上午9:00—12:00，下午1:30—5:00。</w:t>
      </w:r>
    </w:p>
    <w:p w14:paraId="6A2333E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经开区工委宣传文化部，联系人：</w:t>
      </w:r>
      <w:r>
        <w:rPr>
          <w:rFonts w:hint="eastAsia" w:ascii="仿宋_GB2312" w:eastAsia="仿宋_GB2312"/>
          <w:sz w:val="32"/>
          <w:szCs w:val="32"/>
          <w:highlight w:val="none"/>
          <w:lang w:val="en-US" w:eastAsia="zh-CN"/>
        </w:rPr>
        <w:t>周晓丹、</w:t>
      </w:r>
      <w:r>
        <w:rPr>
          <w:rFonts w:hint="eastAsia" w:ascii="仿宋_GB2312" w:eastAsia="仿宋_GB2312"/>
          <w:sz w:val="32"/>
          <w:szCs w:val="32"/>
          <w:highlight w:val="none"/>
        </w:rPr>
        <w:t>张</w:t>
      </w:r>
      <w:r>
        <w:rPr>
          <w:rFonts w:hint="eastAsia" w:ascii="仿宋_GB2312" w:eastAsia="仿宋_GB2312"/>
          <w:sz w:val="32"/>
          <w:szCs w:val="32"/>
          <w:highlight w:val="none"/>
          <w:lang w:val="en-US" w:eastAsia="zh-CN"/>
        </w:rPr>
        <w:t>金鑫</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rPr>
        <w:t>联系电话：010-</w:t>
      </w:r>
      <w:r>
        <w:rPr>
          <w:rFonts w:hint="eastAsia" w:ascii="仿宋_GB2312" w:eastAsia="仿宋_GB2312"/>
          <w:sz w:val="32"/>
          <w:szCs w:val="32"/>
          <w:highlight w:val="none"/>
          <w:lang w:val="en-US" w:eastAsia="zh-CN"/>
        </w:rPr>
        <w:t>83508188</w:t>
      </w:r>
      <w:r>
        <w:rPr>
          <w:rFonts w:hint="eastAsia" w:ascii="仿宋_GB2312" w:eastAsia="仿宋_GB2312"/>
          <w:sz w:val="32"/>
          <w:szCs w:val="32"/>
          <w:highlight w:val="none"/>
        </w:rPr>
        <w:t>，工作日上午9:00—12:00，下午2:00—6:00</w:t>
      </w:r>
      <w:r>
        <w:rPr>
          <w:rFonts w:hint="eastAsia" w:ascii="仿宋_GB2312" w:hAnsi="仿宋_GB2312" w:eastAsia="仿宋_GB2312" w:cs="仿宋_GB2312"/>
          <w:sz w:val="32"/>
          <w:szCs w:val="32"/>
          <w:highlight w:val="none"/>
        </w:rPr>
        <w:t>。</w:t>
      </w:r>
    </w:p>
    <w:p w14:paraId="0E278947">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rPr>
        <w:t>技术支持</w:t>
      </w:r>
      <w:r>
        <w:rPr>
          <w:rFonts w:hint="eastAsia" w:eastAsia="仿宋_GB2312"/>
          <w:sz w:val="32"/>
          <w:szCs w:val="32"/>
          <w:highlight w:val="none"/>
          <w:lang w:eastAsia="zh-CN"/>
        </w:rPr>
        <w:t>：</w:t>
      </w:r>
    </w:p>
    <w:p w14:paraId="5BEA7C53">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工作日上午9:00—12:00，下午2:00—6:00。</w:t>
      </w:r>
    </w:p>
    <w:p w14:paraId="34808B7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14:paraId="2FF2E66C">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51D18FC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14:paraId="023035AD">
      <w:pPr>
        <w:spacing w:after="0" w:line="560" w:lineRule="exact"/>
        <w:ind w:firstLine="640" w:firstLineChars="200"/>
        <w:rPr>
          <w:rFonts w:ascii="仿宋_GB2312" w:hAnsi="仿宋_GB2312" w:eastAsia="仿宋_GB2312" w:cs="仿宋_GB2312"/>
          <w:sz w:val="32"/>
          <w:szCs w:val="32"/>
          <w:highlight w:val="none"/>
        </w:rPr>
      </w:pPr>
      <w:r>
        <w:rPr>
          <w:rFonts w:ascii="Times New Roman" w:hAnsi="Times New Roman" w:eastAsia="仿宋_GB2312"/>
          <w:sz w:val="32"/>
          <w:szCs w:val="32"/>
          <w:highlight w:val="none"/>
        </w:rPr>
        <w:t>同一年度，每家实体书店最多只能申</w:t>
      </w:r>
      <w:r>
        <w:rPr>
          <w:rFonts w:hint="eastAsia" w:ascii="Times New Roman" w:hAnsi="Times New Roman" w:eastAsia="仿宋_GB2312"/>
          <w:sz w:val="32"/>
          <w:szCs w:val="32"/>
          <w:highlight w:val="none"/>
        </w:rPr>
        <w:t>报两个扶持</w:t>
      </w:r>
      <w:r>
        <w:rPr>
          <w:rFonts w:hint="eastAsia" w:eastAsia="仿宋_GB2312"/>
          <w:sz w:val="32"/>
          <w:szCs w:val="32"/>
          <w:highlight w:val="none"/>
          <w:lang w:val="en-US" w:eastAsia="zh-CN"/>
        </w:rPr>
        <w:t>奖励事项</w:t>
      </w:r>
      <w:r>
        <w:rPr>
          <w:rFonts w:hint="eastAsia" w:ascii="Times New Roman" w:hAnsi="Times New Roman" w:eastAsia="仿宋_GB2312"/>
          <w:sz w:val="32"/>
          <w:szCs w:val="32"/>
          <w:highlight w:val="none"/>
        </w:rPr>
        <w:t>，给予每家实体书店的扶持</w:t>
      </w:r>
      <w:r>
        <w:rPr>
          <w:rFonts w:ascii="Times New Roman" w:hAnsi="Times New Roman" w:eastAsia="仿宋_GB2312"/>
          <w:sz w:val="32"/>
          <w:szCs w:val="32"/>
          <w:highlight w:val="none"/>
        </w:rPr>
        <w:t>总金额原则上不超过申</w:t>
      </w:r>
      <w:r>
        <w:rPr>
          <w:rFonts w:hint="eastAsia" w:ascii="Times New Roman" w:hAnsi="Times New Roman" w:eastAsia="仿宋_GB2312"/>
          <w:sz w:val="32"/>
          <w:szCs w:val="32"/>
          <w:highlight w:val="none"/>
        </w:rPr>
        <w:t>报</w:t>
      </w:r>
      <w:r>
        <w:rPr>
          <w:rFonts w:ascii="Times New Roman" w:hAnsi="Times New Roman" w:eastAsia="仿宋_GB2312"/>
          <w:sz w:val="32"/>
          <w:szCs w:val="32"/>
          <w:highlight w:val="none"/>
        </w:rPr>
        <w:t>年度新建成本和经营成本总</w:t>
      </w:r>
      <w:r>
        <w:rPr>
          <w:rFonts w:hint="eastAsia" w:ascii="Times New Roman" w:hAnsi="Times New Roman" w:eastAsia="仿宋_GB2312"/>
          <w:sz w:val="32"/>
          <w:szCs w:val="32"/>
          <w:highlight w:val="none"/>
          <w:lang w:eastAsia="zh-CN"/>
        </w:rPr>
        <w:t>和</w:t>
      </w:r>
      <w:r>
        <w:rPr>
          <w:rFonts w:hint="eastAsia" w:ascii="仿宋_GB2312" w:hAnsi="仿宋_GB2312" w:eastAsia="仿宋_GB2312" w:cs="仿宋_GB2312"/>
          <w:bCs/>
          <w:kern w:val="0"/>
          <w:sz w:val="32"/>
          <w:szCs w:val="32"/>
          <w:highlight w:val="none"/>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0275B9-1CFA-4951-9545-2206528487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2E5F68C-2320-4403-88EE-A1A2B9C94AB5}"/>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F62F2"/>
    <w:rsid w:val="001145E7"/>
    <w:rsid w:val="00116413"/>
    <w:rsid w:val="00156683"/>
    <w:rsid w:val="00161422"/>
    <w:rsid w:val="00161CCE"/>
    <w:rsid w:val="002838D9"/>
    <w:rsid w:val="002F4DBB"/>
    <w:rsid w:val="00360EF1"/>
    <w:rsid w:val="00395968"/>
    <w:rsid w:val="003F41AC"/>
    <w:rsid w:val="00457B4D"/>
    <w:rsid w:val="00527C6D"/>
    <w:rsid w:val="006221C4"/>
    <w:rsid w:val="0064473F"/>
    <w:rsid w:val="006A1513"/>
    <w:rsid w:val="006A6BD3"/>
    <w:rsid w:val="006D0140"/>
    <w:rsid w:val="00710378"/>
    <w:rsid w:val="007C127B"/>
    <w:rsid w:val="00844BDB"/>
    <w:rsid w:val="00900A14"/>
    <w:rsid w:val="009170F7"/>
    <w:rsid w:val="00923A77"/>
    <w:rsid w:val="0098077A"/>
    <w:rsid w:val="00A3406B"/>
    <w:rsid w:val="00B109FA"/>
    <w:rsid w:val="00B74D80"/>
    <w:rsid w:val="00C03DC5"/>
    <w:rsid w:val="00C122AB"/>
    <w:rsid w:val="00C326A4"/>
    <w:rsid w:val="00D35F31"/>
    <w:rsid w:val="00D460B2"/>
    <w:rsid w:val="00D47B14"/>
    <w:rsid w:val="00D5546D"/>
    <w:rsid w:val="00D668C9"/>
    <w:rsid w:val="00D76185"/>
    <w:rsid w:val="00D85A9F"/>
    <w:rsid w:val="00D974EF"/>
    <w:rsid w:val="00EA199B"/>
    <w:rsid w:val="00EA1C1B"/>
    <w:rsid w:val="00F602BD"/>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0B3C55"/>
    <w:rsid w:val="072A1178"/>
    <w:rsid w:val="07487F00"/>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AE939BF"/>
    <w:rsid w:val="0B1708BD"/>
    <w:rsid w:val="0B38121B"/>
    <w:rsid w:val="0B3E75A5"/>
    <w:rsid w:val="0B401B24"/>
    <w:rsid w:val="0B424565"/>
    <w:rsid w:val="0B6B119E"/>
    <w:rsid w:val="0B782C5C"/>
    <w:rsid w:val="0BD84C47"/>
    <w:rsid w:val="0BEE6FC8"/>
    <w:rsid w:val="0BF72154"/>
    <w:rsid w:val="0C3A5354"/>
    <w:rsid w:val="0C4C6FFF"/>
    <w:rsid w:val="0C7D2B96"/>
    <w:rsid w:val="0C804154"/>
    <w:rsid w:val="0C817D6C"/>
    <w:rsid w:val="0CD93D42"/>
    <w:rsid w:val="0D0138A5"/>
    <w:rsid w:val="0D116C59"/>
    <w:rsid w:val="0D920D6C"/>
    <w:rsid w:val="0D9E4973"/>
    <w:rsid w:val="0E4A7C7C"/>
    <w:rsid w:val="0E5672B2"/>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4FD5A10"/>
    <w:rsid w:val="15026CFF"/>
    <w:rsid w:val="151415E7"/>
    <w:rsid w:val="153730CA"/>
    <w:rsid w:val="15526AEE"/>
    <w:rsid w:val="15553FBA"/>
    <w:rsid w:val="157E1A27"/>
    <w:rsid w:val="15AF3425"/>
    <w:rsid w:val="15B34768"/>
    <w:rsid w:val="15F61B74"/>
    <w:rsid w:val="160B7C23"/>
    <w:rsid w:val="161F792B"/>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6A3C38"/>
    <w:rsid w:val="1B714996"/>
    <w:rsid w:val="1B8109FE"/>
    <w:rsid w:val="1B8D4C8F"/>
    <w:rsid w:val="1B9377B6"/>
    <w:rsid w:val="1BB56B5C"/>
    <w:rsid w:val="1C14717E"/>
    <w:rsid w:val="1C1B504A"/>
    <w:rsid w:val="1C2B4E13"/>
    <w:rsid w:val="1C3B6D59"/>
    <w:rsid w:val="1C6E285C"/>
    <w:rsid w:val="1C750AA6"/>
    <w:rsid w:val="1C7B6FF9"/>
    <w:rsid w:val="1D075252"/>
    <w:rsid w:val="1D451EB0"/>
    <w:rsid w:val="1D615728"/>
    <w:rsid w:val="1D761D5A"/>
    <w:rsid w:val="1DDE0041"/>
    <w:rsid w:val="1E3278A5"/>
    <w:rsid w:val="1E447CA3"/>
    <w:rsid w:val="1ED331FC"/>
    <w:rsid w:val="1ED6487D"/>
    <w:rsid w:val="1EFD05E9"/>
    <w:rsid w:val="1EFE4506"/>
    <w:rsid w:val="1F062AC2"/>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2E63DE"/>
    <w:rsid w:val="21335EBD"/>
    <w:rsid w:val="21835613"/>
    <w:rsid w:val="21B6442D"/>
    <w:rsid w:val="21C06C9F"/>
    <w:rsid w:val="21D10780"/>
    <w:rsid w:val="220962A9"/>
    <w:rsid w:val="22384C15"/>
    <w:rsid w:val="22C97BF8"/>
    <w:rsid w:val="22F6591B"/>
    <w:rsid w:val="23117B7A"/>
    <w:rsid w:val="231A5872"/>
    <w:rsid w:val="23403409"/>
    <w:rsid w:val="235F00AC"/>
    <w:rsid w:val="23654BF1"/>
    <w:rsid w:val="23E34E21"/>
    <w:rsid w:val="24955FA2"/>
    <w:rsid w:val="24AB3E23"/>
    <w:rsid w:val="24B24177"/>
    <w:rsid w:val="2533284F"/>
    <w:rsid w:val="25594938"/>
    <w:rsid w:val="255A71D2"/>
    <w:rsid w:val="25DF3625"/>
    <w:rsid w:val="261E412A"/>
    <w:rsid w:val="26446E71"/>
    <w:rsid w:val="26602BD3"/>
    <w:rsid w:val="26D8524A"/>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55046B"/>
    <w:rsid w:val="2D6B0ED7"/>
    <w:rsid w:val="2D715293"/>
    <w:rsid w:val="2D7649D6"/>
    <w:rsid w:val="2DA064BD"/>
    <w:rsid w:val="2DDA66D4"/>
    <w:rsid w:val="2E236E07"/>
    <w:rsid w:val="2E2B3CCA"/>
    <w:rsid w:val="2E491136"/>
    <w:rsid w:val="2EC908A3"/>
    <w:rsid w:val="2ED73427"/>
    <w:rsid w:val="2F0F1578"/>
    <w:rsid w:val="2F2F2A58"/>
    <w:rsid w:val="2F5D1137"/>
    <w:rsid w:val="2F6E0190"/>
    <w:rsid w:val="2F8D4635"/>
    <w:rsid w:val="3012512B"/>
    <w:rsid w:val="30140526"/>
    <w:rsid w:val="306E5387"/>
    <w:rsid w:val="30AB0C90"/>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69157A"/>
    <w:rsid w:val="347C0671"/>
    <w:rsid w:val="349B6674"/>
    <w:rsid w:val="34B21D2C"/>
    <w:rsid w:val="34E04A84"/>
    <w:rsid w:val="34E65163"/>
    <w:rsid w:val="35135498"/>
    <w:rsid w:val="35465824"/>
    <w:rsid w:val="354F42BD"/>
    <w:rsid w:val="3573124D"/>
    <w:rsid w:val="359527A9"/>
    <w:rsid w:val="35B56B4B"/>
    <w:rsid w:val="36415CBD"/>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607A49"/>
    <w:rsid w:val="3A906CBE"/>
    <w:rsid w:val="3A9A21FD"/>
    <w:rsid w:val="3AA934A6"/>
    <w:rsid w:val="3B0A5D15"/>
    <w:rsid w:val="3B6877C8"/>
    <w:rsid w:val="3BDA7DE5"/>
    <w:rsid w:val="3C2F160E"/>
    <w:rsid w:val="3C5F033A"/>
    <w:rsid w:val="3C701D9E"/>
    <w:rsid w:val="3CD117BD"/>
    <w:rsid w:val="3CF83180"/>
    <w:rsid w:val="3D0B1E04"/>
    <w:rsid w:val="3D23696B"/>
    <w:rsid w:val="3D94503B"/>
    <w:rsid w:val="3DA60BA5"/>
    <w:rsid w:val="3DAA6DAB"/>
    <w:rsid w:val="3DD55352"/>
    <w:rsid w:val="3DD73586"/>
    <w:rsid w:val="3DE32562"/>
    <w:rsid w:val="3E20508B"/>
    <w:rsid w:val="3ED12338"/>
    <w:rsid w:val="3EE438FE"/>
    <w:rsid w:val="3EF468CE"/>
    <w:rsid w:val="3EFEE004"/>
    <w:rsid w:val="3F087986"/>
    <w:rsid w:val="3F31781F"/>
    <w:rsid w:val="3F346049"/>
    <w:rsid w:val="3F3D4664"/>
    <w:rsid w:val="3F580B78"/>
    <w:rsid w:val="3FBC30E1"/>
    <w:rsid w:val="3FD009E6"/>
    <w:rsid w:val="3FD4707F"/>
    <w:rsid w:val="3FFD57FE"/>
    <w:rsid w:val="3FFF96A0"/>
    <w:rsid w:val="40945F74"/>
    <w:rsid w:val="409D6C96"/>
    <w:rsid w:val="40A50B34"/>
    <w:rsid w:val="40C0750A"/>
    <w:rsid w:val="410178FA"/>
    <w:rsid w:val="419C40BE"/>
    <w:rsid w:val="41A74911"/>
    <w:rsid w:val="41C24932"/>
    <w:rsid w:val="41EE09AD"/>
    <w:rsid w:val="42271CA4"/>
    <w:rsid w:val="423A4979"/>
    <w:rsid w:val="42553C37"/>
    <w:rsid w:val="4275720E"/>
    <w:rsid w:val="429028C1"/>
    <w:rsid w:val="42AB283A"/>
    <w:rsid w:val="42EE52FD"/>
    <w:rsid w:val="43465CD3"/>
    <w:rsid w:val="43720688"/>
    <w:rsid w:val="43B73ECE"/>
    <w:rsid w:val="44256103"/>
    <w:rsid w:val="444923EA"/>
    <w:rsid w:val="445E5EFA"/>
    <w:rsid w:val="445F1218"/>
    <w:rsid w:val="44993F4E"/>
    <w:rsid w:val="44F72146"/>
    <w:rsid w:val="45126ABE"/>
    <w:rsid w:val="45276590"/>
    <w:rsid w:val="452B2CE7"/>
    <w:rsid w:val="459F5DC5"/>
    <w:rsid w:val="45C327BF"/>
    <w:rsid w:val="45DB5022"/>
    <w:rsid w:val="45DE6545"/>
    <w:rsid w:val="4634401A"/>
    <w:rsid w:val="46352992"/>
    <w:rsid w:val="466A43C0"/>
    <w:rsid w:val="467F7F60"/>
    <w:rsid w:val="469D497C"/>
    <w:rsid w:val="46C07C6D"/>
    <w:rsid w:val="46D46FCB"/>
    <w:rsid w:val="46F44A2C"/>
    <w:rsid w:val="473F0C29"/>
    <w:rsid w:val="474159DD"/>
    <w:rsid w:val="48045B63"/>
    <w:rsid w:val="484F2842"/>
    <w:rsid w:val="48B23FDE"/>
    <w:rsid w:val="49006A23"/>
    <w:rsid w:val="492A682B"/>
    <w:rsid w:val="49596A53"/>
    <w:rsid w:val="49743649"/>
    <w:rsid w:val="49AE2D68"/>
    <w:rsid w:val="49C3065B"/>
    <w:rsid w:val="49FE7196"/>
    <w:rsid w:val="4A223670"/>
    <w:rsid w:val="4A3148B7"/>
    <w:rsid w:val="4A3C2091"/>
    <w:rsid w:val="4A41431D"/>
    <w:rsid w:val="4A8A325C"/>
    <w:rsid w:val="4AB84ECB"/>
    <w:rsid w:val="4ACF4B48"/>
    <w:rsid w:val="4AEB69AD"/>
    <w:rsid w:val="4B6D7706"/>
    <w:rsid w:val="4BA51F05"/>
    <w:rsid w:val="4BDA002B"/>
    <w:rsid w:val="4BFB127C"/>
    <w:rsid w:val="4C0963DD"/>
    <w:rsid w:val="4C1623CC"/>
    <w:rsid w:val="4C240DC6"/>
    <w:rsid w:val="4C373125"/>
    <w:rsid w:val="4C990DFC"/>
    <w:rsid w:val="4CBC3A42"/>
    <w:rsid w:val="4CDC02F4"/>
    <w:rsid w:val="4CF91E5B"/>
    <w:rsid w:val="4D181700"/>
    <w:rsid w:val="4D60497D"/>
    <w:rsid w:val="4D6B0A00"/>
    <w:rsid w:val="4D75145B"/>
    <w:rsid w:val="4D896065"/>
    <w:rsid w:val="4D9449F9"/>
    <w:rsid w:val="4D9F002D"/>
    <w:rsid w:val="4DA85F8D"/>
    <w:rsid w:val="4DD62215"/>
    <w:rsid w:val="4E2B5D5D"/>
    <w:rsid w:val="4E8B3508"/>
    <w:rsid w:val="4ED13285"/>
    <w:rsid w:val="4F1A6236"/>
    <w:rsid w:val="4F6A651C"/>
    <w:rsid w:val="4F721548"/>
    <w:rsid w:val="4FA73771"/>
    <w:rsid w:val="4FD4377C"/>
    <w:rsid w:val="4FFF4C5B"/>
    <w:rsid w:val="50086DF5"/>
    <w:rsid w:val="5047559D"/>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B391F"/>
    <w:rsid w:val="53AD3C9D"/>
    <w:rsid w:val="53C557D1"/>
    <w:rsid w:val="543A5B0D"/>
    <w:rsid w:val="54504F86"/>
    <w:rsid w:val="545F151F"/>
    <w:rsid w:val="5462681B"/>
    <w:rsid w:val="54FF0C4E"/>
    <w:rsid w:val="55484941"/>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3F38BB"/>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EF83B67"/>
    <w:rsid w:val="5F3F6EB7"/>
    <w:rsid w:val="5F595787"/>
    <w:rsid w:val="5F725D9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8E62EC9"/>
    <w:rsid w:val="6A7C3B1B"/>
    <w:rsid w:val="6A9153AF"/>
    <w:rsid w:val="6A9A5399"/>
    <w:rsid w:val="6ABC2631"/>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0F206C0"/>
    <w:rsid w:val="712573D2"/>
    <w:rsid w:val="7155010D"/>
    <w:rsid w:val="715C4E8A"/>
    <w:rsid w:val="717F152D"/>
    <w:rsid w:val="71D07EE4"/>
    <w:rsid w:val="720F3D8F"/>
    <w:rsid w:val="72892BC3"/>
    <w:rsid w:val="72A75458"/>
    <w:rsid w:val="72A91202"/>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62433"/>
    <w:rsid w:val="767E6D89"/>
    <w:rsid w:val="768B48F5"/>
    <w:rsid w:val="76A32A08"/>
    <w:rsid w:val="76CF530C"/>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D266D7"/>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C57A1A"/>
    <w:rsid w:val="7FFF2207"/>
    <w:rsid w:val="8B6FF838"/>
    <w:rsid w:val="9F6F6015"/>
    <w:rsid w:val="BF5F3B86"/>
    <w:rsid w:val="C7DB93C8"/>
    <w:rsid w:val="DD7E7DC7"/>
    <w:rsid w:val="DEF5E07B"/>
    <w:rsid w:val="EBF32E78"/>
    <w:rsid w:val="EFEEB9E2"/>
    <w:rsid w:val="F5DBA8FA"/>
    <w:rsid w:val="FDCB0DB0"/>
    <w:rsid w:val="FEBD8C16"/>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styleId="10">
    <w:name w:val="annotation reference"/>
    <w:basedOn w:val="8"/>
    <w:qFormat/>
    <w:uiPriority w:val="0"/>
    <w:rPr>
      <w:sz w:val="21"/>
      <w:szCs w:val="21"/>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1864</Words>
  <Characters>2073</Characters>
  <Lines>14</Lines>
  <Paragraphs>4</Paragraphs>
  <TotalTime>1</TotalTime>
  <ScaleCrop>false</ScaleCrop>
  <LinksUpToDate>false</LinksUpToDate>
  <CharactersWithSpaces>2073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张九峰</cp:lastModifiedBy>
  <cp:lastPrinted>2025-11-05T01:33:36Z</cp:lastPrinted>
  <dcterms:modified xsi:type="dcterms:W3CDTF">2025-11-05T01:35:51Z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