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594C7">
      <w:pPr>
        <w:keepNext w:val="0"/>
        <w:keepLines w:val="0"/>
        <w:pageBreakBefore w:val="0"/>
        <w:kinsoku/>
        <w:wordWrap/>
        <w:overflowPunct/>
        <w:topLinePunct w:val="0"/>
        <w:autoSpaceDE/>
        <w:autoSpaceDN/>
        <w:bidi w:val="0"/>
        <w:spacing w:line="560" w:lineRule="exact"/>
        <w:jc w:val="left"/>
        <w:textAlignment w:val="auto"/>
        <w:outlineLvl w:val="0"/>
        <w:rPr>
          <w:rFonts w:ascii="仿宋_GB2312" w:hAnsi="仿宋_GB2312" w:eastAsia="仿宋_GB2312" w:cs="仿宋_GB2312"/>
          <w:b/>
          <w:bCs/>
          <w:sz w:val="32"/>
          <w:szCs w:val="32"/>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3</w:t>
      </w:r>
    </w:p>
    <w:p w14:paraId="6862C2BF">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4年度</w:t>
      </w:r>
      <w:bookmarkStart w:id="0" w:name="OLE_LINK1"/>
      <w:r>
        <w:rPr>
          <w:rFonts w:hint="eastAsia" w:ascii="方正小标宋简体" w:hAnsi="方正小标宋简体" w:eastAsia="方正小标宋简体" w:cs="方正小标宋简体"/>
          <w:sz w:val="44"/>
          <w:szCs w:val="44"/>
          <w:lang w:val="en-US" w:eastAsia="zh-CN"/>
        </w:rPr>
        <w:t>职业电竞俱乐部参赛支持</w:t>
      </w:r>
      <w:bookmarkEnd w:id="0"/>
    </w:p>
    <w:p w14:paraId="61D8BDE8">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1B44297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84260F7">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29F4F6B3">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sz w:val="32"/>
          <w:lang w:eastAsia="zh-CN"/>
        </w:rPr>
      </w:pPr>
      <w:r>
        <w:rPr>
          <w:rFonts w:hint="eastAsia" w:ascii="仿宋_GB2312" w:eastAsia="仿宋_GB2312"/>
          <w:bCs/>
          <w:color w:val="000000"/>
          <w:sz w:val="32"/>
          <w:lang w:eastAsia="zh-CN"/>
        </w:rPr>
        <w:t>《北京经济技术开发区关于促进科技与文化产业融合发展的若干措施》（京技管发〔2024〕31号）</w:t>
      </w:r>
      <w:r>
        <w:rPr>
          <w:rFonts w:hint="eastAsia" w:ascii="仿宋_GB2312" w:eastAsia="仿宋_GB2312"/>
          <w:bCs/>
          <w:color w:val="000000"/>
          <w:sz w:val="32"/>
          <w:lang w:val="en-US" w:eastAsia="zh-CN"/>
        </w:rPr>
        <w:t>中第12条职业电竞俱乐部落地及参赛支持中“</w:t>
      </w:r>
      <w:bookmarkStart w:id="1" w:name="OLE_LINK3"/>
      <w:r>
        <w:rPr>
          <w:rFonts w:hint="eastAsia" w:ascii="仿宋_GB2312" w:eastAsia="仿宋_GB2312"/>
          <w:bCs/>
          <w:color w:val="000000"/>
          <w:sz w:val="32"/>
          <w:lang w:val="en-US" w:eastAsia="zh-CN"/>
        </w:rPr>
        <w:t>对于在国际职业电竞赛事中取得季军以上成绩的职业电竞俱乐部，给予300万元一次性支持；对于在全国职业电竞赛事中取得季军以上成绩的职业电竞俱乐部，给予100万元一次性支持。每年度单个俱乐部可获得国际、全国电竞赛事参赛支持各一次。”</w:t>
      </w:r>
    </w:p>
    <w:bookmarkEnd w:id="1"/>
    <w:p w14:paraId="6A6F747D">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二、申报事项</w:t>
      </w:r>
    </w:p>
    <w:p w14:paraId="5845B62D">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bCs/>
          <w:color w:val="000000"/>
          <w:sz w:val="32"/>
          <w:szCs w:val="18"/>
        </w:rPr>
      </w:pPr>
      <w:r>
        <w:rPr>
          <w:rFonts w:hint="eastAsia" w:ascii="仿宋_GB2312" w:eastAsia="仿宋_GB2312"/>
          <w:bCs/>
          <w:color w:val="000000"/>
          <w:sz w:val="32"/>
          <w:szCs w:val="18"/>
          <w:lang w:val="en-US" w:eastAsia="zh-CN"/>
        </w:rPr>
        <w:t>2024年度</w:t>
      </w:r>
      <w:r>
        <w:rPr>
          <w:rFonts w:hint="eastAsia" w:ascii="仿宋_GB2312" w:eastAsia="仿宋_GB2312"/>
          <w:bCs/>
          <w:color w:val="000000"/>
          <w:sz w:val="32"/>
          <w:szCs w:val="18"/>
        </w:rPr>
        <w:t>职业电竞俱乐部参赛支持</w:t>
      </w:r>
    </w:p>
    <w:p w14:paraId="1122853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334D66F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lang w:val="en-US" w:eastAsia="zh-CN"/>
        </w:rPr>
      </w:pPr>
      <w:r>
        <w:rPr>
          <w:rFonts w:hint="eastAsia" w:ascii="仿宋_GB2312" w:eastAsia="仿宋_GB2312"/>
          <w:bCs/>
          <w:color w:val="000000"/>
          <w:sz w:val="32"/>
          <w:szCs w:val="18"/>
        </w:rPr>
        <w:t>（一）申报主体应具有独立法人资格、实行独立核算</w:t>
      </w:r>
      <w:r>
        <w:rPr>
          <w:rFonts w:hint="eastAsia" w:ascii="仿宋_GB2312" w:eastAsia="仿宋_GB2312"/>
          <w:bCs/>
          <w:color w:val="000000"/>
          <w:sz w:val="32"/>
          <w:szCs w:val="18"/>
          <w:lang w:val="en-US" w:eastAsia="zh-CN"/>
        </w:rPr>
        <w:t>的企事业单位</w:t>
      </w:r>
      <w:r>
        <w:rPr>
          <w:rFonts w:hint="eastAsia" w:ascii="仿宋_GB2312" w:eastAsia="仿宋_GB2312"/>
          <w:bCs/>
          <w:color w:val="000000"/>
          <w:sz w:val="32"/>
          <w:szCs w:val="18"/>
        </w:rPr>
        <w:t>，在</w:t>
      </w:r>
      <w:r>
        <w:rPr>
          <w:rFonts w:hint="eastAsia" w:ascii="仿宋_GB2312" w:hAnsi="仿宋_GB2312" w:eastAsia="仿宋_GB2312" w:cs="仿宋_GB2312"/>
          <w:kern w:val="0"/>
          <w:sz w:val="32"/>
          <w:szCs w:val="32"/>
          <w:lang w:bidi="ar"/>
        </w:rPr>
        <w:t>亦庄新城225平方公里范围内</w:t>
      </w:r>
      <w:r>
        <w:rPr>
          <w:rFonts w:hint="eastAsia" w:ascii="仿宋_GB2312" w:eastAsia="仿宋_GB2312"/>
          <w:bCs/>
          <w:color w:val="000000"/>
          <w:sz w:val="32"/>
          <w:szCs w:val="18"/>
        </w:rPr>
        <w:t>依法</w:t>
      </w:r>
      <w:r>
        <w:rPr>
          <w:rFonts w:hint="eastAsia" w:ascii="仿宋_GB2312" w:eastAsia="仿宋_GB2312"/>
          <w:bCs/>
          <w:color w:val="000000"/>
          <w:sz w:val="32"/>
          <w:szCs w:val="18"/>
          <w:lang w:val="en-US" w:eastAsia="zh-CN"/>
        </w:rPr>
        <w:t>实际经营</w:t>
      </w:r>
      <w:r>
        <w:rPr>
          <w:rFonts w:hint="eastAsia" w:ascii="仿宋_GB2312" w:eastAsia="仿宋_GB2312"/>
          <w:bCs/>
          <w:color w:val="000000"/>
          <w:sz w:val="32"/>
          <w:szCs w:val="18"/>
        </w:rPr>
        <w:t>；</w:t>
      </w:r>
      <w:r>
        <w:rPr>
          <w:rFonts w:hint="eastAsia" w:ascii="仿宋_GB2312" w:hAnsi="仿宋_GB2312" w:eastAsia="仿宋_GB2312" w:cs="仿宋_GB2312"/>
          <w:kern w:val="0"/>
          <w:sz w:val="32"/>
          <w:szCs w:val="32"/>
          <w:lang w:bidi="ar"/>
        </w:rPr>
        <w:t>近</w:t>
      </w: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kern w:val="0"/>
          <w:sz w:val="32"/>
          <w:szCs w:val="32"/>
          <w:lang w:bidi="ar"/>
        </w:rPr>
        <w:t>年无重大行政处罚记录和刑事犯罪记录</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未列入严重违法失信主体名单</w:t>
      </w:r>
      <w:r>
        <w:rPr>
          <w:rFonts w:hint="eastAsia" w:ascii="仿宋_GB2312" w:hAnsi="仿宋_GB2312" w:eastAsia="仿宋_GB2312" w:cs="仿宋_GB2312"/>
          <w:kern w:val="0"/>
          <w:sz w:val="32"/>
          <w:szCs w:val="32"/>
          <w:lang w:eastAsia="zh-CN" w:bidi="ar"/>
        </w:rPr>
        <w:t>。</w:t>
      </w:r>
    </w:p>
    <w:p w14:paraId="36B9518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sz w:val="32"/>
          <w:szCs w:val="18"/>
          <w:lang w:val="en-US" w:eastAsia="zh-CN"/>
        </w:rPr>
      </w:pPr>
      <w:r>
        <w:rPr>
          <w:rFonts w:hint="eastAsia" w:ascii="仿宋_GB2312" w:eastAsia="仿宋_GB2312"/>
          <w:bCs/>
          <w:color w:val="000000"/>
          <w:sz w:val="32"/>
          <w:szCs w:val="18"/>
        </w:rPr>
        <w:t>（二）申报</w:t>
      </w:r>
      <w:r>
        <w:rPr>
          <w:rFonts w:hint="eastAsia" w:ascii="仿宋_GB2312" w:eastAsia="仿宋_GB2312"/>
          <w:bCs/>
          <w:color w:val="000000"/>
          <w:sz w:val="32"/>
          <w:szCs w:val="18"/>
          <w:lang w:val="en-US" w:eastAsia="zh-CN"/>
        </w:rPr>
        <w:t>主体</w:t>
      </w:r>
      <w:r>
        <w:rPr>
          <w:rFonts w:hint="eastAsia" w:ascii="仿宋_GB2312" w:eastAsia="仿宋_GB2312"/>
          <w:bCs/>
          <w:color w:val="000000"/>
          <w:sz w:val="32"/>
          <w:szCs w:val="18"/>
        </w:rPr>
        <w:t>从事职业电竞俱乐部运营，亦庄新城范围内设有主场</w:t>
      </w:r>
      <w:r>
        <w:rPr>
          <w:rFonts w:hint="eastAsia" w:ascii="仿宋_GB2312" w:eastAsia="仿宋_GB2312"/>
          <w:bCs/>
          <w:color w:val="000000"/>
          <w:sz w:val="32"/>
          <w:lang w:val="en-US" w:eastAsia="zh-CN"/>
        </w:rPr>
        <w:t>。</w:t>
      </w:r>
    </w:p>
    <w:p w14:paraId="6BDE6FC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Style w:val="10"/>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sz w:val="32"/>
          <w:szCs w:val="32"/>
        </w:rPr>
        <w:t>（三）</w:t>
      </w:r>
      <w:r>
        <w:rPr>
          <w:rStyle w:val="10"/>
          <w:rFonts w:hint="eastAsia" w:ascii="仿宋_GB2312" w:hAnsi="仿宋_GB2312" w:eastAsia="仿宋_GB2312" w:cs="仿宋_GB2312"/>
          <w:b w:val="0"/>
          <w:bCs/>
          <w:color w:val="auto"/>
          <w:sz w:val="32"/>
          <w:szCs w:val="32"/>
          <w:highlight w:val="none"/>
          <w:lang w:val="en-US" w:eastAsia="zh-CN"/>
        </w:rPr>
        <w:t>申报主体俱乐部主力成员在亦庄新城纳税并缴纳社保。</w:t>
      </w:r>
    </w:p>
    <w:p w14:paraId="3C39DCD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eastAsia="仿宋_GB2312" w:cs="仿宋_GB2312"/>
          <w:color w:val="000000"/>
          <w:sz w:val="32"/>
          <w:szCs w:val="32"/>
          <w:lang w:val="en-US" w:eastAsia="zh-CN"/>
        </w:rPr>
      </w:pPr>
      <w:r>
        <w:rPr>
          <w:rStyle w:val="10"/>
          <w:rFonts w:hint="eastAsia" w:ascii="仿宋_GB2312" w:hAnsi="仿宋_GB2312" w:eastAsia="仿宋_GB2312" w:cs="仿宋_GB2312"/>
          <w:b w:val="0"/>
          <w:bCs/>
          <w:color w:val="auto"/>
          <w:sz w:val="32"/>
          <w:szCs w:val="32"/>
          <w:highlight w:val="none"/>
          <w:lang w:val="en-US" w:eastAsia="zh-CN"/>
        </w:rPr>
        <w:t>（四）申报主体在2024年1月1日至2024年12月31日期间起参加相关国际、全国职业电竞赛事中获得季军以上成绩，参考数据平台ESC中2024年峰值观众前10且在中国大陆地区获得出版许可</w:t>
      </w:r>
      <w:r>
        <w:rPr>
          <w:rStyle w:val="10"/>
          <w:rFonts w:hint="eastAsia" w:ascii="仿宋_GB2312" w:hAnsi="仿宋_GB2312" w:eastAsia="仿宋_GB2312" w:cs="仿宋_GB2312"/>
          <w:b w:val="0"/>
          <w:bCs/>
          <w:color w:val="auto"/>
          <w:sz w:val="32"/>
          <w:szCs w:val="32"/>
          <w:highlight w:val="none"/>
          <w:lang w:val="en-US" w:eastAsia="zh"/>
        </w:rPr>
        <w:t>职业电竞</w:t>
      </w:r>
      <w:r>
        <w:rPr>
          <w:rStyle w:val="10"/>
          <w:rFonts w:hint="eastAsia" w:ascii="仿宋_GB2312" w:hAnsi="仿宋_GB2312" w:eastAsia="仿宋_GB2312" w:cs="仿宋_GB2312"/>
          <w:b w:val="0"/>
          <w:bCs/>
          <w:color w:val="auto"/>
          <w:sz w:val="32"/>
          <w:szCs w:val="32"/>
          <w:highlight w:val="none"/>
          <w:lang w:val="en-US" w:eastAsia="zh-CN"/>
        </w:rPr>
        <w:t>项目，其相关国际、全国职业电竞赛事，职业电竞赛事</w:t>
      </w:r>
      <w:r>
        <w:rPr>
          <w:rFonts w:hint="eastAsia" w:ascii="仿宋_GB2312" w:eastAsia="仿宋_GB2312" w:cs="仿宋_GB2312"/>
          <w:color w:val="000000"/>
          <w:sz w:val="32"/>
          <w:szCs w:val="32"/>
          <w:lang w:val="en-US" w:eastAsia="zh-CN"/>
        </w:rPr>
        <w:t>如下：</w:t>
      </w:r>
    </w:p>
    <w:p w14:paraId="116AA7B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0"/>
          <w:rFonts w:hint="default" w:ascii="仿宋_GB2312" w:hAnsi="仿宋_GB2312" w:eastAsia="仿宋_GB2312" w:cs="仿宋_GB2312"/>
          <w:b w:val="0"/>
          <w:bCs/>
          <w:color w:val="auto"/>
          <w:sz w:val="32"/>
          <w:szCs w:val="32"/>
          <w:highlight w:val="none"/>
          <w:lang w:val="en-US" w:eastAsia="zh-CN"/>
        </w:rPr>
      </w:pPr>
      <w:r>
        <w:rPr>
          <w:rStyle w:val="10"/>
          <w:rFonts w:hint="default" w:ascii="仿宋_GB2312" w:hAnsi="仿宋_GB2312" w:eastAsia="仿宋_GB2312" w:cs="仿宋_GB2312"/>
          <w:b w:val="0"/>
          <w:bCs/>
          <w:color w:val="auto"/>
          <w:sz w:val="32"/>
          <w:szCs w:val="32"/>
          <w:highlight w:val="none"/>
          <w:lang w:val="en-US" w:eastAsia="zh-CN"/>
        </w:rPr>
        <w:t>1.《英雄联盟》相关赛事</w:t>
      </w:r>
    </w:p>
    <w:p w14:paraId="630AEFD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0"/>
          <w:rFonts w:hint="default" w:ascii="仿宋_GB2312" w:hAnsi="仿宋_GB2312" w:eastAsia="仿宋_GB2312" w:cs="仿宋_GB2312"/>
          <w:b w:val="0"/>
          <w:bCs/>
          <w:color w:val="auto"/>
          <w:sz w:val="32"/>
          <w:szCs w:val="32"/>
          <w:highlight w:val="none"/>
          <w:lang w:val="en-US" w:eastAsia="zh-CN"/>
        </w:rPr>
      </w:pPr>
      <w:r>
        <w:rPr>
          <w:rStyle w:val="10"/>
          <w:rFonts w:hint="default" w:ascii="仿宋_GB2312" w:hAnsi="仿宋_GB2312" w:eastAsia="仿宋_GB2312" w:cs="仿宋_GB2312"/>
          <w:b w:val="0"/>
          <w:bCs/>
          <w:color w:val="auto"/>
          <w:sz w:val="32"/>
          <w:szCs w:val="32"/>
          <w:highlight w:val="none"/>
          <w:lang w:val="en-US" w:eastAsia="zh-CN"/>
        </w:rPr>
        <w:t>英雄联盟全球总决赛（S赛）【锦标赛】、英雄联盟季中冠军赛【锦标赛】、英雄联盟职业联赛（LPL）【联赛】。</w:t>
      </w:r>
    </w:p>
    <w:p w14:paraId="493AF41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0"/>
          <w:rFonts w:hint="default" w:ascii="仿宋_GB2312" w:hAnsi="仿宋_GB2312" w:eastAsia="仿宋_GB2312" w:cs="仿宋_GB2312"/>
          <w:b w:val="0"/>
          <w:bCs/>
          <w:color w:val="auto"/>
          <w:sz w:val="32"/>
          <w:szCs w:val="32"/>
          <w:highlight w:val="none"/>
          <w:lang w:val="en-US" w:eastAsia="zh-CN"/>
        </w:rPr>
      </w:pPr>
      <w:r>
        <w:rPr>
          <w:rStyle w:val="10"/>
          <w:rFonts w:hint="default" w:ascii="仿宋_GB2312" w:hAnsi="仿宋_GB2312" w:eastAsia="仿宋_GB2312" w:cs="仿宋_GB2312"/>
          <w:b w:val="0"/>
          <w:bCs/>
          <w:color w:val="auto"/>
          <w:sz w:val="32"/>
          <w:szCs w:val="32"/>
          <w:highlight w:val="none"/>
          <w:lang w:val="en-US" w:eastAsia="zh-CN"/>
        </w:rPr>
        <w:t>2.《王者荣耀》相关赛事</w:t>
      </w:r>
    </w:p>
    <w:p w14:paraId="321BE52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0"/>
          <w:rFonts w:hint="default" w:ascii="仿宋_GB2312" w:hAnsi="仿宋_GB2312" w:eastAsia="仿宋_GB2312" w:cs="仿宋_GB2312"/>
          <w:b w:val="0"/>
          <w:bCs/>
          <w:color w:val="auto"/>
          <w:sz w:val="32"/>
          <w:szCs w:val="32"/>
          <w:highlight w:val="none"/>
          <w:lang w:val="en-US" w:eastAsia="zh-CN"/>
        </w:rPr>
      </w:pPr>
      <w:r>
        <w:rPr>
          <w:rStyle w:val="10"/>
          <w:rFonts w:hint="default" w:ascii="仿宋_GB2312" w:hAnsi="仿宋_GB2312" w:eastAsia="仿宋_GB2312" w:cs="仿宋_GB2312"/>
          <w:b w:val="0"/>
          <w:bCs/>
          <w:color w:val="auto"/>
          <w:sz w:val="32"/>
          <w:szCs w:val="32"/>
          <w:highlight w:val="none"/>
          <w:lang w:val="en-US" w:eastAsia="zh-CN"/>
        </w:rPr>
        <w:t>王者荣耀年度总决赛【锦标赛】、王者荣耀挑战者杯【锦标赛】、王者荣耀职业联赛（KPL）【联赛】。</w:t>
      </w:r>
    </w:p>
    <w:p w14:paraId="1705A7B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0"/>
          <w:rFonts w:hint="default" w:ascii="仿宋_GB2312" w:hAnsi="仿宋_GB2312" w:eastAsia="仿宋_GB2312" w:cs="仿宋_GB2312"/>
          <w:b w:val="0"/>
          <w:bCs/>
          <w:color w:val="auto"/>
          <w:sz w:val="32"/>
          <w:szCs w:val="32"/>
          <w:highlight w:val="none"/>
          <w:lang w:val="en-US" w:eastAsia="zh-CN"/>
        </w:rPr>
      </w:pPr>
      <w:r>
        <w:rPr>
          <w:rStyle w:val="10"/>
          <w:rFonts w:hint="default" w:ascii="仿宋_GB2312" w:hAnsi="仿宋_GB2312" w:eastAsia="仿宋_GB2312" w:cs="仿宋_GB2312"/>
          <w:b w:val="0"/>
          <w:bCs/>
          <w:color w:val="auto"/>
          <w:sz w:val="32"/>
          <w:szCs w:val="32"/>
          <w:highlight w:val="none"/>
          <w:lang w:val="en-US" w:eastAsia="zh-CN"/>
        </w:rPr>
        <w:t>3.《DOTA2》相关赛事</w:t>
      </w:r>
    </w:p>
    <w:p w14:paraId="205FDB1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0"/>
          <w:rFonts w:hint="default" w:ascii="仿宋_GB2312" w:hAnsi="仿宋_GB2312" w:eastAsia="仿宋_GB2312" w:cs="仿宋_GB2312"/>
          <w:b w:val="0"/>
          <w:bCs/>
          <w:color w:val="auto"/>
          <w:sz w:val="32"/>
          <w:szCs w:val="32"/>
          <w:highlight w:val="none"/>
          <w:lang w:val="en-US" w:eastAsia="zh-CN"/>
        </w:rPr>
      </w:pPr>
      <w:r>
        <w:rPr>
          <w:rStyle w:val="10"/>
          <w:rFonts w:hint="default" w:ascii="仿宋_GB2312" w:hAnsi="仿宋_GB2312" w:eastAsia="仿宋_GB2312" w:cs="仿宋_GB2312"/>
          <w:b w:val="0"/>
          <w:bCs/>
          <w:color w:val="auto"/>
          <w:sz w:val="32"/>
          <w:szCs w:val="32"/>
          <w:highlight w:val="none"/>
          <w:lang w:val="en-US" w:eastAsia="zh-CN"/>
        </w:rPr>
        <w:t>DOTA2国际邀请赛（TI）【锦标赛】、BLAST系列赛事【锦标赛】。</w:t>
      </w:r>
    </w:p>
    <w:p w14:paraId="19B571C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0"/>
          <w:rFonts w:hint="default" w:ascii="仿宋_GB2312" w:hAnsi="仿宋_GB2312" w:eastAsia="仿宋_GB2312" w:cs="仿宋_GB2312"/>
          <w:b w:val="0"/>
          <w:bCs/>
          <w:color w:val="auto"/>
          <w:sz w:val="32"/>
          <w:szCs w:val="32"/>
          <w:highlight w:val="none"/>
          <w:lang w:val="en-US" w:eastAsia="zh-CN"/>
        </w:rPr>
      </w:pPr>
      <w:r>
        <w:rPr>
          <w:rStyle w:val="10"/>
          <w:rFonts w:hint="default" w:ascii="仿宋_GB2312" w:hAnsi="仿宋_GB2312" w:eastAsia="仿宋_GB2312" w:cs="仿宋_GB2312"/>
          <w:b w:val="0"/>
          <w:bCs/>
          <w:color w:val="auto"/>
          <w:sz w:val="32"/>
          <w:szCs w:val="32"/>
          <w:highlight w:val="none"/>
          <w:lang w:val="en-US" w:eastAsia="zh-CN"/>
        </w:rPr>
        <w:t>4.《反恐精英2》（CS2）相关赛事</w:t>
      </w:r>
    </w:p>
    <w:p w14:paraId="44DA240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0"/>
          <w:rFonts w:hint="default" w:ascii="仿宋_GB2312" w:hAnsi="仿宋_GB2312" w:eastAsia="仿宋_GB2312" w:cs="仿宋_GB2312"/>
          <w:b w:val="0"/>
          <w:bCs/>
          <w:color w:val="auto"/>
          <w:sz w:val="32"/>
          <w:szCs w:val="32"/>
          <w:highlight w:val="none"/>
          <w:lang w:val="en-US" w:eastAsia="zh-CN"/>
        </w:rPr>
      </w:pPr>
      <w:r>
        <w:rPr>
          <w:rStyle w:val="10"/>
          <w:rFonts w:hint="default" w:ascii="仿宋_GB2312" w:hAnsi="仿宋_GB2312" w:eastAsia="仿宋_GB2312" w:cs="仿宋_GB2312"/>
          <w:b w:val="0"/>
          <w:bCs/>
          <w:color w:val="auto"/>
          <w:sz w:val="32"/>
          <w:szCs w:val="32"/>
          <w:highlight w:val="none"/>
          <w:lang w:val="en-US" w:eastAsia="zh-CN"/>
        </w:rPr>
        <w:t>英特尔极限大师赛（IEM）【锦标赛】、ESL Pro League 【锦标赛】、BLAST系列赛事【锦标赛】。</w:t>
      </w:r>
    </w:p>
    <w:p w14:paraId="742A4C3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0"/>
          <w:rFonts w:hint="default" w:ascii="仿宋_GB2312" w:hAnsi="仿宋_GB2312" w:eastAsia="仿宋_GB2312" w:cs="仿宋_GB2312"/>
          <w:b w:val="0"/>
          <w:bCs/>
          <w:color w:val="auto"/>
          <w:sz w:val="32"/>
          <w:szCs w:val="32"/>
          <w:highlight w:val="none"/>
          <w:lang w:val="en-US" w:eastAsia="zh-CN"/>
        </w:rPr>
      </w:pPr>
      <w:r>
        <w:rPr>
          <w:rStyle w:val="10"/>
          <w:rFonts w:hint="default" w:ascii="仿宋_GB2312" w:hAnsi="仿宋_GB2312" w:eastAsia="仿宋_GB2312" w:cs="仿宋_GB2312"/>
          <w:b w:val="0"/>
          <w:bCs/>
          <w:color w:val="auto"/>
          <w:sz w:val="32"/>
          <w:szCs w:val="32"/>
          <w:highlight w:val="none"/>
          <w:lang w:val="en-US" w:eastAsia="zh-CN"/>
        </w:rPr>
        <w:t>5.《和平精英》相关赛事</w:t>
      </w:r>
    </w:p>
    <w:p w14:paraId="0339D67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0"/>
          <w:rFonts w:hint="default" w:ascii="仿宋_GB2312" w:hAnsi="仿宋_GB2312" w:eastAsia="仿宋_GB2312" w:cs="仿宋_GB2312"/>
          <w:b w:val="0"/>
          <w:bCs/>
          <w:color w:val="auto"/>
          <w:sz w:val="32"/>
          <w:szCs w:val="32"/>
          <w:highlight w:val="none"/>
          <w:lang w:val="en-US" w:eastAsia="zh-CN"/>
        </w:rPr>
      </w:pPr>
      <w:r>
        <w:rPr>
          <w:rStyle w:val="10"/>
          <w:rFonts w:hint="default" w:ascii="仿宋_GB2312" w:hAnsi="仿宋_GB2312" w:eastAsia="仿宋_GB2312" w:cs="仿宋_GB2312"/>
          <w:b w:val="0"/>
          <w:bCs/>
          <w:color w:val="auto"/>
          <w:sz w:val="32"/>
          <w:szCs w:val="32"/>
          <w:highlight w:val="none"/>
          <w:lang w:val="en-US" w:eastAsia="zh-CN"/>
        </w:rPr>
        <w:t>和平精英全球总决赛（PMGC）【锦标赛】、和平精英职业联赛（PEL）【联赛】。</w:t>
      </w:r>
    </w:p>
    <w:p w14:paraId="7DE1B05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0"/>
          <w:rFonts w:hint="default" w:ascii="仿宋_GB2312" w:hAnsi="仿宋_GB2312" w:eastAsia="仿宋_GB2312" w:cs="仿宋_GB2312"/>
          <w:b w:val="0"/>
          <w:bCs/>
          <w:color w:val="auto"/>
          <w:sz w:val="32"/>
          <w:szCs w:val="32"/>
          <w:highlight w:val="none"/>
          <w:lang w:val="en-US" w:eastAsia="zh-CN"/>
        </w:rPr>
      </w:pPr>
      <w:r>
        <w:rPr>
          <w:rStyle w:val="10"/>
          <w:rFonts w:hint="default" w:ascii="仿宋_GB2312" w:hAnsi="仿宋_GB2312" w:eastAsia="仿宋_GB2312" w:cs="仿宋_GB2312"/>
          <w:b w:val="0"/>
          <w:bCs/>
          <w:color w:val="auto"/>
          <w:sz w:val="32"/>
          <w:szCs w:val="32"/>
          <w:highlight w:val="none"/>
          <w:lang w:val="en-US" w:eastAsia="zh-CN"/>
        </w:rPr>
        <w:t>6.《无畏契约》相关赛事</w:t>
      </w:r>
    </w:p>
    <w:p w14:paraId="7E43EED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0"/>
          <w:rFonts w:hint="default" w:ascii="仿宋_GB2312" w:hAnsi="仿宋_GB2312" w:eastAsia="仿宋_GB2312" w:cs="仿宋_GB2312"/>
          <w:b w:val="0"/>
          <w:bCs/>
          <w:color w:val="auto"/>
          <w:sz w:val="32"/>
          <w:szCs w:val="32"/>
          <w:highlight w:val="none"/>
          <w:lang w:val="en-US" w:eastAsia="zh-CN"/>
        </w:rPr>
      </w:pPr>
      <w:r>
        <w:rPr>
          <w:rStyle w:val="10"/>
          <w:rFonts w:hint="default" w:ascii="仿宋_GB2312" w:hAnsi="仿宋_GB2312" w:eastAsia="仿宋_GB2312" w:cs="仿宋_GB2312"/>
          <w:b w:val="0"/>
          <w:bCs/>
          <w:color w:val="auto"/>
          <w:sz w:val="32"/>
          <w:szCs w:val="32"/>
          <w:highlight w:val="none"/>
          <w:lang w:val="en-US" w:eastAsia="zh-CN"/>
        </w:rPr>
        <w:t>无畏契约全球冠军赛【锦标赛】、无畏契约大师赛【锦标赛】、无畏契约冠军巡回赛CN联赛【联赛】</w:t>
      </w:r>
    </w:p>
    <w:p w14:paraId="293A5BB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0"/>
          <w:rFonts w:hint="default" w:ascii="仿宋_GB2312" w:hAnsi="仿宋_GB2312" w:eastAsia="仿宋_GB2312" w:cs="仿宋_GB2312"/>
          <w:b w:val="0"/>
          <w:bCs/>
          <w:color w:val="auto"/>
          <w:sz w:val="32"/>
          <w:szCs w:val="32"/>
          <w:highlight w:val="none"/>
          <w:lang w:val="en-US" w:eastAsia="zh-CN"/>
        </w:rPr>
      </w:pPr>
      <w:r>
        <w:rPr>
          <w:rStyle w:val="10"/>
          <w:rFonts w:hint="default" w:ascii="仿宋_GB2312" w:hAnsi="仿宋_GB2312" w:eastAsia="仿宋_GB2312" w:cs="仿宋_GB2312"/>
          <w:b w:val="0"/>
          <w:bCs/>
          <w:color w:val="auto"/>
          <w:sz w:val="32"/>
          <w:szCs w:val="32"/>
          <w:highlight w:val="none"/>
          <w:lang w:val="en-US" w:eastAsia="zh-CN"/>
        </w:rPr>
        <w:t>7.《决胜巅峰》相关赛事</w:t>
      </w:r>
    </w:p>
    <w:p w14:paraId="2E26274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0"/>
          <w:rFonts w:hint="default" w:ascii="仿宋_GB2312" w:hAnsi="仿宋_GB2312" w:eastAsia="仿宋_GB2312" w:cs="仿宋_GB2312"/>
          <w:b w:val="0"/>
          <w:bCs/>
          <w:color w:val="auto"/>
          <w:sz w:val="32"/>
          <w:szCs w:val="32"/>
          <w:highlight w:val="none"/>
          <w:lang w:val="en-US" w:eastAsia="zh-CN"/>
        </w:rPr>
      </w:pPr>
      <w:r>
        <w:rPr>
          <w:rStyle w:val="10"/>
          <w:rFonts w:hint="default" w:ascii="仿宋_GB2312" w:hAnsi="仿宋_GB2312" w:eastAsia="仿宋_GB2312" w:cs="仿宋_GB2312"/>
          <w:b w:val="0"/>
          <w:bCs/>
          <w:color w:val="auto"/>
          <w:sz w:val="32"/>
          <w:szCs w:val="32"/>
          <w:highlight w:val="none"/>
          <w:lang w:val="en-US" w:eastAsia="zh-CN"/>
        </w:rPr>
        <w:t>决胜巅峰全球总决赛（M赛）【锦标赛】、决赛巅峰季中冠军赛【锦标赛】。</w:t>
      </w:r>
    </w:p>
    <w:p w14:paraId="4E9A17B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0"/>
          <w:rFonts w:hint="default" w:ascii="仿宋_GB2312" w:hAnsi="仿宋_GB2312" w:eastAsia="仿宋_GB2312" w:cs="仿宋_GB2312"/>
          <w:b w:val="0"/>
          <w:bCs/>
          <w:color w:val="auto"/>
          <w:sz w:val="32"/>
          <w:szCs w:val="32"/>
          <w:highlight w:val="none"/>
          <w:lang w:val="en-US" w:eastAsia="zh-CN"/>
        </w:rPr>
      </w:pPr>
      <w:r>
        <w:rPr>
          <w:rStyle w:val="10"/>
          <w:rFonts w:hint="default" w:ascii="仿宋_GB2312" w:hAnsi="仿宋_GB2312" w:eastAsia="仿宋_GB2312" w:cs="仿宋_GB2312"/>
          <w:b w:val="0"/>
          <w:bCs/>
          <w:color w:val="auto"/>
          <w:sz w:val="32"/>
          <w:szCs w:val="32"/>
          <w:highlight w:val="none"/>
          <w:lang w:val="en-US" w:eastAsia="zh-CN"/>
        </w:rPr>
        <w:t>8.其他热门赛事</w:t>
      </w:r>
    </w:p>
    <w:p w14:paraId="2690B941">
      <w:pPr>
        <w:pStyle w:val="2"/>
        <w:ind w:firstLine="640" w:firstLineChars="200"/>
        <w:rPr>
          <w:rFonts w:hint="default"/>
          <w:lang w:val="en-US" w:eastAsia="zh-CN"/>
        </w:rPr>
      </w:pPr>
      <w:r>
        <w:rPr>
          <w:rStyle w:val="10"/>
          <w:rFonts w:hint="default" w:ascii="仿宋_GB2312" w:hAnsi="仿宋_GB2312" w:eastAsia="仿宋_GB2312" w:cs="仿宋_GB2312"/>
          <w:b w:val="0"/>
          <w:bCs/>
          <w:color w:val="auto"/>
          <w:sz w:val="32"/>
          <w:szCs w:val="32"/>
          <w:highlight w:val="none"/>
          <w:lang w:val="en-US" w:eastAsia="zh-CN"/>
        </w:rPr>
        <w:t>电子竞技世界杯（EWC）、亚洲电子竞技冠军联赛（ACL）等。</w:t>
      </w:r>
    </w:p>
    <w:p w14:paraId="13699E17">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四、支持内容及标准</w:t>
      </w:r>
    </w:p>
    <w:p w14:paraId="0226EC61">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sz w:val="32"/>
          <w:lang w:val="en-US" w:eastAsia="zh-CN"/>
        </w:rPr>
      </w:pPr>
      <w:r>
        <w:rPr>
          <w:rFonts w:hint="eastAsia" w:ascii="仿宋_GB2312" w:eastAsia="仿宋_GB2312"/>
          <w:bCs/>
          <w:color w:val="000000"/>
          <w:sz w:val="32"/>
          <w:szCs w:val="18"/>
        </w:rPr>
        <w:t>（一）</w:t>
      </w:r>
      <w:r>
        <w:rPr>
          <w:rFonts w:hint="eastAsia" w:ascii="仿宋_GB2312" w:eastAsia="仿宋_GB2312"/>
          <w:bCs/>
          <w:color w:val="000000"/>
          <w:sz w:val="32"/>
          <w:lang w:val="en-US" w:eastAsia="zh-CN"/>
        </w:rPr>
        <w:t>对于在国际职业电竞赛事中取得季军以上成绩的职业电竞俱乐部，给予300万元一次性支持；对于在全国职业电竞赛事中取得季军以上成绩的职业电竞俱乐部，给予100万元一次性支持。每年度单个俱乐部可获得国际、全国电竞赛事参赛支持各一次。</w:t>
      </w:r>
    </w:p>
    <w:p w14:paraId="328F324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）同一项目符合多项支持内容的，按照从高不重复的原则予以支持。支持金额以万元为单位，保留一位小数，低于1万元不予兑现，不足千元部分舍去。</w:t>
      </w:r>
    </w:p>
    <w:p w14:paraId="14DC869E">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08BFA1DE">
      <w:pPr>
        <w:keepNext w:val="0"/>
        <w:keepLines w:val="0"/>
        <w:pageBreakBefore w:val="0"/>
        <w:numPr>
          <w:ilvl w:val="-1"/>
          <w:numId w:val="0"/>
        </w:numPr>
        <w:kinsoku/>
        <w:wordWrap/>
        <w:overflowPunct/>
        <w:topLinePunct w:val="0"/>
        <w:autoSpaceDE/>
        <w:autoSpaceDN/>
        <w:bidi w:val="0"/>
        <w:adjustRightInd w:val="0"/>
        <w:snapToGrid w:val="0"/>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年度职业电竞俱乐部</w:t>
      </w:r>
      <w:r>
        <w:rPr>
          <w:rFonts w:hint="eastAsia" w:ascii="仿宋_GB2312" w:hAnsi="仿宋_GB2312" w:eastAsia="仿宋_GB2312" w:cs="仿宋_GB2312"/>
          <w:sz w:val="32"/>
          <w:szCs w:val="32"/>
          <w:lang w:val="en-US" w:eastAsia="zh-CN"/>
        </w:rPr>
        <w:t>参</w:t>
      </w:r>
      <w:r>
        <w:rPr>
          <w:rFonts w:hint="eastAsia" w:ascii="仿宋_GB2312" w:hAnsi="仿宋_GB2312" w:eastAsia="仿宋_GB2312" w:cs="仿宋_GB2312"/>
          <w:sz w:val="32"/>
          <w:szCs w:val="32"/>
        </w:rPr>
        <w:t>赛</w:t>
      </w:r>
      <w:r>
        <w:rPr>
          <w:rFonts w:hint="eastAsia" w:ascii="仿宋_GB2312" w:hAnsi="仿宋_GB2312" w:eastAsia="仿宋_GB2312" w:cs="仿宋_GB2312"/>
          <w:sz w:val="32"/>
          <w:szCs w:val="32"/>
          <w:lang w:val="en-US" w:eastAsia="zh-CN"/>
        </w:rPr>
        <w:t>支持申报表</w:t>
      </w:r>
      <w:r>
        <w:rPr>
          <w:rFonts w:hint="eastAsia" w:ascii="仿宋_GB2312" w:hAnsi="仿宋_GB2312" w:eastAsia="仿宋_GB2312" w:cs="仿宋_GB2312"/>
          <w:sz w:val="32"/>
          <w:szCs w:val="32"/>
        </w:rPr>
        <w:t>，在线填写；</w:t>
      </w:r>
    </w:p>
    <w:p w14:paraId="098EBB8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3EAAE7C0">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363A891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4.银行账户信息，下载模板填写，加盖公章，彩色扫描上传；</w:t>
      </w:r>
    </w:p>
    <w:p w14:paraId="64FA049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lang w:val="en-US" w:eastAsia="zh-CN"/>
        </w:rPr>
        <w:t>申报单位2024年度财务审计报告或财务报表</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审计报告原件彩色扫描上传；财务报表加盖公章，彩色扫描上传</w:t>
      </w:r>
      <w:r>
        <w:rPr>
          <w:rFonts w:hint="eastAsia" w:ascii="仿宋_GB2312" w:hAnsi="仿宋_GB2312" w:eastAsia="仿宋_GB2312" w:cs="仿宋_GB2312"/>
          <w:sz w:val="32"/>
          <w:szCs w:val="32"/>
        </w:rPr>
        <w:t>；</w:t>
      </w:r>
    </w:p>
    <w:p w14:paraId="2A47A79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eastAsia="仿宋_GB2312"/>
          <w:bCs/>
          <w:color w:val="000000"/>
          <w:sz w:val="32"/>
          <w:szCs w:val="18"/>
          <w:highlight w:val="none"/>
        </w:rPr>
        <w:t>申报主体职业电竞俱乐部</w:t>
      </w:r>
      <w:r>
        <w:rPr>
          <w:rFonts w:hint="eastAsia" w:ascii="仿宋_GB2312" w:eastAsia="仿宋_GB2312"/>
          <w:bCs/>
          <w:color w:val="000000"/>
          <w:sz w:val="32"/>
          <w:szCs w:val="18"/>
          <w:highlight w:val="none"/>
          <w:lang w:val="en-US" w:eastAsia="zh-CN"/>
        </w:rPr>
        <w:t>运营情况报告，下载模板填写，</w:t>
      </w:r>
      <w:r>
        <w:rPr>
          <w:rFonts w:hint="eastAsia" w:ascii="仿宋_GB2312" w:hAnsi="仿宋_GB2312" w:eastAsia="仿宋_GB2312" w:cs="仿宋_GB2312"/>
          <w:sz w:val="32"/>
          <w:szCs w:val="32"/>
          <w:highlight w:val="none"/>
        </w:rPr>
        <w:t>加盖公章，彩色扫描上传；</w:t>
      </w:r>
    </w:p>
    <w:p w14:paraId="3EEBE14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eastAsia="仿宋_GB2312"/>
          <w:bCs/>
          <w:color w:val="000000"/>
          <w:sz w:val="32"/>
          <w:szCs w:val="18"/>
          <w:highlight w:val="none"/>
          <w:lang w:val="en-US" w:eastAsia="zh-CN"/>
        </w:rPr>
        <w:t>7.申报主体参赛及获奖情况证明材料，包括但不限于</w:t>
      </w:r>
      <w:r>
        <w:rPr>
          <w:rFonts w:hint="eastAsia" w:ascii="仿宋_GB2312" w:eastAsia="仿宋_GB2312"/>
          <w:bCs/>
          <w:color w:val="000000"/>
          <w:sz w:val="32"/>
          <w:szCs w:val="18"/>
          <w:highlight w:val="none"/>
        </w:rPr>
        <w:t>报名回执、缴费记录、赛事成绩、赛事活动宣传材料等</w:t>
      </w:r>
      <w:r>
        <w:rPr>
          <w:rFonts w:hint="eastAsia" w:ascii="仿宋_GB2312" w:eastAsia="仿宋_GB2312"/>
          <w:bCs/>
          <w:color w:val="000000"/>
          <w:sz w:val="32"/>
          <w:szCs w:val="18"/>
          <w:highlight w:val="none"/>
          <w:lang w:eastAsia="zh-CN"/>
        </w:rPr>
        <w:t>，</w:t>
      </w:r>
      <w:r>
        <w:rPr>
          <w:rFonts w:hint="eastAsia" w:ascii="仿宋_GB2312" w:hAnsi="仿宋_GB2312" w:eastAsia="仿宋_GB2312" w:cs="仿宋_GB2312"/>
          <w:sz w:val="32"/>
          <w:szCs w:val="32"/>
          <w:highlight w:val="none"/>
          <w:lang w:val="en-US" w:eastAsia="zh-CN"/>
        </w:rPr>
        <w:t>原件</w:t>
      </w:r>
      <w:r>
        <w:rPr>
          <w:rFonts w:hint="eastAsia" w:ascii="仿宋_GB2312" w:hAnsi="仿宋_GB2312" w:eastAsia="仿宋_GB2312" w:cs="仿宋_GB2312"/>
          <w:sz w:val="32"/>
          <w:szCs w:val="32"/>
          <w:highlight w:val="none"/>
        </w:rPr>
        <w:t>彩色扫描上传；</w:t>
      </w:r>
    </w:p>
    <w:p w14:paraId="4405708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eastAsia="仿宋_GB2312"/>
          <w:bCs/>
          <w:color w:val="000000"/>
          <w:sz w:val="32"/>
          <w:szCs w:val="18"/>
          <w:highlight w:val="none"/>
          <w:lang w:val="en-US" w:eastAsia="zh-CN"/>
        </w:rPr>
        <w:t>8.</w:t>
      </w:r>
      <w:r>
        <w:rPr>
          <w:rFonts w:hint="eastAsia" w:ascii="仿宋_GB2312" w:eastAsia="仿宋_GB2312"/>
          <w:bCs/>
          <w:color w:val="000000"/>
          <w:sz w:val="32"/>
          <w:szCs w:val="18"/>
          <w:highlight w:val="none"/>
        </w:rPr>
        <w:t>申报主体俱乐部主力成员证明材料，包括</w:t>
      </w:r>
      <w:r>
        <w:rPr>
          <w:rFonts w:hint="eastAsia" w:ascii="仿宋_GB2312" w:eastAsia="仿宋_GB2312"/>
          <w:bCs/>
          <w:color w:val="000000"/>
          <w:sz w:val="32"/>
          <w:szCs w:val="18"/>
          <w:highlight w:val="none"/>
          <w:lang w:val="en-US" w:eastAsia="zh-CN"/>
        </w:rPr>
        <w:t>但</w:t>
      </w:r>
      <w:r>
        <w:rPr>
          <w:rFonts w:hint="eastAsia" w:ascii="仿宋_GB2312" w:eastAsia="仿宋_GB2312"/>
          <w:bCs/>
          <w:color w:val="000000"/>
          <w:sz w:val="32"/>
          <w:szCs w:val="18"/>
          <w:highlight w:val="none"/>
        </w:rPr>
        <w:t>不限</w:t>
      </w:r>
      <w:r>
        <w:rPr>
          <w:rFonts w:hint="eastAsia" w:ascii="仿宋_GB2312" w:eastAsia="仿宋_GB2312"/>
          <w:bCs/>
          <w:color w:val="000000"/>
          <w:sz w:val="32"/>
          <w:szCs w:val="18"/>
          <w:highlight w:val="none"/>
          <w:lang w:val="en-US" w:eastAsia="zh-CN"/>
        </w:rPr>
        <w:t>于</w:t>
      </w:r>
      <w:r>
        <w:rPr>
          <w:rFonts w:hint="eastAsia" w:ascii="仿宋_GB2312" w:eastAsia="仿宋_GB2312"/>
          <w:bCs/>
          <w:color w:val="000000"/>
          <w:sz w:val="32"/>
          <w:szCs w:val="18"/>
          <w:highlight w:val="none"/>
        </w:rPr>
        <w:t>主力成员名单及</w:t>
      </w:r>
      <w:r>
        <w:rPr>
          <w:rFonts w:hint="eastAsia" w:ascii="仿宋_GB2312" w:eastAsia="仿宋_GB2312"/>
          <w:bCs/>
          <w:color w:val="000000"/>
          <w:sz w:val="32"/>
          <w:szCs w:val="18"/>
          <w:highlight w:val="none"/>
          <w:lang w:val="en-US" w:eastAsia="zh-CN"/>
        </w:rPr>
        <w:t>对应</w:t>
      </w:r>
      <w:bookmarkStart w:id="2" w:name="_GoBack"/>
      <w:bookmarkEnd w:id="2"/>
      <w:r>
        <w:rPr>
          <w:rFonts w:hint="eastAsia" w:ascii="仿宋_GB2312" w:eastAsia="仿宋_GB2312"/>
          <w:bCs/>
          <w:color w:val="000000"/>
          <w:sz w:val="32"/>
          <w:szCs w:val="18"/>
          <w:highlight w:val="none"/>
          <w:lang w:val="en-US" w:eastAsia="zh-CN"/>
        </w:rPr>
        <w:t>成员</w:t>
      </w:r>
      <w:r>
        <w:rPr>
          <w:rFonts w:hint="eastAsia" w:ascii="仿宋_GB2312" w:eastAsia="仿宋_GB2312"/>
          <w:bCs/>
          <w:color w:val="000000"/>
          <w:sz w:val="32"/>
          <w:szCs w:val="18"/>
          <w:highlight w:val="none"/>
        </w:rPr>
        <w:t>入职至今</w:t>
      </w:r>
      <w:r>
        <w:rPr>
          <w:rFonts w:hint="eastAsia" w:ascii="仿宋_GB2312" w:eastAsia="仿宋_GB2312"/>
          <w:bCs/>
          <w:color w:val="000000"/>
          <w:sz w:val="32"/>
          <w:szCs w:val="18"/>
          <w:highlight w:val="none"/>
          <w:lang w:val="en-US" w:eastAsia="zh-CN"/>
        </w:rPr>
        <w:t>的</w:t>
      </w:r>
      <w:r>
        <w:rPr>
          <w:rFonts w:hint="eastAsia" w:ascii="仿宋_GB2312" w:eastAsia="仿宋_GB2312"/>
          <w:bCs/>
          <w:color w:val="000000"/>
          <w:sz w:val="32"/>
          <w:szCs w:val="18"/>
          <w:highlight w:val="none"/>
        </w:rPr>
        <w:t>《个人所得税纳税记录》和《北京市社会保险个人权益记录（参保人员缴费信息）》，原件彩色扫描上传</w:t>
      </w:r>
      <w:r>
        <w:rPr>
          <w:rFonts w:hint="eastAsia" w:ascii="仿宋_GB2312" w:hAnsi="仿宋_GB2312" w:eastAsia="仿宋_GB2312" w:cs="仿宋_GB2312"/>
          <w:sz w:val="32"/>
          <w:szCs w:val="32"/>
          <w:highlight w:val="none"/>
        </w:rPr>
        <w:t>；</w:t>
      </w:r>
    </w:p>
    <w:p w14:paraId="7819798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cs="Times New Roman"/>
          <w:bCs/>
          <w:color w:val="000000"/>
          <w:sz w:val="32"/>
          <w:szCs w:val="18"/>
          <w:lang w:val="en-US" w:eastAsia="zh-CN"/>
        </w:rPr>
        <w:t>9</w:t>
      </w:r>
      <w:r>
        <w:rPr>
          <w:rFonts w:hint="eastAsia" w:ascii="仿宋_GB2312" w:hAnsi="Times New Roman" w:eastAsia="仿宋_GB2312" w:cs="Times New Roman"/>
          <w:bCs/>
          <w:color w:val="000000"/>
          <w:sz w:val="32"/>
          <w:szCs w:val="18"/>
          <w:lang w:val="en-US" w:eastAsia="zh-CN"/>
        </w:rPr>
        <w:t>.</w:t>
      </w:r>
      <w:r>
        <w:rPr>
          <w:rFonts w:hint="eastAsia" w:ascii="仿宋_GB2312" w:hAnsi="仿宋_GB2312" w:eastAsia="仿宋_GB2312" w:cs="仿宋_GB2312"/>
          <w:sz w:val="32"/>
          <w:szCs w:val="32"/>
          <w:lang w:val="en-US" w:eastAsia="zh-CN"/>
        </w:rPr>
        <w:t>其他证明材料，原件彩色扫描上传。</w:t>
      </w:r>
    </w:p>
    <w:p w14:paraId="76BF8F54">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六、办理程序</w:t>
      </w:r>
    </w:p>
    <w:p w14:paraId="60AB13EC">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eastAsia="仿宋_GB2312"/>
          <w:bCs/>
          <w:sz w:val="32"/>
          <w:szCs w:val="32"/>
        </w:rPr>
        <w:t>（一）</w:t>
      </w:r>
      <w:r>
        <w:rPr>
          <w:rFonts w:hint="eastAsia" w:ascii="仿宋_GB2312" w:eastAsia="仿宋_GB2312"/>
          <w:b/>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color w:val="000000"/>
          <w:sz w:val="32"/>
          <w:szCs w:val="32"/>
          <w:lang w:val="en-US" w:eastAsia="zh-CN"/>
        </w:rPr>
        <w:t>北京市人民政府门户网站“政策兑现”栏目（https://zhengce.beijing.gov.cn）或</w:t>
      </w:r>
      <w:r>
        <w:rPr>
          <w:rFonts w:hint="eastAsia" w:ascii="仿宋_GB2312" w:hAnsi="仿宋_GB2312" w:eastAsia="仿宋_GB2312" w:cs="仿宋_GB2312"/>
          <w:color w:val="000000"/>
          <w:sz w:val="32"/>
          <w:szCs w:val="32"/>
        </w:rPr>
        <w:t>经开区官网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政策兑现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栏目（zcdx.kfqgw.beijing.gov.cn）</w:t>
      </w:r>
      <w:r>
        <w:rPr>
          <w:rFonts w:hint="eastAsia" w:ascii="仿宋_GB2312" w:hAnsi="仿宋_GB2312" w:eastAsia="仿宋_GB2312" w:cs="仿宋_GB2312"/>
          <w:color w:val="000000"/>
          <w:sz w:val="32"/>
          <w:szCs w:val="32"/>
        </w:rPr>
        <w:t>进入政策兑现综合服务平台，注册登录后进行项目申报。如未在规定时间内提交申请的，视为自动放弃。</w:t>
      </w:r>
    </w:p>
    <w:p w14:paraId="100CA785">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eastAsia="仿宋_GB2312"/>
          <w:sz w:val="32"/>
          <w:szCs w:val="32"/>
        </w:rPr>
      </w:pPr>
      <w:r>
        <w:rPr>
          <w:rFonts w:hint="eastAsia" w:ascii="仿宋_GB2312" w:eastAsia="仿宋_GB2312"/>
          <w:bCs/>
          <w:sz w:val="32"/>
          <w:szCs w:val="32"/>
        </w:rPr>
        <w:t>（二）</w:t>
      </w:r>
      <w:r>
        <w:rPr>
          <w:rFonts w:hint="eastAsia" w:ascii="仿宋_GB2312" w:eastAsia="仿宋_GB2312"/>
          <w:b/>
          <w:sz w:val="32"/>
          <w:szCs w:val="32"/>
        </w:rPr>
        <w:t>初审：</w:t>
      </w:r>
      <w:r>
        <w:rPr>
          <w:rFonts w:ascii="仿宋_GB2312" w:hAnsi="宋体" w:eastAsia="仿宋_GB2312" w:cs="仿宋_GB2312"/>
          <w:color w:val="000000"/>
          <w:sz w:val="32"/>
          <w:szCs w:val="32"/>
        </w:rPr>
        <w:t>经开区营商环境建设局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32CE9218">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eastAsia="仿宋_GB2312"/>
          <w:bCs/>
          <w:sz w:val="32"/>
          <w:szCs w:val="32"/>
        </w:rPr>
        <w:t>（三）</w:t>
      </w:r>
      <w:r>
        <w:rPr>
          <w:rFonts w:hint="eastAsia" w:ascii="仿宋_GB2312" w:eastAsia="仿宋_GB2312"/>
          <w:b/>
          <w:sz w:val="32"/>
          <w:szCs w:val="32"/>
        </w:rPr>
        <w:t>审核</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val="en-US" w:eastAsia="zh-CN"/>
        </w:rPr>
        <w:t>申报</w:t>
      </w:r>
      <w:r>
        <w:rPr>
          <w:rFonts w:hint="eastAsia" w:ascii="仿宋_GB2312" w:hAnsi="仿宋_GB2312" w:eastAsia="仿宋_GB2312" w:cs="仿宋_GB2312"/>
          <w:color w:val="000000"/>
          <w:sz w:val="32"/>
          <w:szCs w:val="32"/>
        </w:rPr>
        <w:t>材料进行实质审核。</w:t>
      </w:r>
    </w:p>
    <w:p w14:paraId="61E91891">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kern w:val="2"/>
          <w:sz w:val="32"/>
          <w:szCs w:val="32"/>
        </w:rPr>
        <w:t>对审核通过的申报主体拟定兑现扶持奖励金额。</w:t>
      </w:r>
    </w:p>
    <w:p w14:paraId="05DE8A24">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eastAsia="仿宋_GB2312"/>
          <w:bCs/>
          <w:sz w:val="32"/>
          <w:szCs w:val="32"/>
        </w:rPr>
        <w:t>（</w:t>
      </w:r>
      <w:r>
        <w:rPr>
          <w:rFonts w:hint="eastAsia" w:ascii="仿宋_GB2312" w:eastAsia="仿宋_GB2312"/>
          <w:bCs/>
          <w:sz w:val="32"/>
          <w:szCs w:val="32"/>
          <w:lang w:val="en-US" w:eastAsia="zh-CN"/>
        </w:rPr>
        <w:t>五</w:t>
      </w:r>
      <w:r>
        <w:rPr>
          <w:rFonts w:hint="eastAsia" w:ascii="仿宋_GB2312" w:eastAsia="仿宋_GB2312"/>
          <w:bCs/>
          <w:sz w:val="32"/>
          <w:szCs w:val="32"/>
        </w:rPr>
        <w:t>）</w:t>
      </w:r>
      <w:r>
        <w:rPr>
          <w:rFonts w:hint="eastAsia" w:ascii="仿宋_GB2312" w:eastAsia="仿宋_GB2312"/>
          <w:b/>
          <w:sz w:val="32"/>
          <w:szCs w:val="32"/>
        </w:rPr>
        <w:t>公示：</w:t>
      </w:r>
      <w:r>
        <w:rPr>
          <w:rFonts w:hint="eastAsia" w:ascii="仿宋_GB2312" w:hAnsi="仿宋_GB2312" w:eastAsia="仿宋_GB2312" w:cs="仿宋_GB2312"/>
          <w:color w:val="000000"/>
          <w:kern w:val="2"/>
          <w:sz w:val="32"/>
          <w:szCs w:val="32"/>
        </w:rPr>
        <w:t>经开区工委宣传文化部通过政策兑现综合服务平台对审核通过的申报主体进行公示。</w:t>
      </w:r>
    </w:p>
    <w:p w14:paraId="191A85FB">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六</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168D2CBA">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七、主责部门</w:t>
      </w:r>
    </w:p>
    <w:p w14:paraId="6916B249">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b/>
          <w:bCs/>
          <w:sz w:val="32"/>
          <w:szCs w:val="32"/>
        </w:rPr>
      </w:pPr>
      <w:r>
        <w:rPr>
          <w:rFonts w:hint="eastAsia" w:eastAsia="仿宋_GB2312"/>
          <w:sz w:val="32"/>
          <w:szCs w:val="32"/>
        </w:rPr>
        <w:t>经开区工委宣传文化部</w:t>
      </w:r>
    </w:p>
    <w:p w14:paraId="6E40BD43">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八、受理窗口</w:t>
      </w:r>
    </w:p>
    <w:p w14:paraId="5A6C52F8">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eastAsia="仿宋_GB2312"/>
          <w:sz w:val="32"/>
          <w:szCs w:val="32"/>
        </w:rPr>
      </w:pPr>
      <w:r>
        <w:rPr>
          <w:rFonts w:hint="eastAsia" w:ascii="仿宋_GB2312" w:hAnsi="仿宋_GB2312" w:eastAsia="仿宋_GB2312" w:cs="仿宋_GB2312"/>
          <w:sz w:val="32"/>
          <w:szCs w:val="32"/>
          <w:highlight w:val="none"/>
        </w:rPr>
        <w:t>北京经济技术开发区万源街4号政务服务大厅“政策申报”窗口</w:t>
      </w:r>
    </w:p>
    <w:p w14:paraId="607BA9D9">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九、申报时间</w:t>
      </w:r>
    </w:p>
    <w:p w14:paraId="654D371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日</w:t>
      </w:r>
    </w:p>
    <w:p w14:paraId="7C069442">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十、联系人及联系方式</w:t>
      </w:r>
    </w:p>
    <w:p w14:paraId="478B29E2">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政策咨询：</w:t>
      </w:r>
    </w:p>
    <w:p w14:paraId="297D6E24">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宋体" w:eastAsia="仿宋_GB2312" w:cs="仿宋_GB2312"/>
          <w:color w:val="000000"/>
          <w:sz w:val="32"/>
          <w:szCs w:val="32"/>
        </w:rPr>
        <w:t>经开区政务服务大厅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12:00，下午1:30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5:00。</w:t>
      </w:r>
    </w:p>
    <w:p w14:paraId="7A960306">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经开区工委宣传文化部，联系电话：</w:t>
      </w:r>
      <w:r>
        <w:rPr>
          <w:rFonts w:hint="eastAsia" w:ascii="仿宋_GB2312" w:hAnsi="仿宋_GB2312" w:eastAsia="仿宋_GB2312" w:cs="仿宋_GB2312"/>
          <w:sz w:val="32"/>
          <w:szCs w:val="32"/>
          <w:highlight w:val="none"/>
        </w:rPr>
        <w:t>010-83508114</w:t>
      </w:r>
      <w:r>
        <w:rPr>
          <w:rFonts w:ascii="仿宋_GB2312" w:hAnsi="仿宋_GB2312" w:eastAsia="仿宋_GB2312" w:cs="仿宋_GB2312"/>
          <w:sz w:val="32"/>
          <w:szCs w:val="32"/>
          <w:highlight w:val="none"/>
        </w:rPr>
        <w:t>，工作日上午9</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lang w:val="en-US" w:eastAsia="zh-CN"/>
        </w:rPr>
        <w:t>-</w:t>
      </w:r>
      <w:r>
        <w:rPr>
          <w:rFonts w:ascii="仿宋_GB2312" w:hAnsi="仿宋_GB2312" w:eastAsia="仿宋_GB2312" w:cs="仿宋_GB2312"/>
          <w:sz w:val="32"/>
          <w:szCs w:val="32"/>
          <w:highlight w:val="none"/>
        </w:rPr>
        <w:t>12</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00，下午2:00</w:t>
      </w:r>
      <w:r>
        <w:rPr>
          <w:rFonts w:hint="eastAsia" w:ascii="仿宋_GB2312" w:hAnsi="仿宋_GB2312" w:eastAsia="仿宋_GB2312" w:cs="仿宋_GB2312"/>
          <w:sz w:val="32"/>
          <w:szCs w:val="32"/>
          <w:highlight w:val="none"/>
          <w:lang w:val="en-US" w:eastAsia="zh-CN"/>
        </w:rPr>
        <w:t>-</w:t>
      </w:r>
      <w:r>
        <w:rPr>
          <w:rFonts w:ascii="仿宋_GB2312" w:hAnsi="仿宋_GB2312" w:eastAsia="仿宋_GB2312" w:cs="仿宋_GB2312"/>
          <w:sz w:val="32"/>
          <w:szCs w:val="32"/>
          <w:highlight w:val="none"/>
        </w:rPr>
        <w:t>6:00</w:t>
      </w:r>
      <w:r>
        <w:rPr>
          <w:rFonts w:hint="eastAsia" w:ascii="仿宋_GB2312" w:hAnsi="仿宋_GB2312" w:eastAsia="仿宋_GB2312" w:cs="仿宋_GB2312"/>
          <w:sz w:val="32"/>
          <w:szCs w:val="32"/>
          <w:highlight w:val="none"/>
        </w:rPr>
        <w:t>。</w:t>
      </w:r>
    </w:p>
    <w:p w14:paraId="7CA5E6AB">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技术支持：</w:t>
      </w:r>
    </w:p>
    <w:p w14:paraId="393D872A">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：010-83509638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12:00，下午2:00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6:00。</w:t>
      </w:r>
    </w:p>
    <w:p w14:paraId="3A77807A">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4271C6AB">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2AE61ADD">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十二、特别说明</w:t>
      </w:r>
    </w:p>
    <w:p w14:paraId="436C96AC">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olor w:val="auto"/>
          <w:sz w:val="32"/>
          <w:lang w:val="en-US" w:eastAsia="zh-CN"/>
        </w:rPr>
        <w:t>本指南内容由</w:t>
      </w:r>
      <w:r>
        <w:rPr>
          <w:rFonts w:hint="eastAsia" w:ascii="仿宋_GB2312" w:hAnsi="仿宋_GB2312" w:eastAsia="仿宋_GB2312"/>
          <w:color w:val="auto"/>
          <w:sz w:val="32"/>
        </w:rPr>
        <w:t>经开区工委宣传文化部</w:t>
      </w:r>
      <w:r>
        <w:rPr>
          <w:rFonts w:hint="eastAsia" w:ascii="仿宋_GB2312" w:hAnsi="仿宋_GB2312" w:eastAsia="仿宋_GB2312"/>
          <w:color w:val="auto"/>
          <w:sz w:val="32"/>
          <w:lang w:val="en-US" w:eastAsia="zh-CN"/>
        </w:rPr>
        <w:t>负责解释。</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1302C"/>
    <w:rsid w:val="00060052"/>
    <w:rsid w:val="00062C5F"/>
    <w:rsid w:val="000F62F2"/>
    <w:rsid w:val="001145E7"/>
    <w:rsid w:val="00161422"/>
    <w:rsid w:val="00161CCE"/>
    <w:rsid w:val="002713F4"/>
    <w:rsid w:val="002756F7"/>
    <w:rsid w:val="002769D0"/>
    <w:rsid w:val="002838D9"/>
    <w:rsid w:val="00360EF1"/>
    <w:rsid w:val="00395968"/>
    <w:rsid w:val="003D6CD5"/>
    <w:rsid w:val="00457B4D"/>
    <w:rsid w:val="004A2DD8"/>
    <w:rsid w:val="004B2A99"/>
    <w:rsid w:val="00525FAA"/>
    <w:rsid w:val="006A1513"/>
    <w:rsid w:val="006D0140"/>
    <w:rsid w:val="006F16D3"/>
    <w:rsid w:val="00710378"/>
    <w:rsid w:val="0074221C"/>
    <w:rsid w:val="007832B2"/>
    <w:rsid w:val="00844BDB"/>
    <w:rsid w:val="008F4250"/>
    <w:rsid w:val="00900A14"/>
    <w:rsid w:val="00923A77"/>
    <w:rsid w:val="009269CB"/>
    <w:rsid w:val="00967B93"/>
    <w:rsid w:val="0097300E"/>
    <w:rsid w:val="0098077A"/>
    <w:rsid w:val="00A3406B"/>
    <w:rsid w:val="00AA5414"/>
    <w:rsid w:val="00AE15B1"/>
    <w:rsid w:val="00AF44A2"/>
    <w:rsid w:val="00B42F98"/>
    <w:rsid w:val="00B74D80"/>
    <w:rsid w:val="00C122AB"/>
    <w:rsid w:val="00C34A62"/>
    <w:rsid w:val="00D460B2"/>
    <w:rsid w:val="00D5632B"/>
    <w:rsid w:val="00D668C9"/>
    <w:rsid w:val="00D76185"/>
    <w:rsid w:val="00D77F15"/>
    <w:rsid w:val="00D85A9F"/>
    <w:rsid w:val="00DB3356"/>
    <w:rsid w:val="00E75D29"/>
    <w:rsid w:val="00E90819"/>
    <w:rsid w:val="00EA199B"/>
    <w:rsid w:val="00EC54AE"/>
    <w:rsid w:val="00FD06FB"/>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2A532C"/>
    <w:rsid w:val="0646239C"/>
    <w:rsid w:val="06B62BF6"/>
    <w:rsid w:val="06D3553D"/>
    <w:rsid w:val="06D82320"/>
    <w:rsid w:val="06FE1C51"/>
    <w:rsid w:val="072A1178"/>
    <w:rsid w:val="074E6B15"/>
    <w:rsid w:val="078B6DBE"/>
    <w:rsid w:val="07936930"/>
    <w:rsid w:val="07A860A7"/>
    <w:rsid w:val="07B11C5A"/>
    <w:rsid w:val="07DA1731"/>
    <w:rsid w:val="0840700F"/>
    <w:rsid w:val="08925D0E"/>
    <w:rsid w:val="089620E8"/>
    <w:rsid w:val="08A13D48"/>
    <w:rsid w:val="08A45B0A"/>
    <w:rsid w:val="08A825A4"/>
    <w:rsid w:val="08B97A0D"/>
    <w:rsid w:val="08BF34BA"/>
    <w:rsid w:val="08D44C62"/>
    <w:rsid w:val="08DA0113"/>
    <w:rsid w:val="09047D11"/>
    <w:rsid w:val="093955CA"/>
    <w:rsid w:val="09677F84"/>
    <w:rsid w:val="098116A4"/>
    <w:rsid w:val="09CB6A81"/>
    <w:rsid w:val="09FF2B6A"/>
    <w:rsid w:val="0A12715A"/>
    <w:rsid w:val="0A192B78"/>
    <w:rsid w:val="0A7A09DE"/>
    <w:rsid w:val="0A7A6E57"/>
    <w:rsid w:val="0AD40459"/>
    <w:rsid w:val="0B1708BD"/>
    <w:rsid w:val="0B187AA4"/>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105C2D"/>
    <w:rsid w:val="0D162709"/>
    <w:rsid w:val="0D920D6C"/>
    <w:rsid w:val="0D9E4973"/>
    <w:rsid w:val="0E2A5EE7"/>
    <w:rsid w:val="0E4A7C7C"/>
    <w:rsid w:val="0E5672B2"/>
    <w:rsid w:val="0E715E03"/>
    <w:rsid w:val="0EAB08F2"/>
    <w:rsid w:val="0EAD26D4"/>
    <w:rsid w:val="0EAF7630"/>
    <w:rsid w:val="0ED00FB9"/>
    <w:rsid w:val="0EE86C1D"/>
    <w:rsid w:val="0F131376"/>
    <w:rsid w:val="0F193762"/>
    <w:rsid w:val="0F221A0E"/>
    <w:rsid w:val="0F8C27FB"/>
    <w:rsid w:val="0F934289"/>
    <w:rsid w:val="0FA61C25"/>
    <w:rsid w:val="0FF757D0"/>
    <w:rsid w:val="101D1DF8"/>
    <w:rsid w:val="10452D67"/>
    <w:rsid w:val="106018C4"/>
    <w:rsid w:val="10653491"/>
    <w:rsid w:val="10706EEF"/>
    <w:rsid w:val="108773EC"/>
    <w:rsid w:val="1092296C"/>
    <w:rsid w:val="10A01313"/>
    <w:rsid w:val="10C13CF3"/>
    <w:rsid w:val="117D2BA9"/>
    <w:rsid w:val="118F3527"/>
    <w:rsid w:val="119860A9"/>
    <w:rsid w:val="11CA43B8"/>
    <w:rsid w:val="11D62CBE"/>
    <w:rsid w:val="121B617A"/>
    <w:rsid w:val="1252310C"/>
    <w:rsid w:val="12A84FE1"/>
    <w:rsid w:val="12E52159"/>
    <w:rsid w:val="12E84200"/>
    <w:rsid w:val="12EE4885"/>
    <w:rsid w:val="13FC0F0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B449A0"/>
    <w:rsid w:val="15F61B74"/>
    <w:rsid w:val="160B7C23"/>
    <w:rsid w:val="162B13C4"/>
    <w:rsid w:val="17261A0A"/>
    <w:rsid w:val="17286EDC"/>
    <w:rsid w:val="172F3239"/>
    <w:rsid w:val="173A2F14"/>
    <w:rsid w:val="17AF44C7"/>
    <w:rsid w:val="17C45824"/>
    <w:rsid w:val="17C86D9E"/>
    <w:rsid w:val="183712FC"/>
    <w:rsid w:val="189F5C4C"/>
    <w:rsid w:val="18DF1E8D"/>
    <w:rsid w:val="18F4326C"/>
    <w:rsid w:val="19612585"/>
    <w:rsid w:val="196452DD"/>
    <w:rsid w:val="1968591C"/>
    <w:rsid w:val="197A58E4"/>
    <w:rsid w:val="19856C91"/>
    <w:rsid w:val="19B8431B"/>
    <w:rsid w:val="19DB76A4"/>
    <w:rsid w:val="19E139A7"/>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D7B49FD"/>
    <w:rsid w:val="1E3278A5"/>
    <w:rsid w:val="1E401394"/>
    <w:rsid w:val="1E447CA3"/>
    <w:rsid w:val="1EB1403F"/>
    <w:rsid w:val="1EBB252A"/>
    <w:rsid w:val="1ED331FC"/>
    <w:rsid w:val="1ED6487D"/>
    <w:rsid w:val="1EFD05E9"/>
    <w:rsid w:val="1EFE4506"/>
    <w:rsid w:val="1F0F5065"/>
    <w:rsid w:val="1F1A6E4C"/>
    <w:rsid w:val="1F7E5737"/>
    <w:rsid w:val="1FA01FC8"/>
    <w:rsid w:val="1FA9441B"/>
    <w:rsid w:val="1FB0019C"/>
    <w:rsid w:val="1FD76126"/>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249D2"/>
    <w:rsid w:val="273D6D1B"/>
    <w:rsid w:val="275E3649"/>
    <w:rsid w:val="2768133E"/>
    <w:rsid w:val="27721755"/>
    <w:rsid w:val="277B343D"/>
    <w:rsid w:val="27874815"/>
    <w:rsid w:val="281D6715"/>
    <w:rsid w:val="286873FE"/>
    <w:rsid w:val="288627FF"/>
    <w:rsid w:val="28942D3D"/>
    <w:rsid w:val="28A332E9"/>
    <w:rsid w:val="28EE1C5E"/>
    <w:rsid w:val="29857C2F"/>
    <w:rsid w:val="29D97CC6"/>
    <w:rsid w:val="2A1D0ADC"/>
    <w:rsid w:val="2A5F7219"/>
    <w:rsid w:val="2AB25697"/>
    <w:rsid w:val="2ACF7AB8"/>
    <w:rsid w:val="2B035A09"/>
    <w:rsid w:val="2B2024A7"/>
    <w:rsid w:val="2B756EE9"/>
    <w:rsid w:val="2B833D12"/>
    <w:rsid w:val="2B9B0A58"/>
    <w:rsid w:val="2BA7027E"/>
    <w:rsid w:val="2BAB54C5"/>
    <w:rsid w:val="2BC05AF8"/>
    <w:rsid w:val="2BE54D11"/>
    <w:rsid w:val="2C522435"/>
    <w:rsid w:val="2D2A602F"/>
    <w:rsid w:val="2D6B0ED7"/>
    <w:rsid w:val="2D715293"/>
    <w:rsid w:val="2D7649D6"/>
    <w:rsid w:val="2DA064BD"/>
    <w:rsid w:val="2E155772"/>
    <w:rsid w:val="2E236E07"/>
    <w:rsid w:val="2E2B3CCA"/>
    <w:rsid w:val="2E491136"/>
    <w:rsid w:val="2EC908A3"/>
    <w:rsid w:val="2ED73427"/>
    <w:rsid w:val="2F24419B"/>
    <w:rsid w:val="2F2F2A58"/>
    <w:rsid w:val="2F5D1137"/>
    <w:rsid w:val="2F6A0A9B"/>
    <w:rsid w:val="2F6E0190"/>
    <w:rsid w:val="2F8A06C1"/>
    <w:rsid w:val="2F8D4635"/>
    <w:rsid w:val="3012512B"/>
    <w:rsid w:val="30140526"/>
    <w:rsid w:val="306E5387"/>
    <w:rsid w:val="30AB0C90"/>
    <w:rsid w:val="310571C9"/>
    <w:rsid w:val="310A0BC4"/>
    <w:rsid w:val="31281962"/>
    <w:rsid w:val="312A1C2B"/>
    <w:rsid w:val="312C7EEA"/>
    <w:rsid w:val="313EDCA6"/>
    <w:rsid w:val="315A3762"/>
    <w:rsid w:val="31624147"/>
    <w:rsid w:val="31AA66BF"/>
    <w:rsid w:val="31D65AF9"/>
    <w:rsid w:val="31E105EE"/>
    <w:rsid w:val="3201564A"/>
    <w:rsid w:val="321C265E"/>
    <w:rsid w:val="32343B0A"/>
    <w:rsid w:val="32A70709"/>
    <w:rsid w:val="32AE51B1"/>
    <w:rsid w:val="32B53CA7"/>
    <w:rsid w:val="32D72E30"/>
    <w:rsid w:val="32FE69F0"/>
    <w:rsid w:val="336B64D8"/>
    <w:rsid w:val="33D147E6"/>
    <w:rsid w:val="33E75D8A"/>
    <w:rsid w:val="33F4CAF3"/>
    <w:rsid w:val="341807F9"/>
    <w:rsid w:val="342465E2"/>
    <w:rsid w:val="3469157A"/>
    <w:rsid w:val="347C0671"/>
    <w:rsid w:val="34B21D2C"/>
    <w:rsid w:val="34E04A84"/>
    <w:rsid w:val="34E65163"/>
    <w:rsid w:val="35135498"/>
    <w:rsid w:val="352E7D40"/>
    <w:rsid w:val="35465824"/>
    <w:rsid w:val="354F42BD"/>
    <w:rsid w:val="3573124D"/>
    <w:rsid w:val="359527A9"/>
    <w:rsid w:val="35B01629"/>
    <w:rsid w:val="35B56B4B"/>
    <w:rsid w:val="36744D66"/>
    <w:rsid w:val="36E95DAE"/>
    <w:rsid w:val="371371EE"/>
    <w:rsid w:val="37184DFF"/>
    <w:rsid w:val="37B84612"/>
    <w:rsid w:val="37C93788"/>
    <w:rsid w:val="37E765F1"/>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65CFB"/>
    <w:rsid w:val="3967591C"/>
    <w:rsid w:val="39731517"/>
    <w:rsid w:val="39791EC9"/>
    <w:rsid w:val="39841846"/>
    <w:rsid w:val="399C38E8"/>
    <w:rsid w:val="39A60AA5"/>
    <w:rsid w:val="39C93AF0"/>
    <w:rsid w:val="3A000717"/>
    <w:rsid w:val="3A5D281B"/>
    <w:rsid w:val="3A906CBE"/>
    <w:rsid w:val="3AA934A6"/>
    <w:rsid w:val="3AC20F93"/>
    <w:rsid w:val="3B0A5D15"/>
    <w:rsid w:val="3B0F23C2"/>
    <w:rsid w:val="3B6877C8"/>
    <w:rsid w:val="3BB9208B"/>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3FFF12EB"/>
    <w:rsid w:val="40945F74"/>
    <w:rsid w:val="409D6C96"/>
    <w:rsid w:val="40A50B34"/>
    <w:rsid w:val="40C0750A"/>
    <w:rsid w:val="410178FA"/>
    <w:rsid w:val="419C40BE"/>
    <w:rsid w:val="41A74911"/>
    <w:rsid w:val="41C24932"/>
    <w:rsid w:val="41EE09AD"/>
    <w:rsid w:val="42271CA4"/>
    <w:rsid w:val="423A4979"/>
    <w:rsid w:val="42553C37"/>
    <w:rsid w:val="4275720E"/>
    <w:rsid w:val="42AB283A"/>
    <w:rsid w:val="42DF0455"/>
    <w:rsid w:val="43110AA6"/>
    <w:rsid w:val="432900F3"/>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8E830E5"/>
    <w:rsid w:val="49006A23"/>
    <w:rsid w:val="492A682B"/>
    <w:rsid w:val="49596A53"/>
    <w:rsid w:val="49AE2D68"/>
    <w:rsid w:val="49C3065B"/>
    <w:rsid w:val="49FE7196"/>
    <w:rsid w:val="4A3148B7"/>
    <w:rsid w:val="4A3C2091"/>
    <w:rsid w:val="4A41431D"/>
    <w:rsid w:val="4A8A325C"/>
    <w:rsid w:val="4AAA4E14"/>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C00C5A"/>
    <w:rsid w:val="4ED13285"/>
    <w:rsid w:val="4F0A4EE8"/>
    <w:rsid w:val="4F1A6236"/>
    <w:rsid w:val="4F6A651C"/>
    <w:rsid w:val="4F6B7906"/>
    <w:rsid w:val="4F721548"/>
    <w:rsid w:val="4FA73771"/>
    <w:rsid w:val="4FBC2212"/>
    <w:rsid w:val="4FD4377C"/>
    <w:rsid w:val="4FFC2D7C"/>
    <w:rsid w:val="4FFF4188"/>
    <w:rsid w:val="4FFF4C5B"/>
    <w:rsid w:val="50086DF5"/>
    <w:rsid w:val="508E5ABD"/>
    <w:rsid w:val="50A336F5"/>
    <w:rsid w:val="50BD79A6"/>
    <w:rsid w:val="50E83041"/>
    <w:rsid w:val="510D1202"/>
    <w:rsid w:val="515D1CF8"/>
    <w:rsid w:val="515D60CA"/>
    <w:rsid w:val="51714084"/>
    <w:rsid w:val="51AA50CA"/>
    <w:rsid w:val="51B97BD3"/>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8FE4027"/>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BA2808"/>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7381C"/>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1C9A"/>
    <w:rsid w:val="635553E5"/>
    <w:rsid w:val="63716C54"/>
    <w:rsid w:val="63E9591E"/>
    <w:rsid w:val="640D4262"/>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541092"/>
    <w:rsid w:val="686076FC"/>
    <w:rsid w:val="68A62B4B"/>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1003B7"/>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12573D2"/>
    <w:rsid w:val="7155010D"/>
    <w:rsid w:val="715C4E8A"/>
    <w:rsid w:val="717F152D"/>
    <w:rsid w:val="71B132B0"/>
    <w:rsid w:val="71D07EE4"/>
    <w:rsid w:val="720F3D8F"/>
    <w:rsid w:val="72A75458"/>
    <w:rsid w:val="72D92721"/>
    <w:rsid w:val="73151334"/>
    <w:rsid w:val="73436223"/>
    <w:rsid w:val="735538BA"/>
    <w:rsid w:val="73AC6967"/>
    <w:rsid w:val="73AE56BA"/>
    <w:rsid w:val="740941C7"/>
    <w:rsid w:val="74A24F54"/>
    <w:rsid w:val="74DA21D9"/>
    <w:rsid w:val="74E76FE8"/>
    <w:rsid w:val="75250E17"/>
    <w:rsid w:val="75576C93"/>
    <w:rsid w:val="75711074"/>
    <w:rsid w:val="75893E4D"/>
    <w:rsid w:val="75BA3B6D"/>
    <w:rsid w:val="75D12F9F"/>
    <w:rsid w:val="75E87AE4"/>
    <w:rsid w:val="76206188"/>
    <w:rsid w:val="767E6D89"/>
    <w:rsid w:val="768B48F5"/>
    <w:rsid w:val="76A32A08"/>
    <w:rsid w:val="76A610C6"/>
    <w:rsid w:val="76DD66F2"/>
    <w:rsid w:val="76EC6FC3"/>
    <w:rsid w:val="770B2702"/>
    <w:rsid w:val="7718563E"/>
    <w:rsid w:val="776A3F9A"/>
    <w:rsid w:val="77901978"/>
    <w:rsid w:val="77915027"/>
    <w:rsid w:val="779D4F4D"/>
    <w:rsid w:val="77CF1648"/>
    <w:rsid w:val="781D2C7A"/>
    <w:rsid w:val="78362BC8"/>
    <w:rsid w:val="783A56AF"/>
    <w:rsid w:val="78413BD7"/>
    <w:rsid w:val="788F717D"/>
    <w:rsid w:val="78915F29"/>
    <w:rsid w:val="78A77DB4"/>
    <w:rsid w:val="78B31BDE"/>
    <w:rsid w:val="78E70DA1"/>
    <w:rsid w:val="78F21850"/>
    <w:rsid w:val="791B03AB"/>
    <w:rsid w:val="79714C66"/>
    <w:rsid w:val="79D31F15"/>
    <w:rsid w:val="79D657CC"/>
    <w:rsid w:val="79E40A04"/>
    <w:rsid w:val="7A151811"/>
    <w:rsid w:val="7A960403"/>
    <w:rsid w:val="7B0003D2"/>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AA48DC"/>
    <w:rsid w:val="7DFC4CA2"/>
    <w:rsid w:val="7E137B54"/>
    <w:rsid w:val="7E4E0E62"/>
    <w:rsid w:val="7E503B32"/>
    <w:rsid w:val="7E541447"/>
    <w:rsid w:val="7E6B7B24"/>
    <w:rsid w:val="7E757D8F"/>
    <w:rsid w:val="7E782A8A"/>
    <w:rsid w:val="7EFFFA7B"/>
    <w:rsid w:val="7FC14E2C"/>
    <w:rsid w:val="9F6F6015"/>
    <w:rsid w:val="C7DB93C8"/>
    <w:rsid w:val="DD7E7DC7"/>
    <w:rsid w:val="DEF5E07B"/>
    <w:rsid w:val="E3F37E00"/>
    <w:rsid w:val="E5FF16E4"/>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rPr>
      <w:rFonts w:ascii="宋体"/>
      <w:sz w:val="18"/>
      <w:szCs w:val="18"/>
    </w:r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字符"/>
    <w:basedOn w:val="9"/>
    <w:link w:val="6"/>
    <w:qFormat/>
    <w:uiPriority w:val="0"/>
    <w:rPr>
      <w:kern w:val="2"/>
      <w:sz w:val="18"/>
      <w:szCs w:val="18"/>
    </w:rPr>
  </w:style>
  <w:style w:type="character" w:customStyle="1" w:styleId="13">
    <w:name w:val="页脚 字符"/>
    <w:basedOn w:val="9"/>
    <w:link w:val="5"/>
    <w:qFormat/>
    <w:uiPriority w:val="0"/>
    <w:rPr>
      <w:kern w:val="2"/>
      <w:sz w:val="18"/>
      <w:szCs w:val="18"/>
    </w:r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5">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1903</Words>
  <Characters>2163</Characters>
  <Lines>13</Lines>
  <Paragraphs>3</Paragraphs>
  <TotalTime>2</TotalTime>
  <ScaleCrop>false</ScaleCrop>
  <LinksUpToDate>false</LinksUpToDate>
  <CharactersWithSpaces>2166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2019-08-13T14:54:00Z</dcterms:created>
  <dc:creator>zkk</dc:creator>
  <cp:lastModifiedBy>张九峰</cp:lastModifiedBy>
  <cp:lastPrinted>2023-05-11T16:24:00Z</cp:lastPrinted>
  <dcterms:modified xsi:type="dcterms:W3CDTF">2025-10-31T01:29:23Z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D0C6CB4D3DD449CF9F01DB31742842FE</vt:lpwstr>
  </property>
  <property fmtid="{D5CDD505-2E9C-101B-9397-08002B2CF9AE}" pid="4" name="KSOTemplateDocerSaveRecord">
    <vt:lpwstr>eyJoZGlkIjoiMDI4OGRiNmI3ODJjMmJlZTg5NWEyMWE5ZTdmNjQyNTYiLCJ1c2VySWQiOiI0NzY1NzgwMjIifQ==</vt:lpwstr>
  </property>
</Properties>
</file>