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90E88">
      <w:pPr>
        <w:keepNext w:val="0"/>
        <w:keepLines w:val="0"/>
        <w:pageBreakBefore w:val="0"/>
        <w:kinsoku/>
        <w:wordWrap/>
        <w:overflowPunct/>
        <w:topLinePunct w:val="0"/>
        <w:autoSpaceDE/>
        <w:autoSpaceDN/>
        <w:bidi w:val="0"/>
        <w:spacing w:line="560" w:lineRule="exact"/>
        <w:jc w:val="left"/>
        <w:textAlignment w:val="auto"/>
        <w:outlineLvl w:val="0"/>
        <w:rPr>
          <w:rFonts w:ascii="仿宋_GB2312" w:hAnsi="仿宋_GB2312" w:eastAsia="仿宋_GB2312" w:cs="仿宋_GB2312"/>
          <w:b/>
          <w:bCs/>
          <w:color w:val="auto"/>
          <w:sz w:val="32"/>
          <w:szCs w:val="32"/>
        </w:rPr>
      </w:pPr>
      <w:bookmarkStart w:id="2" w:name="_GoBack"/>
      <w:bookmarkEnd w:id="2"/>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1</w:t>
      </w:r>
    </w:p>
    <w:p w14:paraId="619FAECE">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4年度</w:t>
      </w:r>
      <w:bookmarkStart w:id="0" w:name="OLE_LINK1"/>
      <w:r>
        <w:rPr>
          <w:rFonts w:hint="eastAsia" w:ascii="方正小标宋简体" w:hAnsi="方正小标宋简体" w:eastAsia="方正小标宋简体" w:cs="方正小标宋简体"/>
          <w:color w:val="auto"/>
          <w:sz w:val="44"/>
          <w:szCs w:val="44"/>
          <w:lang w:val="en-US" w:eastAsia="zh-CN"/>
        </w:rPr>
        <w:t>职业电竞俱乐部运营发展</w:t>
      </w:r>
      <w:bookmarkEnd w:id="0"/>
      <w:r>
        <w:rPr>
          <w:rFonts w:hint="eastAsia" w:ascii="方正小标宋简体" w:hAnsi="方正小标宋简体" w:eastAsia="方正小标宋简体" w:cs="方正小标宋简体"/>
          <w:color w:val="auto"/>
          <w:sz w:val="44"/>
          <w:szCs w:val="44"/>
          <w:lang w:val="en-US" w:eastAsia="zh-CN"/>
        </w:rPr>
        <w:t>支持</w:t>
      </w:r>
    </w:p>
    <w:p w14:paraId="4E3A007F">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1D8FD28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5F16F19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3B8C984E">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bCs/>
          <w:color w:val="auto"/>
          <w:sz w:val="32"/>
          <w:lang w:eastAsia="zh-CN"/>
        </w:rPr>
      </w:pPr>
      <w:r>
        <w:rPr>
          <w:rFonts w:hint="eastAsia" w:ascii="仿宋_GB2312" w:eastAsia="仿宋_GB2312"/>
          <w:bCs/>
          <w:color w:val="auto"/>
          <w:sz w:val="32"/>
          <w:lang w:eastAsia="zh-CN"/>
        </w:rPr>
        <w:t>《北京经济技术开发区关于促进科技与文化产业融合发展的若干措施》（京技管发〔2024〕31号）</w:t>
      </w:r>
      <w:r>
        <w:rPr>
          <w:rFonts w:hint="eastAsia" w:ascii="仿宋_GB2312" w:eastAsia="仿宋_GB2312"/>
          <w:bCs/>
          <w:color w:val="auto"/>
          <w:sz w:val="32"/>
          <w:lang w:val="en-US" w:eastAsia="zh-CN"/>
        </w:rPr>
        <w:t>中第11条支持支持职业电竞俱乐部运营发展中“</w:t>
      </w:r>
      <w:bookmarkStart w:id="1" w:name="OLE_LINK3"/>
      <w:r>
        <w:rPr>
          <w:rFonts w:hint="eastAsia" w:ascii="仿宋_GB2312" w:eastAsia="仿宋_GB2312"/>
          <w:bCs/>
          <w:color w:val="auto"/>
          <w:sz w:val="32"/>
          <w:lang w:val="en-US" w:eastAsia="zh-CN"/>
        </w:rPr>
        <w:t>对于当年度参加国际、全国职业电竞赛事的职业电竞俱乐部，按照俱乐部当年度在亦庄新城实际支出的运动员培训、商业保险、设备及材料购置、软件系统、空间改造等运营费用的50%给予支持，每年最高支持200万元。”</w:t>
      </w:r>
    </w:p>
    <w:bookmarkEnd w:id="1"/>
    <w:p w14:paraId="3451092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665A994E">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auto"/>
          <w:sz w:val="32"/>
          <w:szCs w:val="18"/>
        </w:rPr>
      </w:pPr>
      <w:r>
        <w:rPr>
          <w:rFonts w:hint="eastAsia" w:ascii="仿宋_GB2312" w:eastAsia="仿宋_GB2312"/>
          <w:bCs/>
          <w:color w:val="auto"/>
          <w:sz w:val="32"/>
          <w:szCs w:val="18"/>
          <w:lang w:val="en-US" w:eastAsia="zh-CN"/>
        </w:rPr>
        <w:t>2024年度</w:t>
      </w:r>
      <w:r>
        <w:rPr>
          <w:rFonts w:hint="eastAsia" w:ascii="仿宋_GB2312" w:eastAsia="仿宋_GB2312"/>
          <w:bCs/>
          <w:color w:val="auto"/>
          <w:sz w:val="32"/>
          <w:szCs w:val="18"/>
        </w:rPr>
        <w:t>职业电竞俱乐部运营发展支持</w:t>
      </w:r>
    </w:p>
    <w:p w14:paraId="372ECAA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614469FC">
      <w:pPr>
        <w:keepNext w:val="0"/>
        <w:keepLines w:val="0"/>
        <w:pageBreakBefore w:val="0"/>
        <w:kinsoku/>
        <w:wordWrap/>
        <w:overflowPunct/>
        <w:topLinePunct w:val="0"/>
        <w:autoSpaceDE/>
        <w:autoSpaceDN/>
        <w:bidi w:val="0"/>
        <w:spacing w:line="560" w:lineRule="exact"/>
        <w:ind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Cs/>
          <w:color w:val="auto"/>
          <w:sz w:val="32"/>
          <w:szCs w:val="18"/>
        </w:rPr>
        <w:t>（一）</w:t>
      </w:r>
      <w:r>
        <w:rPr>
          <w:rFonts w:hint="eastAsia" w:ascii="仿宋_GB2312" w:eastAsia="仿宋_GB2312"/>
          <w:bCs/>
          <w:color w:val="000000"/>
          <w:sz w:val="32"/>
          <w:szCs w:val="18"/>
        </w:rPr>
        <w:t>申报主体应具有独立法人资格、实行独立核算</w:t>
      </w:r>
      <w:r>
        <w:rPr>
          <w:rFonts w:hint="eastAsia" w:ascii="仿宋_GB2312" w:eastAsia="仿宋_GB2312"/>
          <w:bCs/>
          <w:color w:val="000000"/>
          <w:sz w:val="32"/>
          <w:szCs w:val="18"/>
          <w:lang w:val="en-US" w:eastAsia="zh-CN"/>
        </w:rPr>
        <w:t>的企事业单位</w:t>
      </w:r>
      <w:r>
        <w:rPr>
          <w:rFonts w:hint="eastAsia" w:ascii="仿宋_GB2312" w:eastAsia="仿宋_GB2312"/>
          <w:bCs/>
          <w:color w:val="000000"/>
          <w:sz w:val="32"/>
          <w:szCs w:val="18"/>
        </w:rPr>
        <w:t>，在</w:t>
      </w:r>
      <w:r>
        <w:rPr>
          <w:rFonts w:hint="eastAsia" w:ascii="仿宋_GB2312" w:hAnsi="仿宋_GB2312" w:eastAsia="仿宋_GB2312" w:cs="仿宋_GB2312"/>
          <w:kern w:val="0"/>
          <w:sz w:val="32"/>
          <w:szCs w:val="32"/>
          <w:lang w:bidi="ar"/>
        </w:rPr>
        <w:t>亦庄新城225平方公里范围内</w:t>
      </w:r>
      <w:r>
        <w:rPr>
          <w:rFonts w:hint="eastAsia" w:ascii="仿宋_GB2312" w:eastAsia="仿宋_GB2312"/>
          <w:bCs/>
          <w:color w:val="000000"/>
          <w:sz w:val="32"/>
          <w:szCs w:val="18"/>
        </w:rPr>
        <w:t>依法</w:t>
      </w:r>
      <w:r>
        <w:rPr>
          <w:rFonts w:hint="eastAsia" w:ascii="仿宋_GB2312" w:eastAsia="仿宋_GB2312"/>
          <w:bCs/>
          <w:color w:val="000000"/>
          <w:sz w:val="32"/>
          <w:szCs w:val="18"/>
          <w:lang w:val="en-US" w:eastAsia="zh-CN"/>
        </w:rPr>
        <w:t>实际经营</w:t>
      </w:r>
      <w:r>
        <w:rPr>
          <w:rFonts w:hint="eastAsia" w:ascii="仿宋_GB2312" w:eastAsia="仿宋_GB2312"/>
          <w:bCs/>
          <w:color w:val="000000"/>
          <w:sz w:val="32"/>
          <w:szCs w:val="18"/>
        </w:rPr>
        <w:t>；</w:t>
      </w:r>
      <w:r>
        <w:rPr>
          <w:rFonts w:hint="eastAsia" w:ascii="仿宋_GB2312" w:hAnsi="仿宋_GB2312" w:eastAsia="仿宋_GB2312" w:cs="仿宋_GB2312"/>
          <w:kern w:val="0"/>
          <w:sz w:val="32"/>
          <w:szCs w:val="32"/>
          <w:lang w:bidi="ar"/>
        </w:rPr>
        <w:t>近</w:t>
      </w:r>
      <w:r>
        <w:rPr>
          <w:rFonts w:hint="eastAsia" w:ascii="仿宋_GB2312" w:hAnsi="仿宋_GB2312" w:eastAsia="仿宋_GB2312" w:cs="仿宋_GB2312"/>
          <w:kern w:val="0"/>
          <w:sz w:val="32"/>
          <w:szCs w:val="32"/>
          <w:lang w:val="en-US" w:eastAsia="zh-CN" w:bidi="ar"/>
        </w:rPr>
        <w:t>三</w:t>
      </w:r>
      <w:r>
        <w:rPr>
          <w:rFonts w:hint="eastAsia" w:ascii="仿宋_GB2312" w:hAnsi="仿宋_GB2312" w:eastAsia="仿宋_GB2312" w:cs="仿宋_GB2312"/>
          <w:kern w:val="0"/>
          <w:sz w:val="32"/>
          <w:szCs w:val="32"/>
          <w:lang w:bidi="ar"/>
        </w:rPr>
        <w:t>年无重大行政处罚记录和刑事犯罪记录</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未列入严重违法失信主体名单</w:t>
      </w:r>
      <w:r>
        <w:rPr>
          <w:rStyle w:val="10"/>
          <w:rFonts w:hint="eastAsia" w:ascii="仿宋_GB2312" w:hAnsi="仿宋_GB2312" w:eastAsia="仿宋_GB2312" w:cs="仿宋_GB2312"/>
          <w:b w:val="0"/>
          <w:bCs/>
          <w:color w:val="auto"/>
          <w:sz w:val="32"/>
          <w:szCs w:val="32"/>
          <w:highlight w:val="none"/>
          <w:lang w:val="en-US" w:eastAsia="zh-CN"/>
        </w:rPr>
        <w:t>。</w:t>
      </w:r>
    </w:p>
    <w:p w14:paraId="494C02A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lang w:eastAsia="zh-CN" w:bidi="ar"/>
        </w:rPr>
        <w:t>）</w:t>
      </w:r>
      <w:r>
        <w:rPr>
          <w:rStyle w:val="10"/>
          <w:rFonts w:hint="eastAsia" w:ascii="仿宋_GB2312" w:hAnsi="仿宋_GB2312" w:eastAsia="仿宋_GB2312" w:cs="仿宋_GB2312"/>
          <w:b w:val="0"/>
          <w:bCs/>
          <w:color w:val="auto"/>
          <w:sz w:val="32"/>
          <w:szCs w:val="32"/>
          <w:highlight w:val="none"/>
          <w:lang w:val="en-US" w:eastAsia="zh-CN"/>
        </w:rPr>
        <w:t>申报主体主要从事游戏电竞产业领域的相关企业事业单位，或属于国家统计局制定的《文化及相关产业分类(2018)》《体育产业统计分类(2019)》统计范围的企业。</w:t>
      </w:r>
    </w:p>
    <w:p w14:paraId="0B2741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eastAsia="仿宋_GB2312" w:cs="仿宋_GB2312"/>
          <w:color w:val="000000"/>
          <w:sz w:val="32"/>
          <w:szCs w:val="32"/>
          <w:lang w:val="en-US" w:eastAsia="zh-CN"/>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三</w:t>
      </w:r>
      <w:r>
        <w:rPr>
          <w:rFonts w:hint="eastAsia" w:ascii="仿宋_GB2312" w:hAnsi="仿宋_GB2312" w:eastAsia="仿宋_GB2312" w:cs="仿宋_GB2312"/>
          <w:color w:val="auto"/>
          <w:kern w:val="0"/>
          <w:sz w:val="32"/>
          <w:szCs w:val="32"/>
          <w:lang w:eastAsia="zh-CN" w:bidi="ar"/>
        </w:rPr>
        <w:t>）</w:t>
      </w:r>
      <w:r>
        <w:rPr>
          <w:rStyle w:val="10"/>
          <w:rFonts w:hint="eastAsia" w:ascii="仿宋_GB2312" w:hAnsi="仿宋_GB2312" w:eastAsia="仿宋_GB2312" w:cs="仿宋_GB2312"/>
          <w:b w:val="0"/>
          <w:bCs/>
          <w:color w:val="auto"/>
          <w:sz w:val="32"/>
          <w:szCs w:val="32"/>
          <w:highlight w:val="none"/>
          <w:lang w:val="en-US" w:eastAsia="zh-CN"/>
        </w:rPr>
        <w:t>申报主体自2024年1月1日（含）起参加相关国际、全国职业电竞赛事，参考数据平台ESC中2024年峰值观众前10且在中国大陆地区获得出版许可</w:t>
      </w:r>
      <w:r>
        <w:rPr>
          <w:rStyle w:val="10"/>
          <w:rFonts w:hint="eastAsia" w:ascii="仿宋_GB2312" w:hAnsi="仿宋_GB2312" w:eastAsia="仿宋_GB2312" w:cs="仿宋_GB2312"/>
          <w:b w:val="0"/>
          <w:bCs/>
          <w:color w:val="auto"/>
          <w:sz w:val="32"/>
          <w:szCs w:val="32"/>
          <w:highlight w:val="none"/>
          <w:lang w:val="en-US" w:eastAsia="zh"/>
        </w:rPr>
        <w:t>职业电竞</w:t>
      </w:r>
      <w:r>
        <w:rPr>
          <w:rStyle w:val="10"/>
          <w:rFonts w:hint="eastAsia" w:ascii="仿宋_GB2312" w:hAnsi="仿宋_GB2312" w:eastAsia="仿宋_GB2312" w:cs="仿宋_GB2312"/>
          <w:b w:val="0"/>
          <w:bCs/>
          <w:color w:val="auto"/>
          <w:sz w:val="32"/>
          <w:szCs w:val="32"/>
          <w:highlight w:val="none"/>
          <w:lang w:val="en-US" w:eastAsia="zh-CN"/>
        </w:rPr>
        <w:t>项目，其相关国际、全国职业电竞赛事，职业电竞赛事</w:t>
      </w:r>
      <w:r>
        <w:rPr>
          <w:rFonts w:hint="eastAsia" w:ascii="仿宋_GB2312" w:eastAsia="仿宋_GB2312" w:cs="仿宋_GB2312"/>
          <w:color w:val="000000"/>
          <w:sz w:val="32"/>
          <w:szCs w:val="32"/>
          <w:lang w:val="en-US" w:eastAsia="zh-CN"/>
        </w:rPr>
        <w:t>如下：</w:t>
      </w:r>
    </w:p>
    <w:p w14:paraId="251400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1.《英雄联盟》相关赛事</w:t>
      </w:r>
    </w:p>
    <w:p w14:paraId="4381EA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英雄联盟全球总决赛（S赛）【锦标赛】、英雄联盟季中冠军赛【锦标赛】、英雄联盟职业联赛（LPL）【联赛】。</w:t>
      </w:r>
    </w:p>
    <w:p w14:paraId="479513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2.《王者荣耀》相关赛事</w:t>
      </w:r>
    </w:p>
    <w:p w14:paraId="2B2355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王者荣耀年度总决赛【锦标赛】、王者荣耀挑战者杯【锦标赛】、王者荣耀职业联赛（KPL）【联赛】。</w:t>
      </w:r>
    </w:p>
    <w:p w14:paraId="7FA297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3.《DOTA2》相关赛事</w:t>
      </w:r>
    </w:p>
    <w:p w14:paraId="59BFA7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DOTA2国际邀请赛（TI）【锦标赛】、BLAST系列赛事【锦标赛】。</w:t>
      </w:r>
    </w:p>
    <w:p w14:paraId="40B423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4.《反恐精英2》（CS2）相关赛事</w:t>
      </w:r>
    </w:p>
    <w:p w14:paraId="17EBA4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英特尔极限大师赛（IEM）【锦标赛】、ESL Pro League 【锦标赛】、BLAST系列赛事【锦标赛】。</w:t>
      </w:r>
    </w:p>
    <w:p w14:paraId="6A540F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5.《和平精英》相关赛事</w:t>
      </w:r>
    </w:p>
    <w:p w14:paraId="0B39A3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和平精英全球总决赛（PMGC）【锦标赛】、和平精英职业联赛（PEL）【联赛】。</w:t>
      </w:r>
    </w:p>
    <w:p w14:paraId="32522E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6.《无畏契约》相关赛事</w:t>
      </w:r>
    </w:p>
    <w:p w14:paraId="45E7839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无畏契约全球冠军赛【锦标赛】、无畏契约大师赛【锦标赛】、无畏契约冠军巡回赛CN联赛【联赛】</w:t>
      </w:r>
    </w:p>
    <w:p w14:paraId="380449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7.《决胜巅峰》相关赛事</w:t>
      </w:r>
    </w:p>
    <w:p w14:paraId="65C360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决胜巅峰全球总决赛（M赛）【锦标赛】、决赛巅峰季中冠军赛【锦标赛】。</w:t>
      </w:r>
    </w:p>
    <w:p w14:paraId="7578DB7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Style w:val="10"/>
          <w:rFonts w:hint="default" w:ascii="仿宋_GB2312" w:hAnsi="仿宋_GB2312" w:eastAsia="仿宋_GB2312" w:cs="仿宋_GB2312"/>
          <w:b w:val="0"/>
          <w:bCs/>
          <w:color w:val="auto"/>
          <w:sz w:val="32"/>
          <w:szCs w:val="32"/>
          <w:highlight w:val="none"/>
          <w:lang w:val="en-US" w:eastAsia="zh-CN"/>
        </w:rPr>
      </w:pPr>
      <w:r>
        <w:rPr>
          <w:rStyle w:val="10"/>
          <w:rFonts w:hint="default" w:ascii="仿宋_GB2312" w:hAnsi="仿宋_GB2312" w:eastAsia="仿宋_GB2312" w:cs="仿宋_GB2312"/>
          <w:b w:val="0"/>
          <w:bCs/>
          <w:color w:val="auto"/>
          <w:sz w:val="32"/>
          <w:szCs w:val="32"/>
          <w:highlight w:val="none"/>
          <w:lang w:val="en-US" w:eastAsia="zh-CN"/>
        </w:rPr>
        <w:t>8.其他热门赛事</w:t>
      </w:r>
    </w:p>
    <w:p w14:paraId="789D338E">
      <w:pPr>
        <w:pStyle w:val="2"/>
        <w:ind w:firstLine="640" w:firstLineChars="200"/>
        <w:rPr>
          <w:rStyle w:val="10"/>
          <w:rFonts w:hint="eastAsia" w:ascii="仿宋_GB2312" w:hAnsi="仿宋_GB2312" w:eastAsia="仿宋_GB2312" w:cs="仿宋_GB2312"/>
          <w:b w:val="0"/>
          <w:bCs/>
          <w:color w:val="auto"/>
          <w:kern w:val="2"/>
          <w:sz w:val="32"/>
          <w:szCs w:val="32"/>
          <w:highlight w:val="yellow"/>
          <w:lang w:val="en-US" w:eastAsia="zh-CN" w:bidi="ar-SA"/>
        </w:rPr>
      </w:pPr>
      <w:r>
        <w:rPr>
          <w:rStyle w:val="10"/>
          <w:rFonts w:hint="default" w:ascii="仿宋_GB2312" w:hAnsi="仿宋_GB2312" w:eastAsia="仿宋_GB2312" w:cs="仿宋_GB2312"/>
          <w:b w:val="0"/>
          <w:bCs/>
          <w:color w:val="auto"/>
          <w:sz w:val="32"/>
          <w:szCs w:val="32"/>
          <w:highlight w:val="none"/>
          <w:lang w:val="en-US" w:eastAsia="zh-CN"/>
        </w:rPr>
        <w:t>电子竞技世界杯（EWC）、亚洲电子竞技冠军联赛（ACL）等。</w:t>
      </w:r>
    </w:p>
    <w:p w14:paraId="1412CF24">
      <w:pPr>
        <w:pStyle w:val="2"/>
        <w:ind w:firstLine="640" w:firstLineChars="200"/>
        <w:rPr>
          <w:rFonts w:hint="eastAsia"/>
          <w:highlight w:val="none"/>
          <w:lang w:val="en-US" w:eastAsia="zh-CN"/>
        </w:rPr>
      </w:pPr>
      <w:r>
        <w:rPr>
          <w:rStyle w:val="10"/>
          <w:rFonts w:hint="eastAsia" w:ascii="仿宋_GB2312" w:hAnsi="仿宋_GB2312" w:eastAsia="仿宋_GB2312" w:cs="仿宋_GB2312"/>
          <w:b w:val="0"/>
          <w:bCs/>
          <w:color w:val="auto"/>
          <w:kern w:val="2"/>
          <w:sz w:val="32"/>
          <w:szCs w:val="32"/>
          <w:highlight w:val="none"/>
          <w:lang w:val="en-US" w:eastAsia="zh-CN" w:bidi="ar-SA"/>
        </w:rPr>
        <w:t>（四）职业</w:t>
      </w:r>
      <w:r>
        <w:rPr>
          <w:rStyle w:val="10"/>
          <w:rFonts w:hint="eastAsia" w:ascii="仿宋_GB2312" w:hAnsi="仿宋_GB2312" w:eastAsia="仿宋_GB2312" w:cs="仿宋_GB2312"/>
          <w:b w:val="0"/>
          <w:bCs/>
          <w:color w:val="auto"/>
          <w:kern w:val="2"/>
          <w:sz w:val="32"/>
          <w:szCs w:val="32"/>
          <w:highlight w:val="none"/>
          <w:lang w:val="en-US" w:eastAsia="zh" w:bidi="ar-SA"/>
        </w:rPr>
        <w:t>俱乐部</w:t>
      </w:r>
      <w:r>
        <w:rPr>
          <w:rStyle w:val="10"/>
          <w:rFonts w:hint="eastAsia" w:ascii="仿宋_GB2312" w:hAnsi="仿宋_GB2312" w:eastAsia="仿宋_GB2312" w:cs="仿宋_GB2312"/>
          <w:b w:val="0"/>
          <w:bCs/>
          <w:color w:val="auto"/>
          <w:kern w:val="2"/>
          <w:sz w:val="32"/>
          <w:szCs w:val="32"/>
          <w:highlight w:val="none"/>
          <w:lang w:val="en-US" w:eastAsia="zh-CN" w:bidi="ar-SA"/>
        </w:rPr>
        <w:t>主力成员在</w:t>
      </w:r>
      <w:r>
        <w:rPr>
          <w:rStyle w:val="10"/>
          <w:rFonts w:hint="eastAsia" w:ascii="仿宋_GB2312" w:hAnsi="仿宋_GB2312" w:eastAsia="仿宋_GB2312" w:cs="仿宋_GB2312"/>
          <w:b w:val="0"/>
          <w:bCs/>
          <w:color w:val="auto"/>
          <w:kern w:val="2"/>
          <w:sz w:val="32"/>
          <w:szCs w:val="32"/>
          <w:highlight w:val="none"/>
          <w:lang w:val="en-US" w:eastAsia="zh" w:bidi="ar-SA"/>
        </w:rPr>
        <w:t>亦庄新城</w:t>
      </w:r>
      <w:r>
        <w:rPr>
          <w:rStyle w:val="10"/>
          <w:rFonts w:hint="eastAsia" w:ascii="仿宋_GB2312" w:hAnsi="仿宋_GB2312" w:eastAsia="仿宋_GB2312" w:cs="仿宋_GB2312"/>
          <w:b w:val="0"/>
          <w:bCs/>
          <w:color w:val="auto"/>
          <w:kern w:val="2"/>
          <w:sz w:val="32"/>
          <w:szCs w:val="32"/>
          <w:highlight w:val="none"/>
          <w:lang w:val="en-US" w:eastAsia="zh-CN" w:bidi="ar-SA"/>
        </w:rPr>
        <w:t>纳税</w:t>
      </w:r>
      <w:r>
        <w:rPr>
          <w:rStyle w:val="10"/>
          <w:rFonts w:hint="eastAsia" w:ascii="仿宋_GB2312" w:hAnsi="仿宋_GB2312" w:eastAsia="仿宋_GB2312" w:cs="仿宋_GB2312"/>
          <w:b w:val="0"/>
          <w:bCs/>
          <w:color w:val="auto"/>
          <w:kern w:val="2"/>
          <w:sz w:val="32"/>
          <w:szCs w:val="32"/>
          <w:highlight w:val="none"/>
          <w:lang w:val="en-US" w:eastAsia="zh" w:bidi="ar-SA"/>
        </w:rPr>
        <w:t>并缴纳</w:t>
      </w:r>
      <w:r>
        <w:rPr>
          <w:rStyle w:val="10"/>
          <w:rFonts w:hint="eastAsia" w:ascii="仿宋_GB2312" w:hAnsi="仿宋_GB2312" w:eastAsia="仿宋_GB2312" w:cs="仿宋_GB2312"/>
          <w:b w:val="0"/>
          <w:bCs/>
          <w:color w:val="auto"/>
          <w:kern w:val="2"/>
          <w:sz w:val="32"/>
          <w:szCs w:val="32"/>
          <w:highlight w:val="none"/>
          <w:lang w:val="en-US" w:eastAsia="zh-CN" w:bidi="ar-SA"/>
        </w:rPr>
        <w:t>社保。</w:t>
      </w:r>
    </w:p>
    <w:p w14:paraId="6F0485F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四、支持内容及标准</w:t>
      </w:r>
    </w:p>
    <w:p w14:paraId="540CD983">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eastAsia="仿宋_GB2312"/>
          <w:bCs/>
          <w:color w:val="auto"/>
          <w:sz w:val="32"/>
          <w:szCs w:val="18"/>
        </w:rPr>
        <w:t>（一）对于</w:t>
      </w:r>
      <w:r>
        <w:rPr>
          <w:rFonts w:hint="eastAsia" w:ascii="仿宋_GB2312" w:eastAsia="仿宋_GB2312"/>
          <w:bCs/>
          <w:color w:val="auto"/>
          <w:sz w:val="32"/>
          <w:szCs w:val="18"/>
          <w:lang w:val="en-US" w:eastAsia="zh-CN"/>
        </w:rPr>
        <w:t>2024年度</w:t>
      </w:r>
      <w:r>
        <w:rPr>
          <w:rFonts w:hint="eastAsia" w:ascii="仿宋_GB2312" w:eastAsia="仿宋_GB2312"/>
          <w:bCs/>
          <w:color w:val="auto"/>
          <w:sz w:val="32"/>
          <w:szCs w:val="18"/>
        </w:rPr>
        <w:t>参加国际、全国职业电竞赛事的职业电竞俱乐部，按照俱乐部</w:t>
      </w:r>
      <w:r>
        <w:rPr>
          <w:rFonts w:hint="eastAsia" w:ascii="仿宋_GB2312" w:eastAsia="仿宋_GB2312"/>
          <w:bCs/>
          <w:color w:val="auto"/>
          <w:sz w:val="32"/>
          <w:szCs w:val="18"/>
          <w:lang w:val="en-US" w:eastAsia="zh-CN"/>
        </w:rPr>
        <w:t>2024年度</w:t>
      </w:r>
      <w:r>
        <w:rPr>
          <w:rFonts w:hint="eastAsia" w:ascii="仿宋_GB2312" w:eastAsia="仿宋_GB2312"/>
          <w:bCs/>
          <w:color w:val="auto"/>
          <w:sz w:val="32"/>
          <w:szCs w:val="18"/>
        </w:rPr>
        <w:t>在亦庄新城实际支出的运动员培训、商业保险、设备及材料购置、软件系统、空间改造等运营费用的50%给予支持，每年最高支持200万元。</w:t>
      </w:r>
    </w:p>
    <w:p w14:paraId="0CE0261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）同一项目符合多项支持内容的，按照从高不重复的原则予以支持。</w:t>
      </w:r>
      <w:r>
        <w:rPr>
          <w:rFonts w:hint="eastAsia" w:ascii="仿宋_GB2312" w:hAnsi="仿宋_GB2312" w:eastAsia="仿宋_GB2312" w:cs="仿宋_GB2312"/>
          <w:sz w:val="32"/>
          <w:szCs w:val="32"/>
        </w:rPr>
        <w:t>支持金额以万元为单位，保留一位小数，低于1万元不予兑现，不足千元部分舍去。</w:t>
      </w:r>
    </w:p>
    <w:p w14:paraId="70A1F1B0">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rPr>
        <w:t>五、申报材料及要求</w:t>
      </w:r>
    </w:p>
    <w:p w14:paraId="60340C4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年度职业电竞俱乐部运营发展支持申报表，在线填写；</w:t>
      </w:r>
    </w:p>
    <w:p w14:paraId="28EEAA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1217161E">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加盖公章，</w:t>
      </w:r>
      <w:r>
        <w:rPr>
          <w:rFonts w:ascii="仿宋_GB2312" w:hAnsi="仿宋_GB2312" w:eastAsia="仿宋_GB2312" w:cs="仿宋_GB2312"/>
          <w:color w:val="auto"/>
          <w:sz w:val="32"/>
          <w:szCs w:val="32"/>
        </w:rPr>
        <w:t>彩色</w:t>
      </w:r>
      <w:r>
        <w:rPr>
          <w:rFonts w:hint="eastAsia" w:ascii="仿宋_GB2312" w:hAnsi="仿宋_GB2312" w:eastAsia="仿宋_GB2312" w:cs="仿宋_GB2312"/>
          <w:color w:val="auto"/>
          <w:sz w:val="32"/>
          <w:szCs w:val="32"/>
        </w:rPr>
        <w:t>扫描</w:t>
      </w:r>
      <w:r>
        <w:rPr>
          <w:rFonts w:ascii="仿宋_GB2312" w:hAnsi="仿宋_GB2312" w:eastAsia="仿宋_GB2312" w:cs="仿宋_GB2312"/>
          <w:color w:val="auto"/>
          <w:sz w:val="32"/>
          <w:szCs w:val="32"/>
        </w:rPr>
        <w:t>上传</w:t>
      </w:r>
      <w:r>
        <w:rPr>
          <w:rFonts w:hint="eastAsia" w:ascii="仿宋_GB2312" w:hAnsi="仿宋_GB2312" w:eastAsia="仿宋_GB2312" w:cs="仿宋_GB2312"/>
          <w:color w:val="auto"/>
          <w:sz w:val="32"/>
          <w:szCs w:val="32"/>
        </w:rPr>
        <w:t>；</w:t>
      </w:r>
    </w:p>
    <w:p w14:paraId="698191F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4.银行账户信息，下载模板填写，加盖公章，彩色扫描上传；</w:t>
      </w:r>
    </w:p>
    <w:p w14:paraId="06BE97E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5.申报单位2024年度财务审计报告或财务报表，审计报告原件彩色扫描上传；财务报表加盖公章，彩色扫描上传；</w:t>
      </w:r>
    </w:p>
    <w:p w14:paraId="66C59E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6.申报主体俱乐部运营报告，下载模板填写</w:t>
      </w:r>
      <w:r>
        <w:rPr>
          <w:rFonts w:hint="eastAsia" w:ascii="仿宋_GB2312" w:hAnsi="仿宋_GB2312" w:eastAsia="仿宋_GB2312" w:cs="仿宋_GB2312"/>
          <w:color w:val="auto"/>
          <w:sz w:val="32"/>
          <w:szCs w:val="32"/>
        </w:rPr>
        <w:t>，加盖公章，彩色扫描上传；</w:t>
      </w:r>
    </w:p>
    <w:p w14:paraId="445328C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7.申报主体2024年度参加</w:t>
      </w:r>
      <w:r>
        <w:rPr>
          <w:rFonts w:hint="eastAsia" w:ascii="仿宋_GB2312" w:eastAsia="仿宋_GB2312"/>
          <w:bCs/>
          <w:color w:val="auto"/>
          <w:sz w:val="32"/>
          <w:szCs w:val="18"/>
        </w:rPr>
        <w:t>国际、全国职业电竞赛事</w:t>
      </w:r>
      <w:r>
        <w:rPr>
          <w:rFonts w:hint="eastAsia" w:ascii="仿宋_GB2312" w:eastAsia="仿宋_GB2312"/>
          <w:bCs/>
          <w:color w:val="auto"/>
          <w:sz w:val="32"/>
          <w:szCs w:val="18"/>
          <w:lang w:val="en-US" w:eastAsia="zh-CN"/>
        </w:rPr>
        <w:t>证明材料</w:t>
      </w:r>
      <w:r>
        <w:rPr>
          <w:rFonts w:hint="eastAsia" w:ascii="仿宋_GB2312" w:eastAsia="仿宋_GB2312"/>
          <w:bCs/>
          <w:color w:val="auto"/>
          <w:sz w:val="32"/>
          <w:lang w:val="en-US" w:eastAsia="zh-CN"/>
        </w:rPr>
        <w:t>，包括但不限于报名回执、缴费记录、赛事成绩、赛事活动宣传材料等,</w:t>
      </w:r>
      <w:r>
        <w:rPr>
          <w:rFonts w:hint="eastAsia" w:ascii="仿宋_GB2312" w:hAnsi="仿宋_GB2312" w:eastAsia="仿宋_GB2312" w:cs="仿宋_GB2312"/>
          <w:color w:val="auto"/>
          <w:sz w:val="32"/>
          <w:szCs w:val="32"/>
          <w:lang w:val="en-US" w:eastAsia="zh-CN"/>
        </w:rPr>
        <w:t>原件</w:t>
      </w:r>
      <w:r>
        <w:rPr>
          <w:rFonts w:hint="eastAsia" w:ascii="仿宋_GB2312" w:hAnsi="仿宋_GB2312" w:eastAsia="仿宋_GB2312" w:cs="仿宋_GB2312"/>
          <w:color w:val="auto"/>
          <w:sz w:val="32"/>
          <w:szCs w:val="32"/>
        </w:rPr>
        <w:t>彩色扫描上传；</w:t>
      </w:r>
    </w:p>
    <w:p w14:paraId="1FAE379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eastAsia="仿宋_GB2312"/>
          <w:bCs/>
          <w:color w:val="auto"/>
          <w:sz w:val="32"/>
          <w:szCs w:val="18"/>
        </w:rPr>
        <w:t>申报主体</w:t>
      </w:r>
      <w:r>
        <w:rPr>
          <w:rFonts w:hint="eastAsia" w:ascii="仿宋_GB2312" w:eastAsia="仿宋_GB2312"/>
          <w:bCs/>
          <w:color w:val="auto"/>
          <w:sz w:val="32"/>
          <w:szCs w:val="18"/>
          <w:lang w:val="en-US" w:eastAsia="zh-CN"/>
        </w:rPr>
        <w:t>俱乐部运营费用支出明细表，</w:t>
      </w:r>
      <w:r>
        <w:rPr>
          <w:rFonts w:hint="eastAsia" w:ascii="仿宋_GB2312" w:hAnsi="仿宋_GB2312" w:eastAsia="仿宋_GB2312" w:cs="仿宋_GB2312"/>
          <w:color w:val="auto"/>
          <w:sz w:val="32"/>
          <w:szCs w:val="32"/>
        </w:rPr>
        <w:t>下载模板填写，加盖公章，彩色扫描上传；</w:t>
      </w:r>
    </w:p>
    <w:p w14:paraId="53C497E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bCs/>
          <w:color w:val="auto"/>
          <w:sz w:val="32"/>
          <w:szCs w:val="18"/>
          <w:lang w:val="en-US" w:eastAsia="zh-CN"/>
        </w:rPr>
        <w:t>9.申报主体俱乐部运营费用相关</w:t>
      </w:r>
      <w:r>
        <w:rPr>
          <w:rFonts w:hint="eastAsia" w:ascii="仿宋_GB2312" w:hAnsi="Times New Roman" w:eastAsia="仿宋_GB2312" w:cs="Times New Roman"/>
          <w:bCs/>
          <w:color w:val="auto"/>
          <w:sz w:val="32"/>
          <w:szCs w:val="18"/>
          <w:lang w:val="en-US" w:eastAsia="zh-CN"/>
        </w:rPr>
        <w:t>投入证明材料，</w:t>
      </w:r>
      <w:r>
        <w:rPr>
          <w:rFonts w:hint="eastAsia" w:ascii="仿宋_GB2312" w:eastAsia="仿宋_GB2312" w:cs="Times New Roman"/>
          <w:bCs/>
          <w:color w:val="auto"/>
          <w:sz w:val="32"/>
          <w:szCs w:val="18"/>
          <w:lang w:val="en-US" w:eastAsia="zh-CN"/>
        </w:rPr>
        <w:t>需与</w:t>
      </w:r>
      <w:r>
        <w:rPr>
          <w:rFonts w:hint="eastAsia" w:ascii="仿宋_GB2312" w:eastAsia="仿宋_GB2312" w:cs="Times New Roman"/>
          <w:bCs/>
          <w:color w:val="000000"/>
          <w:sz w:val="32"/>
          <w:szCs w:val="18"/>
          <w:lang w:val="en-US" w:eastAsia="zh-CN"/>
        </w:rPr>
        <w:t>材料8“</w:t>
      </w:r>
      <w:r>
        <w:rPr>
          <w:rFonts w:hint="eastAsia" w:ascii="仿宋_GB2312" w:eastAsia="仿宋_GB2312"/>
          <w:bCs/>
          <w:color w:val="auto"/>
          <w:sz w:val="32"/>
          <w:szCs w:val="18"/>
        </w:rPr>
        <w:t>申报主体</w:t>
      </w:r>
      <w:r>
        <w:rPr>
          <w:rFonts w:hint="eastAsia" w:ascii="仿宋_GB2312" w:eastAsia="仿宋_GB2312"/>
          <w:bCs/>
          <w:color w:val="auto"/>
          <w:sz w:val="32"/>
          <w:szCs w:val="18"/>
          <w:lang w:val="en-US" w:eastAsia="zh-CN"/>
        </w:rPr>
        <w:t>俱乐部运营费用支出</w:t>
      </w:r>
      <w:r>
        <w:rPr>
          <w:rFonts w:hint="eastAsia" w:ascii="仿宋_GB2312" w:eastAsia="仿宋_GB2312" w:cs="Times New Roman"/>
          <w:bCs/>
          <w:color w:val="000000"/>
          <w:sz w:val="32"/>
          <w:szCs w:val="18"/>
          <w:lang w:val="en-US" w:eastAsia="zh-CN"/>
        </w:rPr>
        <w:t>明细表”内容一一对应，包括但不限于</w:t>
      </w:r>
      <w:r>
        <w:rPr>
          <w:rFonts w:hint="eastAsia" w:ascii="仿宋_GB2312" w:hAnsi="Times New Roman" w:eastAsia="仿宋_GB2312" w:cs="Times New Roman"/>
          <w:bCs/>
          <w:color w:val="000000"/>
          <w:sz w:val="32"/>
          <w:szCs w:val="18"/>
          <w:lang w:val="en-US" w:eastAsia="zh-CN"/>
        </w:rPr>
        <w:t>合同、发票、付款</w:t>
      </w:r>
      <w:r>
        <w:rPr>
          <w:rFonts w:hint="eastAsia" w:ascii="仿宋_GB2312" w:eastAsia="仿宋_GB2312" w:cs="Times New Roman"/>
          <w:bCs/>
          <w:color w:val="000000"/>
          <w:sz w:val="32"/>
          <w:szCs w:val="18"/>
          <w:lang w:val="en-US" w:eastAsia="zh-CN"/>
        </w:rPr>
        <w:t>凭证</w:t>
      </w:r>
      <w:r>
        <w:rPr>
          <w:rFonts w:hint="eastAsia" w:ascii="仿宋_GB2312" w:hAnsi="Times New Roman" w:eastAsia="仿宋_GB2312" w:cs="Times New Roman"/>
          <w:bCs/>
          <w:color w:val="000000"/>
          <w:sz w:val="32"/>
          <w:szCs w:val="18"/>
          <w:lang w:val="en-US" w:eastAsia="zh-CN"/>
        </w:rPr>
        <w:t>或专项审计报告</w:t>
      </w:r>
      <w:r>
        <w:rPr>
          <w:rFonts w:hint="eastAsia" w:ascii="仿宋_GB2312" w:eastAsia="仿宋_GB2312" w:cs="Times New Roman"/>
          <w:bCs/>
          <w:color w:val="000000"/>
          <w:sz w:val="32"/>
          <w:szCs w:val="18"/>
          <w:lang w:val="en-US" w:eastAsia="zh-CN"/>
        </w:rPr>
        <w:t>等</w:t>
      </w:r>
      <w:r>
        <w:rPr>
          <w:rFonts w:hint="eastAsia" w:ascii="仿宋_GB2312" w:hAnsi="Times New Roman" w:eastAsia="仿宋_GB2312" w:cs="Times New Roman"/>
          <w:bCs/>
          <w:color w:val="000000"/>
          <w:sz w:val="32"/>
          <w:szCs w:val="18"/>
          <w:lang w:val="en-US" w:eastAsia="zh-CN"/>
        </w:rPr>
        <w:t>，</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r>
        <w:rPr>
          <w:rFonts w:hint="eastAsia" w:ascii="仿宋_GB2312" w:hAnsi="仿宋_GB2312" w:eastAsia="仿宋_GB2312" w:cs="仿宋_GB2312"/>
          <w:color w:val="auto"/>
          <w:sz w:val="32"/>
          <w:szCs w:val="32"/>
        </w:rPr>
        <w:t>；</w:t>
      </w:r>
    </w:p>
    <w:p w14:paraId="1B1C885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10.申报主体场地情况证明材料，</w:t>
      </w:r>
      <w:r>
        <w:rPr>
          <w:rFonts w:hint="eastAsia" w:ascii="仿宋_GB2312" w:eastAsia="仿宋_GB2312"/>
          <w:bCs/>
          <w:color w:val="000000"/>
          <w:sz w:val="32"/>
          <w:szCs w:val="18"/>
          <w:lang w:val="en-US" w:eastAsia="zh-CN"/>
        </w:rPr>
        <w:t>包括但不限于不动产权证书、房屋租赁合同及付款发票等，</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rPr>
        <w:t>彩色扫描上传</w:t>
      </w:r>
      <w:r>
        <w:rPr>
          <w:rFonts w:hint="eastAsia" w:ascii="仿宋_GB2312" w:hAnsi="仿宋_GB2312" w:eastAsia="仿宋_GB2312" w:cs="仿宋_GB2312"/>
          <w:sz w:val="32"/>
          <w:szCs w:val="32"/>
          <w:lang w:eastAsia="zh-CN"/>
        </w:rPr>
        <w:t>；</w:t>
      </w:r>
    </w:p>
    <w:p w14:paraId="3B8F018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申报主体俱乐部主力成员证明材料，包括</w:t>
      </w:r>
      <w:r>
        <w:rPr>
          <w:rFonts w:hint="eastAsia" w:ascii="仿宋_GB2312" w:hAnsi="仿宋_GB2312" w:eastAsia="仿宋_GB2312" w:cs="仿宋_GB2312"/>
          <w:color w:val="auto"/>
          <w:sz w:val="32"/>
          <w:szCs w:val="32"/>
          <w:lang w:eastAsia="zh-CN"/>
        </w:rPr>
        <w:t>但</w:t>
      </w:r>
      <w:r>
        <w:rPr>
          <w:rFonts w:hint="eastAsia" w:ascii="仿宋_GB2312" w:hAnsi="仿宋_GB2312" w:eastAsia="仿宋_GB2312" w:cs="仿宋_GB2312"/>
          <w:color w:val="auto"/>
          <w:sz w:val="32"/>
          <w:szCs w:val="32"/>
        </w:rPr>
        <w:t>不限</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主力成员名单及对应成员</w:t>
      </w:r>
      <w:r>
        <w:rPr>
          <w:rFonts w:hint="eastAsia" w:ascii="仿宋_GB2312" w:hAnsi="仿宋_GB2312" w:eastAsia="仿宋_GB2312" w:cs="仿宋_GB2312"/>
          <w:color w:val="auto"/>
          <w:sz w:val="32"/>
          <w:szCs w:val="32"/>
        </w:rPr>
        <w:t>入职至今</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《个人所得税纳税记录》和《北京市社会保险个人权益记录（参保人员缴费信息）》，原件彩色扫描上传</w:t>
      </w:r>
      <w:r>
        <w:rPr>
          <w:rFonts w:hint="eastAsia" w:ascii="仿宋_GB2312" w:hAnsi="仿宋_GB2312" w:eastAsia="仿宋_GB2312" w:cs="仿宋_GB2312"/>
          <w:color w:val="auto"/>
          <w:sz w:val="32"/>
          <w:szCs w:val="32"/>
          <w:lang w:eastAsia="zh-CN"/>
        </w:rPr>
        <w:t>；</w:t>
      </w:r>
    </w:p>
    <w:p w14:paraId="2820CF9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12.其他证明材料，原件彩色扫描上传。</w:t>
      </w:r>
    </w:p>
    <w:p w14:paraId="2F6C822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14B7C4CA">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（一）</w:t>
      </w:r>
      <w:r>
        <w:rPr>
          <w:rFonts w:hint="eastAsia" w:ascii="仿宋_GB2312" w:eastAsia="仿宋_GB2312"/>
          <w:b/>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color w:val="000000"/>
          <w:sz w:val="32"/>
          <w:szCs w:val="32"/>
          <w:lang w:val="en-US" w:eastAsia="zh-CN"/>
        </w:rPr>
        <w:t>北京市人民政府门户网站“政策兑现”栏目（https://zhengce.beijing.gov.cn）或</w:t>
      </w:r>
      <w:r>
        <w:rPr>
          <w:rFonts w:hint="eastAsia" w:ascii="仿宋_GB2312" w:hAnsi="仿宋_GB2312" w:eastAsia="仿宋_GB2312" w:cs="仿宋_GB2312"/>
          <w:color w:val="000000"/>
          <w:sz w:val="32"/>
          <w:szCs w:val="32"/>
        </w:rPr>
        <w:t>经开区官网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政策兑现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栏目（zcdx.kfqgw.beijing.gov.cn）</w:t>
      </w:r>
      <w:r>
        <w:rPr>
          <w:rFonts w:hint="eastAsia" w:ascii="仿宋_GB2312" w:hAnsi="仿宋_GB2312" w:eastAsia="仿宋_GB2312" w:cs="仿宋_GB2312"/>
          <w:color w:val="000000"/>
          <w:sz w:val="32"/>
          <w:szCs w:val="32"/>
        </w:rPr>
        <w:t>进入政策兑现综合服务平台，注册登录后进行项目申报。如未在规定时间内提交申请的，视为自动放弃。</w:t>
      </w:r>
    </w:p>
    <w:p w14:paraId="06849DA4">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eastAsia="仿宋_GB2312"/>
          <w:sz w:val="32"/>
          <w:szCs w:val="32"/>
        </w:rPr>
      </w:pPr>
      <w:r>
        <w:rPr>
          <w:rFonts w:hint="eastAsia" w:ascii="仿宋_GB2312" w:eastAsia="仿宋_GB2312"/>
          <w:bCs/>
          <w:sz w:val="32"/>
          <w:szCs w:val="32"/>
        </w:rPr>
        <w:t>（二）</w:t>
      </w:r>
      <w:r>
        <w:rPr>
          <w:rFonts w:hint="eastAsia" w:ascii="仿宋_GB2312" w:eastAsia="仿宋_GB2312"/>
          <w:b/>
          <w:sz w:val="32"/>
          <w:szCs w:val="32"/>
        </w:rPr>
        <w:t>初审：</w:t>
      </w:r>
      <w:r>
        <w:rPr>
          <w:rFonts w:ascii="仿宋_GB2312" w:hAnsi="宋体" w:eastAsia="仿宋_GB2312" w:cs="仿宋_GB2312"/>
          <w:color w:val="000000"/>
          <w:sz w:val="32"/>
          <w:szCs w:val="32"/>
        </w:rPr>
        <w:t>经开区营商环境建设局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076FDDFF">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eastAsia="仿宋_GB2312"/>
          <w:bCs/>
          <w:sz w:val="32"/>
          <w:szCs w:val="32"/>
        </w:rPr>
        <w:t>（三）</w:t>
      </w:r>
      <w:r>
        <w:rPr>
          <w:rFonts w:hint="eastAsia" w:ascii="仿宋_GB2312" w:eastAsia="仿宋_GB2312"/>
          <w:b/>
          <w:sz w:val="32"/>
          <w:szCs w:val="32"/>
        </w:rPr>
        <w:t>审核</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sz w:val="32"/>
          <w:szCs w:val="32"/>
        </w:rPr>
        <w:t>对</w:t>
      </w:r>
      <w:r>
        <w:rPr>
          <w:rFonts w:hint="eastAsia" w:ascii="仿宋_GB2312" w:hAnsi="仿宋_GB2312" w:eastAsia="仿宋_GB2312" w:cs="仿宋_GB2312"/>
          <w:color w:val="000000"/>
          <w:sz w:val="32"/>
          <w:szCs w:val="32"/>
          <w:lang w:val="en-US" w:eastAsia="zh-CN"/>
        </w:rPr>
        <w:t>申报</w:t>
      </w:r>
      <w:r>
        <w:rPr>
          <w:rFonts w:hint="eastAsia" w:ascii="仿宋_GB2312" w:hAnsi="仿宋_GB2312" w:eastAsia="仿宋_GB2312" w:cs="仿宋_GB2312"/>
          <w:color w:val="000000"/>
          <w:sz w:val="32"/>
          <w:szCs w:val="32"/>
        </w:rPr>
        <w:t>材料进行实质审核。</w:t>
      </w:r>
    </w:p>
    <w:p w14:paraId="4F293364">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w:t>
      </w:r>
      <w:r>
        <w:rPr>
          <w:rFonts w:hint="eastAsia" w:ascii="仿宋_GB2312" w:eastAsia="仿宋_GB2312"/>
          <w:bCs/>
          <w:sz w:val="32"/>
          <w:szCs w:val="32"/>
        </w:rPr>
        <w:t>经开区工委宣传文化部</w:t>
      </w:r>
      <w:r>
        <w:rPr>
          <w:rFonts w:hint="eastAsia" w:ascii="仿宋_GB2312" w:hAnsi="仿宋_GB2312" w:eastAsia="仿宋_GB2312" w:cs="仿宋_GB2312"/>
          <w:color w:val="000000"/>
          <w:kern w:val="2"/>
          <w:sz w:val="32"/>
          <w:szCs w:val="32"/>
        </w:rPr>
        <w:t>对审核通过的申报主体拟定兑现扶持奖励金额。</w:t>
      </w:r>
    </w:p>
    <w:p w14:paraId="0044F010">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eastAsia="仿宋_GB2312"/>
          <w:bCs/>
          <w:sz w:val="32"/>
          <w:szCs w:val="32"/>
        </w:rPr>
        <w:t>（</w:t>
      </w:r>
      <w:r>
        <w:rPr>
          <w:rFonts w:hint="eastAsia" w:ascii="仿宋_GB2312" w:eastAsia="仿宋_GB2312"/>
          <w:bCs/>
          <w:sz w:val="32"/>
          <w:szCs w:val="32"/>
          <w:lang w:val="en-US" w:eastAsia="zh-CN"/>
        </w:rPr>
        <w:t>五</w:t>
      </w:r>
      <w:r>
        <w:rPr>
          <w:rFonts w:hint="eastAsia" w:ascii="仿宋_GB2312" w:eastAsia="仿宋_GB2312"/>
          <w:bCs/>
          <w:sz w:val="32"/>
          <w:szCs w:val="32"/>
        </w:rPr>
        <w:t>）</w:t>
      </w:r>
      <w:r>
        <w:rPr>
          <w:rFonts w:hint="eastAsia" w:ascii="仿宋_GB2312" w:eastAsia="仿宋_GB2312"/>
          <w:b/>
          <w:sz w:val="32"/>
          <w:szCs w:val="32"/>
        </w:rPr>
        <w:t>公示：</w:t>
      </w:r>
      <w:r>
        <w:rPr>
          <w:rFonts w:hint="eastAsia" w:ascii="仿宋_GB2312" w:hAnsi="仿宋_GB2312" w:eastAsia="仿宋_GB2312" w:cs="仿宋_GB2312"/>
          <w:color w:val="000000"/>
          <w:kern w:val="2"/>
          <w:sz w:val="32"/>
          <w:szCs w:val="32"/>
        </w:rPr>
        <w:t>经开区工委宣传文化部通过政策兑现综合服务平台对审核通过的申报主体进行公示。</w:t>
      </w:r>
    </w:p>
    <w:p w14:paraId="51518EFE">
      <w:pPr>
        <w:pStyle w:val="7"/>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六</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7B6B6E3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27F0CFA8">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bCs/>
          <w:color w:val="auto"/>
          <w:sz w:val="32"/>
          <w:szCs w:val="32"/>
        </w:rPr>
      </w:pPr>
      <w:r>
        <w:rPr>
          <w:rFonts w:hint="eastAsia" w:eastAsia="仿宋_GB2312"/>
          <w:color w:val="auto"/>
          <w:sz w:val="32"/>
          <w:szCs w:val="32"/>
        </w:rPr>
        <w:t>经开区工委宣传文化部</w:t>
      </w:r>
    </w:p>
    <w:p w14:paraId="06E96E4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5AC0EB5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eastAsia="仿宋_GB2312"/>
          <w:color w:val="auto"/>
          <w:sz w:val="32"/>
          <w:szCs w:val="32"/>
        </w:rPr>
      </w:pPr>
      <w:r>
        <w:rPr>
          <w:rFonts w:hint="eastAsia" w:ascii="仿宋_GB2312" w:hAnsi="仿宋_GB2312" w:eastAsia="仿宋_GB2312" w:cs="仿宋_GB2312"/>
          <w:color w:val="auto"/>
          <w:sz w:val="32"/>
          <w:szCs w:val="32"/>
          <w:highlight w:val="none"/>
        </w:rPr>
        <w:t>北京经济技术开发区万源街4号政务服务大厅“政策申报”窗口</w:t>
      </w:r>
    </w:p>
    <w:p w14:paraId="4FBA64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7ACF71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日至202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w:t>
      </w:r>
    </w:p>
    <w:p w14:paraId="33E6B4C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728679A9">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政策咨询：</w:t>
      </w:r>
    </w:p>
    <w:p w14:paraId="0B0A465A">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仿宋_GB2312" w:eastAsia="仿宋_GB2312" w:cs="仿宋_GB2312"/>
          <w:color w:val="auto"/>
          <w:sz w:val="32"/>
          <w:szCs w:val="32"/>
        </w:rPr>
      </w:pPr>
      <w:r>
        <w:rPr>
          <w:rFonts w:hint="eastAsia" w:ascii="仿宋_GB2312" w:hAnsi="宋体" w:eastAsia="仿宋_GB2312" w:cs="仿宋_GB2312"/>
          <w:color w:val="auto"/>
          <w:sz w:val="32"/>
          <w:szCs w:val="32"/>
        </w:rPr>
        <w:t>经开区政务服务大厅</w:t>
      </w:r>
      <w:r>
        <w:rPr>
          <w:rFonts w:hint="eastAsia" w:eastAsia="仿宋_GB2312"/>
          <w:color w:val="auto"/>
          <w:sz w:val="32"/>
          <w:szCs w:val="32"/>
        </w:rPr>
        <w:t>“政策申报”窗口，联系电话：</w:t>
      </w:r>
      <w:r>
        <w:rPr>
          <w:rFonts w:hint="eastAsia" w:ascii="仿宋_GB2312" w:hAnsi="仿宋_GB2312" w:eastAsia="仿宋_GB2312" w:cs="仿宋_GB2312"/>
          <w:color w:val="auto"/>
          <w:sz w:val="32"/>
          <w:szCs w:val="32"/>
        </w:rPr>
        <w:t>010-67857687</w:t>
      </w:r>
      <w:r>
        <w:rPr>
          <w:rFonts w:hint="eastAsia" w:eastAsia="仿宋_GB2312"/>
          <w:color w:val="auto"/>
          <w:sz w:val="32"/>
          <w:szCs w:val="32"/>
        </w:rPr>
        <w:t>；</w:t>
      </w:r>
      <w:r>
        <w:rPr>
          <w:rFonts w:hint="eastAsia" w:ascii="仿宋_GB2312" w:hAnsi="仿宋_GB2312" w:eastAsia="仿宋_GB2312" w:cs="仿宋_GB2312"/>
          <w:color w:val="auto"/>
          <w:sz w:val="32"/>
          <w:szCs w:val="32"/>
        </w:rPr>
        <w:t>010-67857878转4，工作日上午9:00—12:00，下午1:30—5:00。</w:t>
      </w:r>
    </w:p>
    <w:p w14:paraId="141F273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经开区工委宣传文化部，联系电话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010-83508114</w:t>
      </w:r>
      <w:r>
        <w:rPr>
          <w:rFonts w:ascii="仿宋_GB2312" w:hAnsi="仿宋_GB2312" w:eastAsia="仿宋_GB2312" w:cs="仿宋_GB2312"/>
          <w:color w:val="auto"/>
          <w:sz w:val="32"/>
          <w:szCs w:val="32"/>
          <w:highlight w:val="none"/>
        </w:rPr>
        <w:t>，工作日上午9</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12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00，下午2:00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6:00</w:t>
      </w:r>
      <w:r>
        <w:rPr>
          <w:rFonts w:hint="eastAsia" w:ascii="仿宋_GB2312" w:hAnsi="仿宋_GB2312" w:eastAsia="仿宋_GB2312" w:cs="仿宋_GB2312"/>
          <w:color w:val="auto"/>
          <w:sz w:val="32"/>
          <w:szCs w:val="32"/>
          <w:highlight w:val="none"/>
        </w:rPr>
        <w:t>。</w:t>
      </w:r>
    </w:p>
    <w:p w14:paraId="560D07FA">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技术支持：</w:t>
      </w:r>
    </w:p>
    <w:p w14:paraId="23FC352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color w:val="auto"/>
          <w:sz w:val="32"/>
          <w:szCs w:val="32"/>
        </w:rPr>
      </w:pPr>
      <w:r>
        <w:rPr>
          <w:rFonts w:hint="eastAsia" w:eastAsia="仿宋_GB2312"/>
          <w:color w:val="auto"/>
          <w:sz w:val="32"/>
          <w:szCs w:val="32"/>
        </w:rPr>
        <w:t>联系电话</w:t>
      </w:r>
      <w:r>
        <w:rPr>
          <w:rFonts w:hint="eastAsia" w:ascii="仿宋_GB2312" w:hAnsi="仿宋_GB2312" w:eastAsia="仿宋_GB2312" w:cs="仿宋_GB2312"/>
          <w:color w:val="auto"/>
          <w:sz w:val="32"/>
          <w:szCs w:val="32"/>
        </w:rPr>
        <w:t>：010-</w:t>
      </w:r>
      <w:r>
        <w:rPr>
          <w:rFonts w:hint="eastAsia" w:ascii="仿宋_GB2312" w:hAnsi="仿宋_GB2312" w:eastAsia="仿宋_GB2312" w:cs="仿宋_GB2312"/>
          <w:color w:val="auto"/>
          <w:sz w:val="32"/>
          <w:szCs w:val="32"/>
          <w:lang w:val="en-US" w:eastAsia="zh-CN"/>
        </w:rPr>
        <w:t>83509</w:t>
      </w:r>
      <w:r>
        <w:rPr>
          <w:rFonts w:hint="eastAsia" w:ascii="仿宋_GB2312" w:hAnsi="仿宋_GB2312" w:eastAsia="仿宋_GB2312" w:cs="仿宋_GB2312"/>
          <w:color w:val="auto"/>
          <w:sz w:val="32"/>
          <w:szCs w:val="32"/>
        </w:rPr>
        <w:t>638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工作日上午9:00—12:00，下午2:00—6:00。</w:t>
      </w:r>
    </w:p>
    <w:p w14:paraId="07A369F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7D2A782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1EB21A2D">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十二、特别说明</w:t>
      </w:r>
    </w:p>
    <w:p w14:paraId="5F09E0D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olor w:val="auto"/>
          <w:sz w:val="32"/>
          <w:lang w:val="en-US" w:eastAsia="zh-CN"/>
        </w:rPr>
        <w:t>本指南内容由</w:t>
      </w:r>
      <w:r>
        <w:rPr>
          <w:rFonts w:hint="eastAsia" w:ascii="仿宋_GB2312" w:hAnsi="仿宋_GB2312" w:eastAsia="仿宋_GB2312"/>
          <w:color w:val="auto"/>
          <w:sz w:val="32"/>
        </w:rPr>
        <w:t>经开区工委宣传文化部</w:t>
      </w:r>
      <w:r>
        <w:rPr>
          <w:rFonts w:hint="eastAsia" w:ascii="仿宋_GB2312" w:hAnsi="仿宋_GB2312" w:eastAsia="仿宋_GB2312"/>
          <w:color w:val="auto"/>
          <w:sz w:val="32"/>
          <w:lang w:val="en-US" w:eastAsia="zh-CN"/>
        </w:rPr>
        <w:t>负责解释。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1302C"/>
    <w:rsid w:val="00060052"/>
    <w:rsid w:val="00062C5F"/>
    <w:rsid w:val="000F62F2"/>
    <w:rsid w:val="001145E7"/>
    <w:rsid w:val="00161422"/>
    <w:rsid w:val="00161CCE"/>
    <w:rsid w:val="002713F4"/>
    <w:rsid w:val="002756F7"/>
    <w:rsid w:val="002769D0"/>
    <w:rsid w:val="002838D9"/>
    <w:rsid w:val="00360EF1"/>
    <w:rsid w:val="00395968"/>
    <w:rsid w:val="003D6CD5"/>
    <w:rsid w:val="00457B4D"/>
    <w:rsid w:val="004A2DD8"/>
    <w:rsid w:val="004B2A99"/>
    <w:rsid w:val="00525FAA"/>
    <w:rsid w:val="006A1513"/>
    <w:rsid w:val="006D0140"/>
    <w:rsid w:val="006F16D3"/>
    <w:rsid w:val="00710378"/>
    <w:rsid w:val="0074221C"/>
    <w:rsid w:val="007832B2"/>
    <w:rsid w:val="00844BDB"/>
    <w:rsid w:val="008F4250"/>
    <w:rsid w:val="00900A14"/>
    <w:rsid w:val="00923A77"/>
    <w:rsid w:val="009269CB"/>
    <w:rsid w:val="00967B93"/>
    <w:rsid w:val="0097300E"/>
    <w:rsid w:val="0098077A"/>
    <w:rsid w:val="00A3406B"/>
    <w:rsid w:val="00AA5414"/>
    <w:rsid w:val="00AE15B1"/>
    <w:rsid w:val="00AF44A2"/>
    <w:rsid w:val="00B42F98"/>
    <w:rsid w:val="00B74D80"/>
    <w:rsid w:val="00C122AB"/>
    <w:rsid w:val="00C34A62"/>
    <w:rsid w:val="00D460B2"/>
    <w:rsid w:val="00D5632B"/>
    <w:rsid w:val="00D668C9"/>
    <w:rsid w:val="00D76185"/>
    <w:rsid w:val="00D77F15"/>
    <w:rsid w:val="00D85A9F"/>
    <w:rsid w:val="00DB3356"/>
    <w:rsid w:val="00E75D29"/>
    <w:rsid w:val="00E90819"/>
    <w:rsid w:val="00EA199B"/>
    <w:rsid w:val="00EC54AE"/>
    <w:rsid w:val="00FD06FB"/>
    <w:rsid w:val="00FD0982"/>
    <w:rsid w:val="01540D91"/>
    <w:rsid w:val="01586909"/>
    <w:rsid w:val="015C7ADB"/>
    <w:rsid w:val="01904DED"/>
    <w:rsid w:val="01CB7B50"/>
    <w:rsid w:val="01D948CF"/>
    <w:rsid w:val="020C0B78"/>
    <w:rsid w:val="0225322D"/>
    <w:rsid w:val="02297D4E"/>
    <w:rsid w:val="026102BC"/>
    <w:rsid w:val="026109AD"/>
    <w:rsid w:val="0278373A"/>
    <w:rsid w:val="0290748C"/>
    <w:rsid w:val="03056B13"/>
    <w:rsid w:val="032269ED"/>
    <w:rsid w:val="037C128E"/>
    <w:rsid w:val="03987D96"/>
    <w:rsid w:val="03E353C9"/>
    <w:rsid w:val="03FA3EE0"/>
    <w:rsid w:val="04042238"/>
    <w:rsid w:val="04080ECA"/>
    <w:rsid w:val="04737D47"/>
    <w:rsid w:val="048B28B7"/>
    <w:rsid w:val="04BF0B67"/>
    <w:rsid w:val="052A15A0"/>
    <w:rsid w:val="05504736"/>
    <w:rsid w:val="05933C0C"/>
    <w:rsid w:val="05AE227A"/>
    <w:rsid w:val="05AE34A7"/>
    <w:rsid w:val="05D14D85"/>
    <w:rsid w:val="06113255"/>
    <w:rsid w:val="0646239C"/>
    <w:rsid w:val="06B62BF6"/>
    <w:rsid w:val="06D3553D"/>
    <w:rsid w:val="06FE1C51"/>
    <w:rsid w:val="072A1178"/>
    <w:rsid w:val="074E6B15"/>
    <w:rsid w:val="078B6DBE"/>
    <w:rsid w:val="07936930"/>
    <w:rsid w:val="07B11C5A"/>
    <w:rsid w:val="08283748"/>
    <w:rsid w:val="0840700F"/>
    <w:rsid w:val="08925D0E"/>
    <w:rsid w:val="089620E8"/>
    <w:rsid w:val="08A13D48"/>
    <w:rsid w:val="08A45B0A"/>
    <w:rsid w:val="08A825A4"/>
    <w:rsid w:val="08B97A0D"/>
    <w:rsid w:val="08BF34BA"/>
    <w:rsid w:val="08D44C62"/>
    <w:rsid w:val="08DA0113"/>
    <w:rsid w:val="09047D11"/>
    <w:rsid w:val="093955CA"/>
    <w:rsid w:val="09677F84"/>
    <w:rsid w:val="09FF2B6A"/>
    <w:rsid w:val="0A12715A"/>
    <w:rsid w:val="0A192B78"/>
    <w:rsid w:val="0A7A09DE"/>
    <w:rsid w:val="0A7A6E57"/>
    <w:rsid w:val="0AC92E9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105C2D"/>
    <w:rsid w:val="0D920D6C"/>
    <w:rsid w:val="0D9E4973"/>
    <w:rsid w:val="0E2A5EE7"/>
    <w:rsid w:val="0E4A7C7C"/>
    <w:rsid w:val="0E5672B2"/>
    <w:rsid w:val="0E715E03"/>
    <w:rsid w:val="0EAB08F2"/>
    <w:rsid w:val="0EAD26D4"/>
    <w:rsid w:val="0EAF7630"/>
    <w:rsid w:val="0ED00FB9"/>
    <w:rsid w:val="0EE86C1D"/>
    <w:rsid w:val="0F131376"/>
    <w:rsid w:val="0F193762"/>
    <w:rsid w:val="0F221A0E"/>
    <w:rsid w:val="0F8C27FB"/>
    <w:rsid w:val="0F934289"/>
    <w:rsid w:val="0FA61C25"/>
    <w:rsid w:val="0FF757D0"/>
    <w:rsid w:val="101D1DF8"/>
    <w:rsid w:val="10452D67"/>
    <w:rsid w:val="106018C4"/>
    <w:rsid w:val="10653491"/>
    <w:rsid w:val="10706EEF"/>
    <w:rsid w:val="108773EC"/>
    <w:rsid w:val="1092296C"/>
    <w:rsid w:val="10A01313"/>
    <w:rsid w:val="10C13CF3"/>
    <w:rsid w:val="117D2BA9"/>
    <w:rsid w:val="118F3527"/>
    <w:rsid w:val="119860A9"/>
    <w:rsid w:val="11CA43B8"/>
    <w:rsid w:val="11D62CBE"/>
    <w:rsid w:val="121B617A"/>
    <w:rsid w:val="1252310C"/>
    <w:rsid w:val="12E52159"/>
    <w:rsid w:val="12EE4885"/>
    <w:rsid w:val="13FC0F05"/>
    <w:rsid w:val="14036F1C"/>
    <w:rsid w:val="14051437"/>
    <w:rsid w:val="142723BB"/>
    <w:rsid w:val="14483333"/>
    <w:rsid w:val="144F1126"/>
    <w:rsid w:val="14942D13"/>
    <w:rsid w:val="14977ACF"/>
    <w:rsid w:val="14A407D6"/>
    <w:rsid w:val="14BF71E2"/>
    <w:rsid w:val="15026CFF"/>
    <w:rsid w:val="151415E7"/>
    <w:rsid w:val="153730CA"/>
    <w:rsid w:val="15526AEE"/>
    <w:rsid w:val="15553FBA"/>
    <w:rsid w:val="157E1A27"/>
    <w:rsid w:val="15AF3425"/>
    <w:rsid w:val="15B34768"/>
    <w:rsid w:val="15B91E83"/>
    <w:rsid w:val="15F61B74"/>
    <w:rsid w:val="160B7C23"/>
    <w:rsid w:val="162B13C4"/>
    <w:rsid w:val="17261A0A"/>
    <w:rsid w:val="17286EDC"/>
    <w:rsid w:val="172F3239"/>
    <w:rsid w:val="173A2F14"/>
    <w:rsid w:val="17AF44C7"/>
    <w:rsid w:val="17C45824"/>
    <w:rsid w:val="17C86D9E"/>
    <w:rsid w:val="18107404"/>
    <w:rsid w:val="183712FC"/>
    <w:rsid w:val="189F5C4C"/>
    <w:rsid w:val="18DF1E8D"/>
    <w:rsid w:val="18F4326C"/>
    <w:rsid w:val="18F47511"/>
    <w:rsid w:val="19612585"/>
    <w:rsid w:val="196452DD"/>
    <w:rsid w:val="197A58E4"/>
    <w:rsid w:val="19856C91"/>
    <w:rsid w:val="199F1C7B"/>
    <w:rsid w:val="19B8431B"/>
    <w:rsid w:val="19D75D3B"/>
    <w:rsid w:val="19DB76A4"/>
    <w:rsid w:val="19EC634B"/>
    <w:rsid w:val="19F32EB8"/>
    <w:rsid w:val="1A0B0313"/>
    <w:rsid w:val="1A0C4625"/>
    <w:rsid w:val="1A8011C2"/>
    <w:rsid w:val="1AB25631"/>
    <w:rsid w:val="1AC627E0"/>
    <w:rsid w:val="1AF423CA"/>
    <w:rsid w:val="1B714996"/>
    <w:rsid w:val="1B8109FE"/>
    <w:rsid w:val="1B8D4C8F"/>
    <w:rsid w:val="1B9377B6"/>
    <w:rsid w:val="1BB56B5C"/>
    <w:rsid w:val="1C14717E"/>
    <w:rsid w:val="1C1B504A"/>
    <w:rsid w:val="1C2B4E13"/>
    <w:rsid w:val="1C3B6D59"/>
    <w:rsid w:val="1C625023"/>
    <w:rsid w:val="1C6E285C"/>
    <w:rsid w:val="1C7B6FF9"/>
    <w:rsid w:val="1CFD37A9"/>
    <w:rsid w:val="1D075252"/>
    <w:rsid w:val="1D3A652C"/>
    <w:rsid w:val="1D451EB0"/>
    <w:rsid w:val="1D615728"/>
    <w:rsid w:val="1D761D5A"/>
    <w:rsid w:val="1E3278A5"/>
    <w:rsid w:val="1E447CA3"/>
    <w:rsid w:val="1EBB252A"/>
    <w:rsid w:val="1ED331FC"/>
    <w:rsid w:val="1ED6487D"/>
    <w:rsid w:val="1EFD05E9"/>
    <w:rsid w:val="1EFE4506"/>
    <w:rsid w:val="1F0F5065"/>
    <w:rsid w:val="1F1A6E4C"/>
    <w:rsid w:val="1F7E5737"/>
    <w:rsid w:val="1FA01FC8"/>
    <w:rsid w:val="1FA9441B"/>
    <w:rsid w:val="1FB0019C"/>
    <w:rsid w:val="1FD76126"/>
    <w:rsid w:val="1FD94394"/>
    <w:rsid w:val="1FDB376F"/>
    <w:rsid w:val="202F1362"/>
    <w:rsid w:val="20422CC7"/>
    <w:rsid w:val="20616F01"/>
    <w:rsid w:val="20830764"/>
    <w:rsid w:val="20AA00DB"/>
    <w:rsid w:val="20C70087"/>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C227B5"/>
    <w:rsid w:val="25CC687C"/>
    <w:rsid w:val="25DF3625"/>
    <w:rsid w:val="261E412A"/>
    <w:rsid w:val="26446E71"/>
    <w:rsid w:val="26602BD3"/>
    <w:rsid w:val="271005EA"/>
    <w:rsid w:val="2727206E"/>
    <w:rsid w:val="273249D2"/>
    <w:rsid w:val="273D6D1B"/>
    <w:rsid w:val="275E3649"/>
    <w:rsid w:val="2768133E"/>
    <w:rsid w:val="27721755"/>
    <w:rsid w:val="27874815"/>
    <w:rsid w:val="281D6715"/>
    <w:rsid w:val="286873FE"/>
    <w:rsid w:val="288627FF"/>
    <w:rsid w:val="28942D3D"/>
    <w:rsid w:val="28A332E9"/>
    <w:rsid w:val="28A81A10"/>
    <w:rsid w:val="28EE1C5E"/>
    <w:rsid w:val="29857C2F"/>
    <w:rsid w:val="29D97CC6"/>
    <w:rsid w:val="2A1D0ADC"/>
    <w:rsid w:val="2A5F7219"/>
    <w:rsid w:val="2AB25697"/>
    <w:rsid w:val="2ACF7AB8"/>
    <w:rsid w:val="2B035A09"/>
    <w:rsid w:val="2B2024A7"/>
    <w:rsid w:val="2B756EE9"/>
    <w:rsid w:val="2B833D12"/>
    <w:rsid w:val="2B9B0A58"/>
    <w:rsid w:val="2BA7027E"/>
    <w:rsid w:val="2BAB54C5"/>
    <w:rsid w:val="2BC05AF8"/>
    <w:rsid w:val="2BE54D11"/>
    <w:rsid w:val="2C522435"/>
    <w:rsid w:val="2D2A602F"/>
    <w:rsid w:val="2D574004"/>
    <w:rsid w:val="2D6B0ED7"/>
    <w:rsid w:val="2D715293"/>
    <w:rsid w:val="2D7649D6"/>
    <w:rsid w:val="2DA064BD"/>
    <w:rsid w:val="2E155772"/>
    <w:rsid w:val="2E236E07"/>
    <w:rsid w:val="2E2B3CCA"/>
    <w:rsid w:val="2E491136"/>
    <w:rsid w:val="2EC908A3"/>
    <w:rsid w:val="2ED73427"/>
    <w:rsid w:val="2F2F2A58"/>
    <w:rsid w:val="2F5D1137"/>
    <w:rsid w:val="2F6E0190"/>
    <w:rsid w:val="2F8706CB"/>
    <w:rsid w:val="2F8D4635"/>
    <w:rsid w:val="3012512B"/>
    <w:rsid w:val="30140526"/>
    <w:rsid w:val="306E5387"/>
    <w:rsid w:val="30AB0C90"/>
    <w:rsid w:val="30ED0DA7"/>
    <w:rsid w:val="310A0BC4"/>
    <w:rsid w:val="31281962"/>
    <w:rsid w:val="312A1C2B"/>
    <w:rsid w:val="315A3762"/>
    <w:rsid w:val="31624147"/>
    <w:rsid w:val="31AA66BF"/>
    <w:rsid w:val="31D65AF9"/>
    <w:rsid w:val="31FC734E"/>
    <w:rsid w:val="3201564A"/>
    <w:rsid w:val="321C265E"/>
    <w:rsid w:val="32343B0A"/>
    <w:rsid w:val="3269664D"/>
    <w:rsid w:val="32A70709"/>
    <w:rsid w:val="32D72E30"/>
    <w:rsid w:val="32FE69F0"/>
    <w:rsid w:val="336B64D8"/>
    <w:rsid w:val="33D147E6"/>
    <w:rsid w:val="33E75D8A"/>
    <w:rsid w:val="33F4CAF3"/>
    <w:rsid w:val="341807F9"/>
    <w:rsid w:val="342465E2"/>
    <w:rsid w:val="3469157A"/>
    <w:rsid w:val="347C0671"/>
    <w:rsid w:val="34B21D2C"/>
    <w:rsid w:val="34E04A84"/>
    <w:rsid w:val="34E65163"/>
    <w:rsid w:val="35135498"/>
    <w:rsid w:val="35465824"/>
    <w:rsid w:val="354F42BD"/>
    <w:rsid w:val="3573124D"/>
    <w:rsid w:val="359527A9"/>
    <w:rsid w:val="35B01629"/>
    <w:rsid w:val="35B56B4B"/>
    <w:rsid w:val="361F557F"/>
    <w:rsid w:val="36744D66"/>
    <w:rsid w:val="36E95DAE"/>
    <w:rsid w:val="371371EE"/>
    <w:rsid w:val="37184DFF"/>
    <w:rsid w:val="37873C23"/>
    <w:rsid w:val="37B84612"/>
    <w:rsid w:val="37C93788"/>
    <w:rsid w:val="37EF6300"/>
    <w:rsid w:val="37FD7B6F"/>
    <w:rsid w:val="380942B0"/>
    <w:rsid w:val="380A6843"/>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796433"/>
    <w:rsid w:val="3BB9208B"/>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3FFF12EB"/>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C00C5A"/>
    <w:rsid w:val="4ED13285"/>
    <w:rsid w:val="4F0A4EE8"/>
    <w:rsid w:val="4F1A6236"/>
    <w:rsid w:val="4F6A651C"/>
    <w:rsid w:val="4F721548"/>
    <w:rsid w:val="4FA73771"/>
    <w:rsid w:val="4FD4377C"/>
    <w:rsid w:val="4FFC2D7C"/>
    <w:rsid w:val="4FFF4188"/>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1719B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C7413C"/>
    <w:rsid w:val="59D21F08"/>
    <w:rsid w:val="59D74A3B"/>
    <w:rsid w:val="59E254CE"/>
    <w:rsid w:val="5A0862EA"/>
    <w:rsid w:val="5A136301"/>
    <w:rsid w:val="5A32726C"/>
    <w:rsid w:val="5A55165E"/>
    <w:rsid w:val="5A5C093F"/>
    <w:rsid w:val="5AA36BE1"/>
    <w:rsid w:val="5ABA2808"/>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E46DB3"/>
    <w:rsid w:val="5CE95CC1"/>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1FE7C9D"/>
    <w:rsid w:val="620458E9"/>
    <w:rsid w:val="624422CE"/>
    <w:rsid w:val="62665E06"/>
    <w:rsid w:val="62720DAE"/>
    <w:rsid w:val="62812C52"/>
    <w:rsid w:val="6298596F"/>
    <w:rsid w:val="634D0251"/>
    <w:rsid w:val="634E079D"/>
    <w:rsid w:val="635553E5"/>
    <w:rsid w:val="63716C54"/>
    <w:rsid w:val="638B25DC"/>
    <w:rsid w:val="63E9591E"/>
    <w:rsid w:val="640D4262"/>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E95A9F"/>
    <w:rsid w:val="672E0D6A"/>
    <w:rsid w:val="677F638E"/>
    <w:rsid w:val="67C1331A"/>
    <w:rsid w:val="67F973CE"/>
    <w:rsid w:val="6808097F"/>
    <w:rsid w:val="686076FC"/>
    <w:rsid w:val="68E479A1"/>
    <w:rsid w:val="69B61AD7"/>
    <w:rsid w:val="6A7C3B1B"/>
    <w:rsid w:val="6A9153AF"/>
    <w:rsid w:val="6A9A5399"/>
    <w:rsid w:val="6B3F3AAD"/>
    <w:rsid w:val="6B657311"/>
    <w:rsid w:val="6B891093"/>
    <w:rsid w:val="6BA55CDC"/>
    <w:rsid w:val="6BC177C6"/>
    <w:rsid w:val="6BC37DD4"/>
    <w:rsid w:val="6C021C08"/>
    <w:rsid w:val="6C0A466E"/>
    <w:rsid w:val="6C1948F8"/>
    <w:rsid w:val="6C1A786D"/>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B316D3"/>
    <w:rsid w:val="72D92721"/>
    <w:rsid w:val="73436223"/>
    <w:rsid w:val="735538BA"/>
    <w:rsid w:val="73AC6967"/>
    <w:rsid w:val="73AE56BA"/>
    <w:rsid w:val="73C84578"/>
    <w:rsid w:val="740941C7"/>
    <w:rsid w:val="74A24F54"/>
    <w:rsid w:val="74DA21D9"/>
    <w:rsid w:val="74E76FE8"/>
    <w:rsid w:val="75250E17"/>
    <w:rsid w:val="75576C93"/>
    <w:rsid w:val="75711074"/>
    <w:rsid w:val="75893E4D"/>
    <w:rsid w:val="75BA3B6D"/>
    <w:rsid w:val="75D12F9F"/>
    <w:rsid w:val="75E87AE4"/>
    <w:rsid w:val="76206188"/>
    <w:rsid w:val="767E6D89"/>
    <w:rsid w:val="768B48F5"/>
    <w:rsid w:val="76A32A08"/>
    <w:rsid w:val="76A610C6"/>
    <w:rsid w:val="76B6232D"/>
    <w:rsid w:val="76DD66F2"/>
    <w:rsid w:val="76EC6FC3"/>
    <w:rsid w:val="770B2702"/>
    <w:rsid w:val="7718563E"/>
    <w:rsid w:val="776A3F9A"/>
    <w:rsid w:val="77901978"/>
    <w:rsid w:val="77915027"/>
    <w:rsid w:val="779D4F4D"/>
    <w:rsid w:val="77CF1648"/>
    <w:rsid w:val="781D2C7A"/>
    <w:rsid w:val="78362BC8"/>
    <w:rsid w:val="783A56AF"/>
    <w:rsid w:val="78413BD7"/>
    <w:rsid w:val="788F717D"/>
    <w:rsid w:val="78915F29"/>
    <w:rsid w:val="78A77DB4"/>
    <w:rsid w:val="78B31BDE"/>
    <w:rsid w:val="78E70DA1"/>
    <w:rsid w:val="78F21850"/>
    <w:rsid w:val="791B03AB"/>
    <w:rsid w:val="79714C66"/>
    <w:rsid w:val="79D31F15"/>
    <w:rsid w:val="79D657CC"/>
    <w:rsid w:val="79E40A04"/>
    <w:rsid w:val="7A151811"/>
    <w:rsid w:val="7A1E525A"/>
    <w:rsid w:val="7A960403"/>
    <w:rsid w:val="7B0003D2"/>
    <w:rsid w:val="7B3C52F1"/>
    <w:rsid w:val="7B9D0472"/>
    <w:rsid w:val="7BA046F3"/>
    <w:rsid w:val="7BC37346"/>
    <w:rsid w:val="7BE71A21"/>
    <w:rsid w:val="7BF87E00"/>
    <w:rsid w:val="7C064DA7"/>
    <w:rsid w:val="7C0A2379"/>
    <w:rsid w:val="7C551636"/>
    <w:rsid w:val="7C5F3CF1"/>
    <w:rsid w:val="7C635B60"/>
    <w:rsid w:val="7C697AB1"/>
    <w:rsid w:val="7CB460B3"/>
    <w:rsid w:val="7CD445C4"/>
    <w:rsid w:val="7CED17F8"/>
    <w:rsid w:val="7CF17B62"/>
    <w:rsid w:val="7D274421"/>
    <w:rsid w:val="7D3D452B"/>
    <w:rsid w:val="7D957EE1"/>
    <w:rsid w:val="7DFC4CA2"/>
    <w:rsid w:val="7E0B4B47"/>
    <w:rsid w:val="7E137B54"/>
    <w:rsid w:val="7E4E0E62"/>
    <w:rsid w:val="7E503B32"/>
    <w:rsid w:val="7E541447"/>
    <w:rsid w:val="7E6B7B24"/>
    <w:rsid w:val="7E757D8F"/>
    <w:rsid w:val="7E782A8A"/>
    <w:rsid w:val="7EFFFA7B"/>
    <w:rsid w:val="7FC14E2C"/>
    <w:rsid w:val="9F6F6015"/>
    <w:rsid w:val="BEFF143F"/>
    <w:rsid w:val="C7DB93C8"/>
    <w:rsid w:val="DD7E7DC7"/>
    <w:rsid w:val="DEF5E07B"/>
    <w:rsid w:val="E3F37E00"/>
    <w:rsid w:val="E5FF16E4"/>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2092</Words>
  <Characters>2360</Characters>
  <Lines>13</Lines>
  <Paragraphs>3</Paragraphs>
  <TotalTime>12</TotalTime>
  <ScaleCrop>false</ScaleCrop>
  <LinksUpToDate>false</LinksUpToDate>
  <CharactersWithSpaces>2363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2023-05-11T16:24:00Z</cp:lastPrinted>
  <dcterms:modified xsi:type="dcterms:W3CDTF">2025-10-31T01:28:13Z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eyJoZGlkIjoiMDI4OGRiNmI3ODJjMmJlZTg5NWEyMWE5ZTdmNjQyNTYiLCJ1c2VySWQiOiI0NzY1NzgwMjIifQ==</vt:lpwstr>
  </property>
</Properties>
</file>