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96FBC">
      <w:pPr>
        <w:keepNext w:val="0"/>
        <w:keepLines w:val="0"/>
        <w:pageBreakBefore w:val="0"/>
        <w:kinsoku/>
        <w:wordWrap/>
        <w:overflowPunct/>
        <w:topLinePunct w:val="0"/>
        <w:autoSpaceDE/>
        <w:autoSpaceDN/>
        <w:bidi w:val="0"/>
        <w:spacing w:line="560" w:lineRule="exact"/>
        <w:jc w:val="left"/>
        <w:textAlignment w:val="auto"/>
        <w:outlineLvl w:val="0"/>
        <w:rPr>
          <w:rFonts w:ascii="仿宋_GB2312" w:hAnsi="仿宋_GB2312" w:eastAsia="仿宋_GB2312" w:cs="仿宋_GB2312"/>
          <w:b/>
          <w:bCs/>
          <w:sz w:val="32"/>
          <w:szCs w:val="32"/>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2</w:t>
      </w:r>
    </w:p>
    <w:p w14:paraId="3F6CB8FC">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4年度</w:t>
      </w:r>
      <w:bookmarkStart w:id="0" w:name="OLE_LINK1"/>
      <w:r>
        <w:rPr>
          <w:rFonts w:hint="eastAsia" w:ascii="方正小标宋简体" w:hAnsi="方正小标宋简体" w:eastAsia="方正小标宋简体" w:cs="方正小标宋简体"/>
          <w:sz w:val="44"/>
          <w:szCs w:val="44"/>
          <w:lang w:val="en-US" w:eastAsia="zh-CN"/>
        </w:rPr>
        <w:t>游戏电竞领域核心软硬件研发</w:t>
      </w:r>
    </w:p>
    <w:p w14:paraId="40E46A6F">
      <w:pPr>
        <w:keepNext w:val="0"/>
        <w:keepLines w:val="0"/>
        <w:pageBreakBefore w:val="0"/>
        <w:kinsoku/>
        <w:wordWrap/>
        <w:overflowPunct/>
        <w:topLinePunct w:val="0"/>
        <w:autoSpaceDE/>
        <w:autoSpaceDN/>
        <w:bidi w:val="0"/>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支持</w:t>
      </w:r>
      <w:bookmarkEnd w:id="0"/>
      <w:r>
        <w:rPr>
          <w:rFonts w:hint="eastAsia" w:ascii="方正小标宋简体" w:hAnsi="方正小标宋简体" w:eastAsia="方正小标宋简体" w:cs="方正小标宋简体"/>
          <w:sz w:val="44"/>
          <w:szCs w:val="44"/>
        </w:rPr>
        <w:t>办事指南</w:t>
      </w:r>
    </w:p>
    <w:p w14:paraId="7685F4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p>
    <w:p w14:paraId="5A6995B2">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58E649DA">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sz w:val="32"/>
          <w:lang w:eastAsia="zh-CN"/>
        </w:rPr>
      </w:pPr>
      <w:r>
        <w:rPr>
          <w:rFonts w:hint="eastAsia" w:ascii="仿宋_GB2312" w:eastAsia="仿宋_GB2312"/>
          <w:bCs/>
          <w:color w:val="000000"/>
          <w:sz w:val="32"/>
          <w:lang w:eastAsia="zh-CN"/>
        </w:rPr>
        <w:t>《北京经济技术开发区关于促进科技与文化产业融合发展的若干措施》（京技管发〔2024〕31号）</w:t>
      </w:r>
      <w:r>
        <w:rPr>
          <w:rFonts w:hint="eastAsia" w:ascii="仿宋_GB2312" w:eastAsia="仿宋_GB2312"/>
          <w:bCs/>
          <w:color w:val="000000"/>
          <w:sz w:val="32"/>
          <w:lang w:val="en-US" w:eastAsia="zh-CN"/>
        </w:rPr>
        <w:t>中第2条支持游戏电竞领域核心软硬件研发中“支持应用于游戏电竞领域的游戏引擎、图形渲染、人工智能、动作捕捉、感知交互、虚拟现实等软件和硬件研发。对上年度前述研发投入达500万元以上且占主营业务收入比重达3%以上的企业，经评审认定后按照年度实际研发投入的20%给予支持，每年最高支持500万元</w:t>
      </w:r>
      <w:r>
        <w:rPr>
          <w:rFonts w:hint="eastAsia" w:ascii="仿宋_GB2312" w:eastAsia="仿宋_GB2312"/>
          <w:bCs/>
          <w:color w:val="000000"/>
          <w:sz w:val="32"/>
          <w:lang w:eastAsia="zh-CN"/>
        </w:rPr>
        <w:t>。</w:t>
      </w:r>
      <w:r>
        <w:rPr>
          <w:rFonts w:hint="eastAsia" w:ascii="仿宋_GB2312" w:eastAsia="仿宋_GB2312"/>
          <w:bCs/>
          <w:color w:val="000000"/>
          <w:sz w:val="32"/>
          <w:lang w:val="en-US" w:eastAsia="zh-CN"/>
        </w:rPr>
        <w:t>”</w:t>
      </w:r>
    </w:p>
    <w:p w14:paraId="2E3FA808">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二、申报事项</w:t>
      </w:r>
    </w:p>
    <w:p w14:paraId="0CBB39E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sz w:val="32"/>
          <w:szCs w:val="18"/>
          <w:lang w:val="en-US" w:eastAsia="zh-CN"/>
        </w:rPr>
      </w:pPr>
      <w:r>
        <w:rPr>
          <w:rFonts w:hint="eastAsia" w:ascii="仿宋_GB2312" w:eastAsia="仿宋_GB2312"/>
          <w:bCs/>
          <w:color w:val="000000"/>
          <w:sz w:val="32"/>
          <w:szCs w:val="18"/>
          <w:lang w:val="en-US" w:eastAsia="zh-CN"/>
        </w:rPr>
        <w:t>2024年度</w:t>
      </w:r>
      <w:r>
        <w:rPr>
          <w:rFonts w:hint="eastAsia" w:ascii="仿宋_GB2312" w:eastAsia="仿宋_GB2312"/>
          <w:bCs/>
          <w:color w:val="000000"/>
          <w:sz w:val="32"/>
          <w:szCs w:val="18"/>
        </w:rPr>
        <w:t>游戏电竞领域核心软硬件研发支持</w:t>
      </w:r>
    </w:p>
    <w:p w14:paraId="6E9DAECB">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bCs w:val="0"/>
          <w:color w:val="auto"/>
          <w:kern w:val="2"/>
          <w:sz w:val="32"/>
          <w:szCs w:val="32"/>
        </w:rPr>
      </w:pPr>
      <w:r>
        <w:rPr>
          <w:rFonts w:hint="eastAsia" w:ascii="黑体" w:hAnsi="黑体" w:eastAsia="黑体" w:cs="黑体"/>
          <w:bCs w:val="0"/>
          <w:color w:val="auto"/>
          <w:kern w:val="2"/>
          <w:sz w:val="32"/>
          <w:szCs w:val="32"/>
        </w:rPr>
        <w:t>三、申报条件</w:t>
      </w:r>
    </w:p>
    <w:p w14:paraId="79735B1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000000"/>
          <w:sz w:val="32"/>
          <w:szCs w:val="18"/>
          <w:lang w:val="en-US" w:eastAsia="zh-CN"/>
        </w:rPr>
      </w:pPr>
      <w:r>
        <w:rPr>
          <w:rFonts w:hint="eastAsia" w:ascii="仿宋_GB2312" w:eastAsia="仿宋_GB2312"/>
          <w:bCs/>
          <w:color w:val="000000"/>
          <w:sz w:val="32"/>
          <w:szCs w:val="18"/>
        </w:rPr>
        <w:t>（一）申报主体应具有独立法人资格、实行独立核算，在</w:t>
      </w:r>
      <w:r>
        <w:rPr>
          <w:rFonts w:hint="eastAsia" w:ascii="仿宋_GB2312" w:hAnsi="仿宋_GB2312" w:eastAsia="仿宋_GB2312" w:cs="仿宋_GB2312"/>
          <w:kern w:val="0"/>
          <w:sz w:val="32"/>
          <w:szCs w:val="32"/>
          <w:lang w:bidi="ar"/>
        </w:rPr>
        <w:t>亦庄新城225平方公里范围内</w:t>
      </w:r>
      <w:r>
        <w:rPr>
          <w:rFonts w:hint="eastAsia" w:ascii="仿宋_GB2312" w:eastAsia="仿宋_GB2312"/>
          <w:bCs/>
          <w:color w:val="000000"/>
          <w:sz w:val="32"/>
          <w:szCs w:val="18"/>
        </w:rPr>
        <w:t>依法</w:t>
      </w:r>
      <w:r>
        <w:rPr>
          <w:rFonts w:hint="eastAsia" w:ascii="仿宋_GB2312" w:eastAsia="仿宋_GB2312"/>
          <w:bCs/>
          <w:color w:val="000000"/>
          <w:sz w:val="32"/>
          <w:szCs w:val="18"/>
          <w:lang w:val="en-US" w:eastAsia="zh-CN"/>
        </w:rPr>
        <w:t>实际经营</w:t>
      </w:r>
      <w:r>
        <w:rPr>
          <w:rFonts w:hint="eastAsia" w:ascii="仿宋_GB2312" w:eastAsia="仿宋_GB2312"/>
          <w:bCs/>
          <w:color w:val="000000"/>
          <w:sz w:val="32"/>
          <w:szCs w:val="18"/>
        </w:rPr>
        <w:t>；</w:t>
      </w:r>
      <w:r>
        <w:rPr>
          <w:rFonts w:hint="eastAsia" w:ascii="仿宋_GB2312" w:hAnsi="仿宋_GB2312" w:eastAsia="仿宋_GB2312" w:cs="仿宋_GB2312"/>
          <w:kern w:val="0"/>
          <w:sz w:val="32"/>
          <w:szCs w:val="32"/>
          <w:lang w:bidi="ar"/>
        </w:rPr>
        <w:t>近</w:t>
      </w:r>
      <w:r>
        <w:rPr>
          <w:rFonts w:hint="eastAsia" w:ascii="仿宋_GB2312" w:hAnsi="仿宋_GB2312" w:eastAsia="仿宋_GB2312" w:cs="仿宋_GB2312"/>
          <w:kern w:val="0"/>
          <w:sz w:val="32"/>
          <w:szCs w:val="32"/>
          <w:lang w:val="en-US" w:eastAsia="zh-CN" w:bidi="ar"/>
        </w:rPr>
        <w:t>三</w:t>
      </w:r>
      <w:r>
        <w:rPr>
          <w:rFonts w:hint="eastAsia" w:ascii="仿宋_GB2312" w:hAnsi="仿宋_GB2312" w:eastAsia="仿宋_GB2312" w:cs="仿宋_GB2312"/>
          <w:kern w:val="0"/>
          <w:sz w:val="32"/>
          <w:szCs w:val="32"/>
          <w:lang w:bidi="ar"/>
        </w:rPr>
        <w:t>年无重大行政处罚记录和刑事犯罪记录</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未列入严重违法失信主体名单</w:t>
      </w:r>
      <w:r>
        <w:rPr>
          <w:rFonts w:hint="eastAsia" w:ascii="仿宋_GB2312" w:hAnsi="仿宋_GB2312" w:eastAsia="仿宋_GB2312" w:cs="仿宋_GB2312"/>
          <w:kern w:val="0"/>
          <w:sz w:val="32"/>
          <w:szCs w:val="32"/>
          <w:lang w:eastAsia="zh-CN" w:bidi="ar"/>
        </w:rPr>
        <w:t>。</w:t>
      </w:r>
    </w:p>
    <w:p w14:paraId="4CB26DE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eastAsia="仿宋_GB2312"/>
          <w:bCs/>
          <w:color w:val="000000"/>
          <w:sz w:val="32"/>
          <w:szCs w:val="18"/>
          <w:lang w:val="en-US" w:eastAsia="zh-CN"/>
        </w:rPr>
      </w:pPr>
      <w:r>
        <w:rPr>
          <w:rFonts w:hint="eastAsia" w:ascii="仿宋_GB2312" w:eastAsia="仿宋_GB2312"/>
          <w:bCs/>
          <w:color w:val="000000"/>
          <w:sz w:val="32"/>
          <w:szCs w:val="18"/>
        </w:rPr>
        <w:t>（二）申报主体</w:t>
      </w:r>
      <w:r>
        <w:rPr>
          <w:rFonts w:hint="eastAsia" w:ascii="仿宋_GB2312" w:hAnsi="仿宋_GB2312" w:eastAsia="仿宋_GB2312" w:cs="仿宋_GB2312"/>
          <w:kern w:val="0"/>
          <w:sz w:val="32"/>
          <w:szCs w:val="32"/>
          <w:lang w:eastAsia="zh-CN" w:bidi="ar"/>
        </w:rPr>
        <w:t>主营产品（服务）或自主开展的技术研究（成果转化）应用于</w:t>
      </w:r>
      <w:r>
        <w:rPr>
          <w:rFonts w:hint="eastAsia" w:ascii="仿宋_GB2312" w:eastAsia="仿宋_GB2312"/>
          <w:bCs/>
          <w:color w:val="000000"/>
          <w:sz w:val="32"/>
          <w:szCs w:val="18"/>
          <w:lang w:val="en-US" w:eastAsia="zh-CN"/>
        </w:rPr>
        <w:t>游戏电竞领域</w:t>
      </w:r>
      <w:r>
        <w:rPr>
          <w:rFonts w:hint="eastAsia" w:ascii="仿宋_GB2312" w:eastAsia="仿宋_GB2312"/>
          <w:bCs/>
          <w:color w:val="000000"/>
          <w:sz w:val="32"/>
          <w:lang w:val="en-US" w:eastAsia="zh-CN"/>
        </w:rPr>
        <w:t>的游戏引擎、图形渲染、人工智能、动作捕捉、感知交互、虚拟现实等软件和硬件的相关</w:t>
      </w:r>
      <w:r>
        <w:rPr>
          <w:rFonts w:hint="eastAsia" w:ascii="仿宋_GB2312" w:hAnsi="仿宋_GB2312" w:eastAsia="仿宋_GB2312" w:cs="仿宋_GB2312"/>
          <w:kern w:val="0"/>
          <w:sz w:val="32"/>
          <w:szCs w:val="32"/>
          <w:lang w:bidi="ar"/>
        </w:rPr>
        <w:t>企业</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color w:val="auto"/>
          <w:sz w:val="32"/>
          <w:szCs w:val="22"/>
          <w:highlight w:val="none"/>
          <w:lang w:val="en-US" w:eastAsia="zh-CN"/>
        </w:rPr>
        <w:t>核心软硬件研发产品同时具有一定技术优势，对带动产业发展有推动作用。</w:t>
      </w:r>
    </w:p>
    <w:p w14:paraId="1DE27CE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000000"/>
          <w:sz w:val="32"/>
          <w:szCs w:val="18"/>
          <w:lang w:val="en-US" w:eastAsia="zh-CN"/>
        </w:rPr>
      </w:pPr>
      <w:r>
        <w:rPr>
          <w:rFonts w:hint="eastAsia" w:ascii="仿宋_GB2312" w:hAnsi="仿宋_GB2312" w:eastAsia="仿宋_GB2312" w:cs="仿宋_GB2312"/>
          <w:sz w:val="32"/>
          <w:szCs w:val="32"/>
        </w:rPr>
        <w:t>（三）</w:t>
      </w:r>
      <w:r>
        <w:rPr>
          <w:rFonts w:hint="eastAsia" w:ascii="仿宋_GB2312" w:eastAsia="仿宋_GB2312"/>
          <w:bCs/>
          <w:color w:val="000000"/>
          <w:sz w:val="32"/>
          <w:szCs w:val="18"/>
        </w:rPr>
        <w:t>申报主体</w:t>
      </w:r>
      <w:r>
        <w:rPr>
          <w:rFonts w:hint="eastAsia" w:ascii="仿宋_GB2312" w:eastAsia="仿宋_GB2312"/>
          <w:bCs/>
          <w:color w:val="000000"/>
          <w:sz w:val="32"/>
          <w:szCs w:val="18"/>
          <w:lang w:val="en-US" w:eastAsia="zh-CN"/>
        </w:rPr>
        <w:t>2024年度从</w:t>
      </w:r>
      <w:r>
        <w:rPr>
          <w:rFonts w:hint="eastAsia" w:ascii="仿宋_GB2312" w:eastAsia="仿宋_GB2312"/>
          <w:bCs/>
          <w:color w:val="000000"/>
          <w:sz w:val="32"/>
          <w:lang w:val="en-US" w:eastAsia="zh-CN"/>
        </w:rPr>
        <w:t>事的前述研发投入达500万元以上且占主营业务收入比重达3%以上</w:t>
      </w:r>
      <w:r>
        <w:rPr>
          <w:rFonts w:hint="eastAsia" w:ascii="仿宋_GB2312" w:eastAsia="仿宋_GB2312"/>
          <w:bCs/>
          <w:color w:val="000000"/>
          <w:sz w:val="32"/>
          <w:szCs w:val="18"/>
          <w:lang w:val="en-US" w:eastAsia="zh-CN"/>
        </w:rPr>
        <w:t>。</w:t>
      </w:r>
    </w:p>
    <w:p w14:paraId="66DDE66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lang w:val="en-US" w:eastAsia="zh-CN"/>
        </w:rPr>
        <w:t>（四）申报主体对所涉</w:t>
      </w:r>
      <w:r>
        <w:rPr>
          <w:rFonts w:hint="eastAsia" w:ascii="仿宋_GB2312" w:hAnsi="仿宋_GB2312" w:eastAsia="仿宋_GB2312" w:cs="仿宋_GB2312"/>
          <w:kern w:val="2"/>
          <w:sz w:val="32"/>
          <w:szCs w:val="32"/>
          <w:highlight w:val="none"/>
          <w:lang w:val="en-US" w:eastAsia="zh-CN"/>
        </w:rPr>
        <w:t>软硬件产品具有核心自主知识产权</w:t>
      </w:r>
      <w:r>
        <w:rPr>
          <w:rFonts w:hint="eastAsia" w:ascii="仿宋_GB2312" w:hAnsi="仿宋_GB2312" w:eastAsia="仿宋_GB2312" w:cs="仿宋_GB2312"/>
          <w:kern w:val="2"/>
          <w:sz w:val="32"/>
          <w:szCs w:val="32"/>
          <w:lang w:val="en-US" w:eastAsia="zh-CN"/>
        </w:rPr>
        <w:t>。</w:t>
      </w:r>
    </w:p>
    <w:p w14:paraId="60DB1CD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Style w:val="11"/>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（五）软硬件研发投入依据《</w:t>
      </w:r>
      <w:r>
        <w:rPr>
          <w:rFonts w:hint="eastAsia" w:ascii="仿宋_GB2312" w:hAnsi="仿宋_GB2312" w:eastAsia="仿宋_GB2312" w:cs="仿宋_GB2312"/>
          <w:color w:val="auto"/>
          <w:sz w:val="32"/>
          <w:szCs w:val="32"/>
          <w:highlight w:val="none"/>
        </w:rPr>
        <w:t>高新技术企业认定管理工作指引</w:t>
      </w:r>
      <w:r>
        <w:rPr>
          <w:rFonts w:hint="eastAsia" w:ascii="仿宋_GB2312" w:hAnsi="仿宋_GB2312" w:eastAsia="仿宋_GB2312" w:cs="仿宋_GB2312"/>
          <w:color w:val="auto"/>
          <w:sz w:val="32"/>
          <w:szCs w:val="32"/>
          <w:highlight w:val="none"/>
          <w:lang w:val="en-US" w:eastAsia="zh-CN"/>
        </w:rPr>
        <w:t>》中</w:t>
      </w:r>
      <w:r>
        <w:rPr>
          <w:rFonts w:hint="eastAsia" w:ascii="仿宋_GB2312" w:hAnsi="仿宋_GB2312" w:eastAsia="仿宋_GB2312" w:cs="仿宋_GB2312"/>
          <w:color w:val="auto"/>
          <w:sz w:val="32"/>
          <w:szCs w:val="32"/>
          <w:highlight w:val="none"/>
        </w:rPr>
        <w:t>研究开发费用的归集范围</w:t>
      </w:r>
      <w:r>
        <w:rPr>
          <w:rFonts w:hint="eastAsia" w:ascii="仿宋_GB2312" w:hAnsi="仿宋_GB2312" w:eastAsia="仿宋_GB2312" w:cs="仿宋_GB2312"/>
          <w:color w:val="auto"/>
          <w:sz w:val="32"/>
          <w:szCs w:val="32"/>
          <w:highlight w:val="none"/>
          <w:lang w:val="en-US" w:eastAsia="zh-CN"/>
        </w:rPr>
        <w:t>发生的相关投入。</w:t>
      </w:r>
    </w:p>
    <w:p w14:paraId="1F7B0E01">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Cs w:val="0"/>
          <w:color w:val="auto"/>
          <w:kern w:val="2"/>
          <w:sz w:val="32"/>
          <w:szCs w:val="32"/>
        </w:rPr>
      </w:pPr>
      <w:r>
        <w:rPr>
          <w:rFonts w:hint="eastAsia" w:ascii="黑体" w:hAnsi="黑体" w:eastAsia="黑体" w:cs="黑体"/>
          <w:bCs w:val="0"/>
          <w:color w:val="auto"/>
          <w:kern w:val="2"/>
          <w:sz w:val="32"/>
          <w:szCs w:val="32"/>
        </w:rPr>
        <w:t>四、支持内容及标准</w:t>
      </w:r>
    </w:p>
    <w:p w14:paraId="53A16386">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Cs/>
          <w:color w:val="000000"/>
          <w:sz w:val="32"/>
          <w:lang w:val="en-US" w:eastAsia="zh-CN"/>
        </w:rPr>
      </w:pPr>
      <w:r>
        <w:rPr>
          <w:rFonts w:hint="eastAsia" w:ascii="仿宋_GB2312" w:eastAsia="仿宋_GB2312"/>
          <w:bCs/>
          <w:color w:val="000000"/>
          <w:sz w:val="32"/>
          <w:lang w:val="en-US" w:eastAsia="zh-CN"/>
        </w:rPr>
        <w:t>（一）支持应用于游戏电竞领域的游戏引擎、图形渲染、人工智能、动作捕捉、感知交互、虚拟现实等软件和硬件研发。对上年度前述研发投入达500万元以上且占主营业务收入比重达3%以上的企业，经评审认定后按照年度实际研发投入的20%给予支持，每年最高支持500万元。</w:t>
      </w:r>
    </w:p>
    <w:p w14:paraId="3134E165">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eastAsia="仿宋_GB2312"/>
          <w:bCs/>
          <w:color w:val="000000"/>
          <w:sz w:val="32"/>
          <w:szCs w:val="18"/>
        </w:rPr>
        <w:t>（</w:t>
      </w:r>
      <w:r>
        <w:rPr>
          <w:rFonts w:hint="eastAsia" w:ascii="仿宋_GB2312" w:eastAsia="仿宋_GB2312"/>
          <w:bCs/>
          <w:color w:val="000000"/>
          <w:sz w:val="32"/>
          <w:szCs w:val="18"/>
          <w:lang w:val="en-US" w:eastAsia="zh-CN"/>
        </w:rPr>
        <w:t>二</w:t>
      </w:r>
      <w:r>
        <w:rPr>
          <w:rFonts w:hint="eastAsia" w:ascii="仿宋_GB2312" w:eastAsia="仿宋_GB2312"/>
          <w:bCs/>
          <w:color w:val="000000"/>
          <w:sz w:val="32"/>
          <w:szCs w:val="18"/>
        </w:rPr>
        <w:t>）</w:t>
      </w:r>
      <w:r>
        <w:rPr>
          <w:rFonts w:hint="eastAsia" w:ascii="仿宋_GB2312" w:hAnsi="仿宋_GB2312" w:eastAsia="仿宋_GB2312" w:cs="仿宋_GB2312"/>
          <w:sz w:val="32"/>
          <w:szCs w:val="32"/>
        </w:rPr>
        <w:t>同一</w:t>
      </w:r>
      <w:r>
        <w:rPr>
          <w:rFonts w:hint="eastAsia" w:ascii="仿宋_GB2312" w:hAnsi="仿宋_GB2312" w:eastAsia="仿宋_GB2312" w:cs="仿宋_GB2312"/>
          <w:sz w:val="32"/>
          <w:szCs w:val="32"/>
          <w:lang w:val="en-US" w:eastAsia="zh-CN"/>
        </w:rPr>
        <w:t>软件和硬件研发投入项目</w:t>
      </w:r>
      <w:r>
        <w:rPr>
          <w:rFonts w:hint="eastAsia" w:ascii="仿宋_GB2312" w:hAnsi="仿宋_GB2312" w:eastAsia="仿宋_GB2312" w:cs="仿宋_GB2312"/>
          <w:sz w:val="32"/>
          <w:szCs w:val="32"/>
        </w:rPr>
        <w:t>符合多项支持内容的，按照从高不重复的原则予以支持。支持金额以万元为单位，保留一位小数，低于1万元不予兑现，不足千元部分舍去。</w:t>
      </w:r>
    </w:p>
    <w:p w14:paraId="2CF970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五、申报材料及要求</w:t>
      </w:r>
    </w:p>
    <w:p w14:paraId="49294B7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年度游戏电竞领域核心软硬件研发支持申报表，在线填写；</w:t>
      </w:r>
    </w:p>
    <w:p w14:paraId="3BB2D73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2C301836">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14:paraId="5C2FCF46">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w:t>
      </w:r>
      <w:bookmarkStart w:id="1" w:name="OLE_LINK2"/>
      <w:r>
        <w:rPr>
          <w:rFonts w:hint="eastAsia" w:ascii="仿宋_GB2312" w:hAnsi="仿宋_GB2312" w:eastAsia="仿宋_GB2312" w:cs="仿宋_GB2312"/>
          <w:sz w:val="32"/>
          <w:szCs w:val="32"/>
        </w:rPr>
        <w:t>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bookmarkEnd w:id="1"/>
    <w:p w14:paraId="31B36C1F">
      <w:pPr>
        <w:pStyle w:val="2"/>
        <w:keepNext w:val="0"/>
        <w:keepLines w:val="0"/>
        <w:pageBreakBefore w:val="0"/>
        <w:kinsoku/>
        <w:wordWrap/>
        <w:overflowPunct/>
        <w:topLinePunct w:val="0"/>
        <w:autoSpaceDE/>
        <w:autoSpaceDN/>
        <w:bidi w:val="0"/>
        <w:spacing w:line="560" w:lineRule="exact"/>
        <w:ind w:firstLine="566" w:firstLineChars="177"/>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5.申报单位2024年度财务审计报告或财务报表，审计报告原件彩色扫描上传；财务报表加盖公章，彩色扫描上传；</w:t>
      </w:r>
    </w:p>
    <w:p w14:paraId="615742C0">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6.</w:t>
      </w:r>
      <w:bookmarkStart w:id="2" w:name="OLE_LINK3"/>
      <w:r>
        <w:rPr>
          <w:rFonts w:hint="eastAsia" w:ascii="仿宋_GB2312" w:hAnsi="仿宋_GB2312" w:eastAsia="仿宋_GB2312" w:cs="仿宋_GB2312"/>
          <w:sz w:val="32"/>
          <w:szCs w:val="32"/>
          <w:highlight w:val="none"/>
          <w:lang w:val="en-US" w:eastAsia="zh-CN"/>
        </w:rPr>
        <w:t>申报单位经营及研发情况说明，下载模板填写，</w:t>
      </w:r>
      <w:r>
        <w:rPr>
          <w:rFonts w:hint="eastAsia" w:ascii="仿宋_GB2312" w:hAnsi="仿宋_GB2312" w:eastAsia="仿宋_GB2312" w:cs="仿宋_GB2312"/>
          <w:sz w:val="32"/>
          <w:szCs w:val="32"/>
        </w:rPr>
        <w:t>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lang w:eastAsia="zh-CN"/>
        </w:rPr>
        <w:t>；</w:t>
      </w:r>
    </w:p>
    <w:p w14:paraId="56FD5F60">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7.</w:t>
      </w:r>
      <w:bookmarkStart w:id="3" w:name="OLE_LINK4"/>
      <w:r>
        <w:rPr>
          <w:rFonts w:hint="eastAsia" w:ascii="仿宋_GB2312" w:hAnsi="仿宋_GB2312" w:eastAsia="仿宋_GB2312" w:cs="仿宋_GB2312"/>
          <w:sz w:val="32"/>
          <w:szCs w:val="32"/>
          <w:lang w:val="en-US" w:eastAsia="zh-CN"/>
        </w:rPr>
        <w:t>申报单位</w:t>
      </w:r>
      <w:bookmarkEnd w:id="3"/>
      <w:r>
        <w:rPr>
          <w:rFonts w:hint="eastAsia" w:ascii="仿宋_GB2312" w:hAnsi="仿宋_GB2312" w:eastAsia="仿宋_GB2312" w:cs="仿宋_GB2312"/>
          <w:sz w:val="32"/>
          <w:szCs w:val="32"/>
          <w:lang w:val="en-US" w:eastAsia="zh-CN"/>
        </w:rPr>
        <w:t>核心研发软硬件知识产权证明材料，</w:t>
      </w:r>
      <w:r>
        <w:rPr>
          <w:rFonts w:hint="eastAsia" w:ascii="仿宋_GB2312" w:hAnsi="仿宋_GB2312" w:eastAsia="仿宋_GB2312" w:cs="仿宋_GB2312"/>
          <w:sz w:val="32"/>
          <w:szCs w:val="32"/>
          <w:highlight w:val="none"/>
          <w:lang w:val="en-US" w:eastAsia="zh-CN"/>
        </w:rPr>
        <w:t>包括但不限于</w:t>
      </w:r>
      <w:r>
        <w:rPr>
          <w:rFonts w:hint="eastAsia" w:ascii="仿宋_GB2312" w:hAnsi="仿宋_GB2312" w:eastAsia="仿宋_GB2312" w:cs="仿宋_GB2312"/>
          <w:sz w:val="32"/>
          <w:szCs w:val="32"/>
          <w:lang w:val="en-US" w:eastAsia="zh-CN"/>
        </w:rPr>
        <w:t>专利、软著、版权、新技术新产品证书等</w:t>
      </w:r>
      <w:bookmarkEnd w:id="2"/>
      <w:r>
        <w:rPr>
          <w:rFonts w:hint="eastAsia" w:ascii="仿宋_GB2312" w:hAnsi="仿宋_GB2312" w:eastAsia="仿宋_GB2312" w:cs="仿宋_GB2312"/>
          <w:sz w:val="32"/>
          <w:szCs w:val="32"/>
          <w:highlight w:val="none"/>
          <w:lang w:val="en-US" w:eastAsia="zh-CN"/>
        </w:rPr>
        <w:t>，原件彩色扫描上传</w:t>
      </w:r>
      <w:r>
        <w:rPr>
          <w:rFonts w:hint="eastAsia" w:ascii="仿宋_GB2312" w:hAnsi="仿宋_GB2312" w:eastAsia="仿宋_GB2312" w:cs="仿宋_GB2312"/>
          <w:sz w:val="32"/>
          <w:szCs w:val="32"/>
        </w:rPr>
        <w:t>；</w:t>
      </w:r>
    </w:p>
    <w:p w14:paraId="4736662A">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lang w:val="en-US" w:eastAsia="zh-CN"/>
        </w:rPr>
        <w:t>申报单位</w:t>
      </w:r>
      <w:r>
        <w:rPr>
          <w:rFonts w:hint="eastAsia" w:ascii="仿宋_GB2312" w:hAnsi="仿宋_GB2312" w:eastAsia="仿宋_GB2312" w:cs="仿宋_GB2312"/>
          <w:sz w:val="32"/>
          <w:szCs w:val="32"/>
          <w:highlight w:val="none"/>
          <w:lang w:val="en-US" w:eastAsia="zh-CN"/>
        </w:rPr>
        <w:t>核心软硬件研发产品应用情况材料，可提供2-3项案例证明文件，</w:t>
      </w:r>
      <w:r>
        <w:rPr>
          <w:rFonts w:hint="eastAsia" w:ascii="仿宋_GB2312" w:hAnsi="仿宋_GB2312" w:eastAsia="仿宋_GB2312" w:cs="仿宋_GB2312"/>
          <w:sz w:val="32"/>
          <w:szCs w:val="32"/>
          <w:highlight w:val="none"/>
        </w:rPr>
        <w:t>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14:paraId="6E321ED1">
      <w:pPr>
        <w:adjustRightInd w:val="0"/>
        <w:snapToGrid w:val="0"/>
        <w:spacing w:line="560" w:lineRule="exact"/>
        <w:ind w:firstLine="640" w:firstLineChars="200"/>
        <w:jc w:val="both"/>
        <w:rPr>
          <w:rFonts w:hint="default" w:eastAsia="仿宋_GB2312"/>
          <w:lang w:val="en-US" w:eastAsia="zh-CN"/>
        </w:rPr>
      </w:pPr>
      <w:bookmarkStart w:id="4" w:name="_GoBack"/>
      <w:r>
        <w:rPr>
          <w:rFonts w:hint="eastAsia" w:ascii="仿宋_GB2312" w:hAnsi="仿宋_GB2312" w:eastAsia="仿宋_GB2312" w:cs="仿宋_GB2312"/>
          <w:sz w:val="32"/>
          <w:szCs w:val="32"/>
          <w:lang w:val="en-US" w:eastAsia="zh-CN"/>
        </w:rPr>
        <w:t>9.申报单位游戏电竞领域核心软硬件研发项目相关资金投资明细表</w:t>
      </w:r>
      <w:r>
        <w:rPr>
          <w:rFonts w:hint="eastAsia" w:ascii="仿宋_GB2312" w:hAnsi="仿宋_GB2312" w:eastAsia="仿宋_GB2312" w:cs="仿宋_GB2312"/>
          <w:sz w:val="32"/>
          <w:szCs w:val="32"/>
          <w:highlight w:val="none"/>
          <w:lang w:val="en-US" w:eastAsia="zh-CN"/>
        </w:rPr>
        <w:t>，下载模板填写，</w:t>
      </w:r>
      <w:r>
        <w:rPr>
          <w:rFonts w:hint="eastAsia" w:ascii="仿宋_GB2312" w:hAnsi="仿宋_GB2312" w:eastAsia="仿宋_GB2312" w:cs="仿宋_GB2312"/>
          <w:sz w:val="32"/>
          <w:szCs w:val="32"/>
          <w:highlight w:val="none"/>
        </w:rPr>
        <w:t>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bookmarkEnd w:id="4"/>
    <w:p w14:paraId="1705578F">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lang w:val="en-US" w:eastAsia="zh-CN"/>
        </w:rPr>
        <w:t>申报单位</w:t>
      </w:r>
      <w:r>
        <w:rPr>
          <w:rFonts w:hint="eastAsia" w:ascii="仿宋_GB2312" w:hAnsi="仿宋_GB2312" w:eastAsia="仿宋_GB2312" w:cs="仿宋_GB2312"/>
          <w:sz w:val="32"/>
          <w:szCs w:val="32"/>
          <w:highlight w:val="none"/>
          <w:lang w:val="en-US" w:eastAsia="zh-CN"/>
        </w:rPr>
        <w:t>研发软件和硬件产品相关研发费用证明，</w:t>
      </w:r>
      <w:r>
        <w:rPr>
          <w:rFonts w:hint="eastAsia" w:ascii="仿宋_GB2312" w:eastAsia="仿宋_GB2312"/>
          <w:bCs/>
          <w:color w:val="000000"/>
          <w:sz w:val="32"/>
          <w:szCs w:val="18"/>
          <w:lang w:val="en-US" w:eastAsia="zh-CN"/>
        </w:rPr>
        <w:t>需与材料9“</w:t>
      </w:r>
      <w:r>
        <w:rPr>
          <w:rFonts w:hint="eastAsia" w:ascii="仿宋_GB2312" w:hAnsi="仿宋_GB2312" w:eastAsia="仿宋_GB2312" w:cs="仿宋_GB2312"/>
          <w:sz w:val="32"/>
          <w:szCs w:val="32"/>
          <w:lang w:val="en-US" w:eastAsia="zh-CN"/>
        </w:rPr>
        <w:t>申报单位游戏电竞领域核心软硬件研发项目相关资金投资明细表</w:t>
      </w:r>
      <w:r>
        <w:rPr>
          <w:rFonts w:hint="eastAsia" w:ascii="仿宋_GB2312" w:eastAsia="仿宋_GB2312"/>
          <w:bCs/>
          <w:color w:val="000000"/>
          <w:sz w:val="32"/>
          <w:szCs w:val="18"/>
          <w:lang w:val="en-US" w:eastAsia="zh-CN"/>
        </w:rPr>
        <w:t>”内容一一对应，</w:t>
      </w:r>
      <w:r>
        <w:rPr>
          <w:rFonts w:hint="eastAsia" w:ascii="仿宋_GB2312" w:hAnsi="仿宋_GB2312" w:eastAsia="仿宋_GB2312" w:cs="仿宋_GB2312"/>
          <w:sz w:val="32"/>
          <w:szCs w:val="32"/>
          <w:highlight w:val="none"/>
          <w:lang w:val="en-US" w:eastAsia="zh-CN"/>
        </w:rPr>
        <w:t>包括但不限于合同、发票、付款证明、研发费用专项审计报告合同等，</w:t>
      </w:r>
      <w:r>
        <w:rPr>
          <w:rFonts w:hint="eastAsia" w:ascii="仿宋_GB2312" w:hAnsi="仿宋_GB2312" w:eastAsia="仿宋_GB2312" w:cs="仿宋_GB2312"/>
          <w:sz w:val="32"/>
          <w:szCs w:val="32"/>
          <w:lang w:val="en-US" w:eastAsia="zh-CN"/>
        </w:rPr>
        <w:t>原件</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14:paraId="78946ABD">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pP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lang w:val="en-US" w:eastAsia="zh-CN"/>
        </w:rPr>
        <w:t>其他相关证明材料，原件彩色扫描上传。</w:t>
      </w:r>
    </w:p>
    <w:p w14:paraId="657D7D5E">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六、办理程序</w:t>
      </w:r>
    </w:p>
    <w:p w14:paraId="13057064">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eastAsia="仿宋_GB2312"/>
          <w:bCs/>
          <w:sz w:val="32"/>
          <w:szCs w:val="32"/>
        </w:rPr>
        <w:t>（一）</w:t>
      </w:r>
      <w:r>
        <w:rPr>
          <w:rFonts w:hint="eastAsia" w:ascii="仿宋_GB2312" w:eastAsia="仿宋_GB2312"/>
          <w:b/>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color w:val="000000"/>
          <w:sz w:val="32"/>
          <w:szCs w:val="32"/>
          <w:lang w:val="en-US" w:eastAsia="zh-CN"/>
        </w:rPr>
        <w:t>北京市人民政府门户网站“政策兑现”栏目（https://zhengce.beijing.gov.cn）或</w:t>
      </w:r>
      <w:r>
        <w:rPr>
          <w:rFonts w:hint="eastAsia" w:ascii="仿宋_GB2312" w:hAnsi="仿宋_GB2312" w:eastAsia="仿宋_GB2312" w:cs="仿宋_GB2312"/>
          <w:color w:val="000000"/>
          <w:sz w:val="32"/>
          <w:szCs w:val="32"/>
        </w:rPr>
        <w:t>经开区官网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政策兑现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栏目（zcdx.kfqgw.beijing.gov.cn）</w:t>
      </w:r>
      <w:r>
        <w:rPr>
          <w:rFonts w:hint="eastAsia" w:ascii="仿宋_GB2312" w:hAnsi="仿宋_GB2312" w:eastAsia="仿宋_GB2312" w:cs="仿宋_GB2312"/>
          <w:color w:val="000000"/>
          <w:sz w:val="32"/>
          <w:szCs w:val="32"/>
        </w:rPr>
        <w:t>进入政策兑现综合服务平台，注册登录后进行项目申报。如未在规定时间内提交申请的，视为自动放弃。</w:t>
      </w:r>
    </w:p>
    <w:p w14:paraId="358CD8E8">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eastAsia="仿宋_GB2312"/>
          <w:sz w:val="32"/>
          <w:szCs w:val="32"/>
        </w:rPr>
      </w:pPr>
      <w:r>
        <w:rPr>
          <w:rFonts w:hint="eastAsia" w:ascii="仿宋_GB2312" w:eastAsia="仿宋_GB2312"/>
          <w:bCs/>
          <w:sz w:val="32"/>
          <w:szCs w:val="32"/>
        </w:rPr>
        <w:t>（二）</w:t>
      </w:r>
      <w:r>
        <w:rPr>
          <w:rFonts w:hint="eastAsia" w:ascii="仿宋_GB2312" w:eastAsia="仿宋_GB2312"/>
          <w:b/>
          <w:sz w:val="32"/>
          <w:szCs w:val="32"/>
        </w:rPr>
        <w:t>初审：</w:t>
      </w:r>
      <w:r>
        <w:rPr>
          <w:rFonts w:ascii="仿宋_GB2312" w:hAnsi="宋体" w:eastAsia="仿宋_GB2312" w:cs="仿宋_GB2312"/>
          <w:color w:val="000000"/>
          <w:sz w:val="32"/>
          <w:szCs w:val="32"/>
        </w:rPr>
        <w:t>经开区营商环境建设局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14:paraId="324CF374">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eastAsia="仿宋_GB2312"/>
          <w:bCs/>
          <w:sz w:val="32"/>
          <w:szCs w:val="32"/>
        </w:rPr>
        <w:t>（三）</w:t>
      </w:r>
      <w:r>
        <w:rPr>
          <w:rFonts w:hint="eastAsia" w:ascii="仿宋_GB2312" w:eastAsia="仿宋_GB2312"/>
          <w:b/>
          <w:sz w:val="32"/>
          <w:szCs w:val="32"/>
        </w:rPr>
        <w:t>审核</w:t>
      </w:r>
      <w:r>
        <w:rPr>
          <w:rFonts w:hint="eastAsia" w:ascii="仿宋_GB2312" w:eastAsia="仿宋_GB2312"/>
          <w:bCs/>
          <w:sz w:val="32"/>
          <w:szCs w:val="32"/>
        </w:rPr>
        <w:t>：经开区工委宣传文化部</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val="en-US" w:eastAsia="zh-CN"/>
        </w:rPr>
        <w:t>申报</w:t>
      </w:r>
      <w:r>
        <w:rPr>
          <w:rFonts w:hint="eastAsia" w:ascii="仿宋_GB2312" w:hAnsi="仿宋_GB2312" w:eastAsia="仿宋_GB2312" w:cs="仿宋_GB2312"/>
          <w:color w:val="000000"/>
          <w:sz w:val="32"/>
          <w:szCs w:val="32"/>
        </w:rPr>
        <w:t>材料进行实质审核。</w:t>
      </w:r>
    </w:p>
    <w:p w14:paraId="5DD7E8B4">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color w:val="000000"/>
          <w:kern w:val="2"/>
          <w:sz w:val="32"/>
          <w:szCs w:val="32"/>
          <w:highlight w:val="none"/>
          <w:lang w:val="en-US" w:eastAsia="zh-CN"/>
        </w:rPr>
        <w:t>四</w:t>
      </w: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b/>
          <w:bCs/>
          <w:color w:val="000000"/>
          <w:kern w:val="2"/>
          <w:sz w:val="32"/>
          <w:szCs w:val="32"/>
          <w:highlight w:val="none"/>
        </w:rPr>
        <w:t>专家评审：</w:t>
      </w:r>
      <w:r>
        <w:rPr>
          <w:rFonts w:hint="eastAsia" w:ascii="仿宋_GB2312" w:hAnsi="仿宋_GB2312" w:eastAsia="仿宋_GB2312" w:cs="仿宋_GB2312"/>
          <w:color w:val="000000"/>
          <w:kern w:val="2"/>
          <w:sz w:val="32"/>
          <w:szCs w:val="32"/>
          <w:highlight w:val="none"/>
        </w:rPr>
        <w:t>经开区工委宣传文化部组织专家</w:t>
      </w:r>
      <w:r>
        <w:rPr>
          <w:rFonts w:hint="eastAsia" w:ascii="仿宋_GB2312" w:hAnsi="仿宋_GB2312" w:eastAsia="仿宋_GB2312" w:cs="仿宋_GB2312"/>
          <w:color w:val="000000"/>
          <w:kern w:val="2"/>
          <w:sz w:val="32"/>
          <w:szCs w:val="32"/>
          <w:highlight w:val="none"/>
          <w:lang w:val="en-US" w:eastAsia="zh-CN"/>
        </w:rPr>
        <w:t>对</w:t>
      </w:r>
      <w:r>
        <w:rPr>
          <w:rFonts w:hint="eastAsia" w:ascii="仿宋_GB2312" w:hAnsi="仿宋_GB2312" w:eastAsia="仿宋_GB2312" w:cs="仿宋_GB2312"/>
          <w:color w:val="000000"/>
          <w:kern w:val="2"/>
          <w:sz w:val="32"/>
          <w:szCs w:val="32"/>
          <w:highlight w:val="none"/>
        </w:rPr>
        <w:t>申请材料进行评审，评审后将结果上传到系统。</w:t>
      </w:r>
    </w:p>
    <w:p w14:paraId="7241F9E6">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五</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w:t>
      </w:r>
      <w:r>
        <w:rPr>
          <w:rFonts w:hint="eastAsia" w:ascii="仿宋_GB2312" w:eastAsia="仿宋_GB2312"/>
          <w:bCs/>
          <w:sz w:val="32"/>
          <w:szCs w:val="32"/>
        </w:rPr>
        <w:t>经开区工委宣传文化部</w:t>
      </w:r>
      <w:r>
        <w:rPr>
          <w:rFonts w:hint="eastAsia" w:ascii="仿宋_GB2312" w:hAnsi="仿宋_GB2312" w:eastAsia="仿宋_GB2312" w:cs="仿宋_GB2312"/>
          <w:color w:val="000000"/>
          <w:kern w:val="2"/>
          <w:sz w:val="32"/>
          <w:szCs w:val="32"/>
        </w:rPr>
        <w:t>对审核通过的申报主体拟定兑现扶持奖励金额。</w:t>
      </w:r>
    </w:p>
    <w:p w14:paraId="6C256007">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eastAsia="仿宋_GB2312"/>
          <w:bCs/>
          <w:sz w:val="32"/>
          <w:szCs w:val="32"/>
        </w:rPr>
        <w:t>（</w:t>
      </w:r>
      <w:r>
        <w:rPr>
          <w:rFonts w:hint="eastAsia" w:ascii="仿宋_GB2312" w:eastAsia="仿宋_GB2312"/>
          <w:bCs/>
          <w:sz w:val="32"/>
          <w:szCs w:val="32"/>
          <w:lang w:val="en-US" w:eastAsia="zh-CN"/>
        </w:rPr>
        <w:t>六</w:t>
      </w:r>
      <w:r>
        <w:rPr>
          <w:rFonts w:hint="eastAsia" w:ascii="仿宋_GB2312" w:eastAsia="仿宋_GB2312"/>
          <w:bCs/>
          <w:sz w:val="32"/>
          <w:szCs w:val="32"/>
        </w:rPr>
        <w:t>）</w:t>
      </w:r>
      <w:r>
        <w:rPr>
          <w:rFonts w:hint="eastAsia" w:ascii="仿宋_GB2312" w:eastAsia="仿宋_GB2312"/>
          <w:b/>
          <w:sz w:val="32"/>
          <w:szCs w:val="32"/>
        </w:rPr>
        <w:t>公示：</w:t>
      </w:r>
      <w:r>
        <w:rPr>
          <w:rFonts w:hint="eastAsia" w:ascii="仿宋_GB2312" w:hAnsi="仿宋_GB2312" w:eastAsia="仿宋_GB2312" w:cs="仿宋_GB2312"/>
          <w:color w:val="000000"/>
          <w:kern w:val="2"/>
          <w:sz w:val="32"/>
          <w:szCs w:val="32"/>
        </w:rPr>
        <w:t>经开区工委宣传文化部通过政策兑现综合服务平台对审核通过的申报主体进行公示。</w:t>
      </w:r>
    </w:p>
    <w:p w14:paraId="764E70A5">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七</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2472F1DC">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七、主责部门</w:t>
      </w:r>
    </w:p>
    <w:p w14:paraId="2D0D5616">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b/>
          <w:bCs/>
          <w:sz w:val="32"/>
          <w:szCs w:val="32"/>
        </w:rPr>
      </w:pPr>
      <w:r>
        <w:rPr>
          <w:rFonts w:hint="eastAsia" w:eastAsia="仿宋_GB2312"/>
          <w:sz w:val="32"/>
          <w:szCs w:val="32"/>
        </w:rPr>
        <w:t>经开区工委宣传文化部</w:t>
      </w:r>
    </w:p>
    <w:p w14:paraId="52FBEAFB">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八、受理窗口</w:t>
      </w:r>
    </w:p>
    <w:p w14:paraId="3BCF3BC2">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eastAsia="仿宋_GB2312"/>
          <w:sz w:val="32"/>
          <w:szCs w:val="32"/>
        </w:rPr>
      </w:pPr>
      <w:r>
        <w:rPr>
          <w:rFonts w:hint="eastAsia" w:ascii="仿宋_GB2312" w:hAnsi="仿宋_GB2312" w:eastAsia="仿宋_GB2312" w:cs="仿宋_GB2312"/>
          <w:sz w:val="32"/>
          <w:szCs w:val="32"/>
          <w:highlight w:val="none"/>
        </w:rPr>
        <w:t>北京经济技术开发区万源街4号政务服务大厅“政策申报”窗口</w:t>
      </w:r>
    </w:p>
    <w:p w14:paraId="5F410ECA">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九、申报时间</w:t>
      </w:r>
    </w:p>
    <w:p w14:paraId="152410D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日</w:t>
      </w:r>
    </w:p>
    <w:p w14:paraId="6E66B7CD">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十、联系方式</w:t>
      </w:r>
    </w:p>
    <w:p w14:paraId="127AEA99">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政策咨询：</w:t>
      </w:r>
    </w:p>
    <w:p w14:paraId="37CAF8D4">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宋体" w:eastAsia="仿宋_GB2312" w:cs="仿宋_GB2312"/>
          <w:color w:val="000000"/>
          <w:sz w:val="32"/>
          <w:szCs w:val="32"/>
        </w:rPr>
        <w:t>经开区政务服务大厅</w:t>
      </w:r>
      <w:r>
        <w:rPr>
          <w:rFonts w:hint="eastAsia" w:eastAsia="仿宋_GB2312"/>
          <w:sz w:val="32"/>
          <w:szCs w:val="32"/>
        </w:rPr>
        <w:t>“政策申报”窗口，联系电话：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14:paraId="53B92E6A">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经开区工委宣传文化部，联系电话：</w:t>
      </w:r>
      <w:r>
        <w:rPr>
          <w:rFonts w:hint="eastAsia" w:ascii="仿宋_GB2312" w:hAnsi="仿宋_GB2312" w:eastAsia="仿宋_GB2312" w:cs="仿宋_GB2312"/>
          <w:sz w:val="32"/>
          <w:szCs w:val="32"/>
          <w:highlight w:val="none"/>
        </w:rPr>
        <w:t>010-83508114</w:t>
      </w:r>
      <w:r>
        <w:rPr>
          <w:rFonts w:ascii="仿宋_GB2312" w:hAnsi="仿宋_GB2312" w:eastAsia="仿宋_GB2312" w:cs="仿宋_GB2312"/>
          <w:sz w:val="32"/>
          <w:szCs w:val="32"/>
          <w:highlight w:val="none"/>
        </w:rPr>
        <w:t>，工作日上午9</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12</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00，下午2:00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6:00</w:t>
      </w:r>
      <w:r>
        <w:rPr>
          <w:rFonts w:hint="eastAsia" w:ascii="仿宋_GB2312" w:hAnsi="仿宋_GB2312" w:eastAsia="仿宋_GB2312" w:cs="仿宋_GB2312"/>
          <w:sz w:val="32"/>
          <w:szCs w:val="32"/>
          <w:highlight w:val="none"/>
        </w:rPr>
        <w:t>。</w:t>
      </w:r>
    </w:p>
    <w:p w14:paraId="092B488A">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技术支持：</w:t>
      </w:r>
    </w:p>
    <w:p w14:paraId="787F0B41">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：010-83509638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工作日上午9:00—12:00，下午2:00—6:00。</w:t>
      </w:r>
    </w:p>
    <w:p w14:paraId="51966E90">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3380AC2A">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52CC91AA">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十二、特别说明</w:t>
      </w:r>
    </w:p>
    <w:p w14:paraId="425CB38B">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sz w:val="32"/>
          <w:lang w:val="en-US" w:eastAsia="zh-CN"/>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1302C"/>
    <w:rsid w:val="00060052"/>
    <w:rsid w:val="00062C5F"/>
    <w:rsid w:val="000F62F2"/>
    <w:rsid w:val="001145E7"/>
    <w:rsid w:val="00161422"/>
    <w:rsid w:val="00161CCE"/>
    <w:rsid w:val="002713F4"/>
    <w:rsid w:val="002756F7"/>
    <w:rsid w:val="002769D0"/>
    <w:rsid w:val="002838D9"/>
    <w:rsid w:val="00360EF1"/>
    <w:rsid w:val="00395968"/>
    <w:rsid w:val="003D6CD5"/>
    <w:rsid w:val="00457B4D"/>
    <w:rsid w:val="004A2DD8"/>
    <w:rsid w:val="004B2A99"/>
    <w:rsid w:val="00525FAA"/>
    <w:rsid w:val="006A1513"/>
    <w:rsid w:val="006D0140"/>
    <w:rsid w:val="006F16D3"/>
    <w:rsid w:val="00710378"/>
    <w:rsid w:val="0074221C"/>
    <w:rsid w:val="007832B2"/>
    <w:rsid w:val="007C7722"/>
    <w:rsid w:val="00844BDB"/>
    <w:rsid w:val="008F4250"/>
    <w:rsid w:val="00900A14"/>
    <w:rsid w:val="00923A77"/>
    <w:rsid w:val="009269CB"/>
    <w:rsid w:val="00967B93"/>
    <w:rsid w:val="0097300E"/>
    <w:rsid w:val="0098077A"/>
    <w:rsid w:val="00A3406B"/>
    <w:rsid w:val="00AA5414"/>
    <w:rsid w:val="00AE15B1"/>
    <w:rsid w:val="00AF44A2"/>
    <w:rsid w:val="00B42F98"/>
    <w:rsid w:val="00B74D80"/>
    <w:rsid w:val="00C122AB"/>
    <w:rsid w:val="00C34A62"/>
    <w:rsid w:val="00D460B2"/>
    <w:rsid w:val="00D5632B"/>
    <w:rsid w:val="00D668C9"/>
    <w:rsid w:val="00D76185"/>
    <w:rsid w:val="00D77F15"/>
    <w:rsid w:val="00D85A9F"/>
    <w:rsid w:val="00DB3356"/>
    <w:rsid w:val="00E75D29"/>
    <w:rsid w:val="00E90819"/>
    <w:rsid w:val="00EA199B"/>
    <w:rsid w:val="00EC54AE"/>
    <w:rsid w:val="00FD06FB"/>
    <w:rsid w:val="011129F5"/>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D604E2"/>
    <w:rsid w:val="03E353C9"/>
    <w:rsid w:val="03FA3EE0"/>
    <w:rsid w:val="04080ECA"/>
    <w:rsid w:val="04260F4D"/>
    <w:rsid w:val="04737D47"/>
    <w:rsid w:val="047D2EFB"/>
    <w:rsid w:val="048B28B7"/>
    <w:rsid w:val="04BF0B67"/>
    <w:rsid w:val="052A15A0"/>
    <w:rsid w:val="05933C0C"/>
    <w:rsid w:val="05AE227A"/>
    <w:rsid w:val="05AE34A7"/>
    <w:rsid w:val="05D14D85"/>
    <w:rsid w:val="05E72E95"/>
    <w:rsid w:val="06113255"/>
    <w:rsid w:val="0646239C"/>
    <w:rsid w:val="06B62BF6"/>
    <w:rsid w:val="06D3553D"/>
    <w:rsid w:val="06FE1C51"/>
    <w:rsid w:val="072A1178"/>
    <w:rsid w:val="074E6B15"/>
    <w:rsid w:val="078B6DBE"/>
    <w:rsid w:val="07936930"/>
    <w:rsid w:val="07B11C5A"/>
    <w:rsid w:val="0840700F"/>
    <w:rsid w:val="088D67AA"/>
    <w:rsid w:val="08925D0E"/>
    <w:rsid w:val="089620E8"/>
    <w:rsid w:val="08A13D48"/>
    <w:rsid w:val="08A45B0A"/>
    <w:rsid w:val="08A825A4"/>
    <w:rsid w:val="08B97A0D"/>
    <w:rsid w:val="08BF34BA"/>
    <w:rsid w:val="08D44C62"/>
    <w:rsid w:val="08DA0113"/>
    <w:rsid w:val="09047D11"/>
    <w:rsid w:val="093955CA"/>
    <w:rsid w:val="09677F84"/>
    <w:rsid w:val="09C53E26"/>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105C2D"/>
    <w:rsid w:val="0D920D6C"/>
    <w:rsid w:val="0D9E4973"/>
    <w:rsid w:val="0DA970D9"/>
    <w:rsid w:val="0E2A5EE7"/>
    <w:rsid w:val="0E4A7C7C"/>
    <w:rsid w:val="0E5672B2"/>
    <w:rsid w:val="0E715E03"/>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17D2BA9"/>
    <w:rsid w:val="118F3527"/>
    <w:rsid w:val="119860A9"/>
    <w:rsid w:val="11CA43B8"/>
    <w:rsid w:val="11D62CBE"/>
    <w:rsid w:val="121B617A"/>
    <w:rsid w:val="1252310C"/>
    <w:rsid w:val="12E52159"/>
    <w:rsid w:val="12EE4885"/>
    <w:rsid w:val="13FC0F0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2F3239"/>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601531"/>
    <w:rsid w:val="1AB25631"/>
    <w:rsid w:val="1AC627E0"/>
    <w:rsid w:val="1AF423CA"/>
    <w:rsid w:val="1B714996"/>
    <w:rsid w:val="1B8109FE"/>
    <w:rsid w:val="1B8D4C8F"/>
    <w:rsid w:val="1B9377B6"/>
    <w:rsid w:val="1BB56B5C"/>
    <w:rsid w:val="1BC2137E"/>
    <w:rsid w:val="1C14717E"/>
    <w:rsid w:val="1C1B504A"/>
    <w:rsid w:val="1C2B4E13"/>
    <w:rsid w:val="1C3B6D59"/>
    <w:rsid w:val="1C6E285C"/>
    <w:rsid w:val="1C7B6FF9"/>
    <w:rsid w:val="1D075252"/>
    <w:rsid w:val="1D451EB0"/>
    <w:rsid w:val="1D4A360C"/>
    <w:rsid w:val="1D615728"/>
    <w:rsid w:val="1D761D5A"/>
    <w:rsid w:val="1E3278A5"/>
    <w:rsid w:val="1E447CA3"/>
    <w:rsid w:val="1E8809EA"/>
    <w:rsid w:val="1EBB252A"/>
    <w:rsid w:val="1ED331FC"/>
    <w:rsid w:val="1ED6487D"/>
    <w:rsid w:val="1EF92821"/>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7126ED"/>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8EE1C5E"/>
    <w:rsid w:val="29857C2F"/>
    <w:rsid w:val="29D97CC6"/>
    <w:rsid w:val="2A1D0ADC"/>
    <w:rsid w:val="2A5F7219"/>
    <w:rsid w:val="2AB25697"/>
    <w:rsid w:val="2ACF7AB8"/>
    <w:rsid w:val="2B035A09"/>
    <w:rsid w:val="2B2024A7"/>
    <w:rsid w:val="2B756EE9"/>
    <w:rsid w:val="2B833D12"/>
    <w:rsid w:val="2B9B0A58"/>
    <w:rsid w:val="2BA7027E"/>
    <w:rsid w:val="2BAB54C5"/>
    <w:rsid w:val="2BC05AF8"/>
    <w:rsid w:val="2BE54D11"/>
    <w:rsid w:val="2C0A3184"/>
    <w:rsid w:val="2C522435"/>
    <w:rsid w:val="2D2A602F"/>
    <w:rsid w:val="2D6B0ED7"/>
    <w:rsid w:val="2D715293"/>
    <w:rsid w:val="2D7649D6"/>
    <w:rsid w:val="2D9F4897"/>
    <w:rsid w:val="2DA064BD"/>
    <w:rsid w:val="2E155772"/>
    <w:rsid w:val="2E236E07"/>
    <w:rsid w:val="2E2B3CCA"/>
    <w:rsid w:val="2E491136"/>
    <w:rsid w:val="2EC908A3"/>
    <w:rsid w:val="2ED73427"/>
    <w:rsid w:val="2F2F2A58"/>
    <w:rsid w:val="2F5D1137"/>
    <w:rsid w:val="2F6E0190"/>
    <w:rsid w:val="2F8D4635"/>
    <w:rsid w:val="2FEA115F"/>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13E2E"/>
    <w:rsid w:val="336B64D8"/>
    <w:rsid w:val="33D147E6"/>
    <w:rsid w:val="33E75D8A"/>
    <w:rsid w:val="33F4CAF3"/>
    <w:rsid w:val="341807F9"/>
    <w:rsid w:val="342465E2"/>
    <w:rsid w:val="3469157A"/>
    <w:rsid w:val="347C0671"/>
    <w:rsid w:val="34B21D2C"/>
    <w:rsid w:val="34E04A84"/>
    <w:rsid w:val="34E65163"/>
    <w:rsid w:val="35135498"/>
    <w:rsid w:val="35465824"/>
    <w:rsid w:val="354F42BD"/>
    <w:rsid w:val="3573124D"/>
    <w:rsid w:val="359527A9"/>
    <w:rsid w:val="35B01629"/>
    <w:rsid w:val="35B56B4B"/>
    <w:rsid w:val="36744D66"/>
    <w:rsid w:val="36E95DAE"/>
    <w:rsid w:val="371371EE"/>
    <w:rsid w:val="37184DFF"/>
    <w:rsid w:val="37793C72"/>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4F0576"/>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3FFF12EB"/>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374548"/>
    <w:rsid w:val="459F5DC5"/>
    <w:rsid w:val="45B516E9"/>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EB69AD"/>
    <w:rsid w:val="4B1F0EFC"/>
    <w:rsid w:val="4B4C35C4"/>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C00C5A"/>
    <w:rsid w:val="4ED13285"/>
    <w:rsid w:val="4F0A4EE8"/>
    <w:rsid w:val="4F1A6236"/>
    <w:rsid w:val="4F6A651C"/>
    <w:rsid w:val="4F721548"/>
    <w:rsid w:val="4FA73771"/>
    <w:rsid w:val="4FD4377C"/>
    <w:rsid w:val="4FFA3D26"/>
    <w:rsid w:val="4FFC2D7C"/>
    <w:rsid w:val="4FFF4188"/>
    <w:rsid w:val="4FFF4C5B"/>
    <w:rsid w:val="50086DF5"/>
    <w:rsid w:val="50791689"/>
    <w:rsid w:val="508E5ABD"/>
    <w:rsid w:val="50A336F5"/>
    <w:rsid w:val="50BD79A6"/>
    <w:rsid w:val="510D1202"/>
    <w:rsid w:val="515D1CF8"/>
    <w:rsid w:val="515D60CA"/>
    <w:rsid w:val="51714084"/>
    <w:rsid w:val="51AA50CA"/>
    <w:rsid w:val="51D12D37"/>
    <w:rsid w:val="51E46BB8"/>
    <w:rsid w:val="521F04B3"/>
    <w:rsid w:val="528E639D"/>
    <w:rsid w:val="5296355C"/>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6D95D37"/>
    <w:rsid w:val="57072CB9"/>
    <w:rsid w:val="57513E95"/>
    <w:rsid w:val="575E2A63"/>
    <w:rsid w:val="57672FF6"/>
    <w:rsid w:val="576C2AED"/>
    <w:rsid w:val="577822F7"/>
    <w:rsid w:val="578A3D39"/>
    <w:rsid w:val="579A20B9"/>
    <w:rsid w:val="57DD4B77"/>
    <w:rsid w:val="58182573"/>
    <w:rsid w:val="583121F8"/>
    <w:rsid w:val="58376A24"/>
    <w:rsid w:val="5844620B"/>
    <w:rsid w:val="58C4469B"/>
    <w:rsid w:val="58E90CAC"/>
    <w:rsid w:val="590D2FF9"/>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610403"/>
    <w:rsid w:val="5D731173"/>
    <w:rsid w:val="5DB61076"/>
    <w:rsid w:val="5DB96EBE"/>
    <w:rsid w:val="5DCF1BDC"/>
    <w:rsid w:val="5DFA426F"/>
    <w:rsid w:val="5E131755"/>
    <w:rsid w:val="5E60221A"/>
    <w:rsid w:val="5E852B06"/>
    <w:rsid w:val="5EBB0773"/>
    <w:rsid w:val="5EC9424F"/>
    <w:rsid w:val="5F3F6EB7"/>
    <w:rsid w:val="5F595787"/>
    <w:rsid w:val="5F785A98"/>
    <w:rsid w:val="5F8D1C46"/>
    <w:rsid w:val="5FBD03D0"/>
    <w:rsid w:val="5FDD4F0D"/>
    <w:rsid w:val="5FE50B69"/>
    <w:rsid w:val="601B4866"/>
    <w:rsid w:val="60303D05"/>
    <w:rsid w:val="60386110"/>
    <w:rsid w:val="606977B6"/>
    <w:rsid w:val="60B75222"/>
    <w:rsid w:val="610966E3"/>
    <w:rsid w:val="61A06ED8"/>
    <w:rsid w:val="61AE1C0B"/>
    <w:rsid w:val="61CC6283"/>
    <w:rsid w:val="61EB1FBB"/>
    <w:rsid w:val="620458E9"/>
    <w:rsid w:val="624422CE"/>
    <w:rsid w:val="62812C52"/>
    <w:rsid w:val="6298596F"/>
    <w:rsid w:val="634E079D"/>
    <w:rsid w:val="635553E5"/>
    <w:rsid w:val="63716C54"/>
    <w:rsid w:val="63E9591E"/>
    <w:rsid w:val="640D4262"/>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CF2805"/>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4E76FE8"/>
    <w:rsid w:val="75250E17"/>
    <w:rsid w:val="75576C93"/>
    <w:rsid w:val="75711074"/>
    <w:rsid w:val="75893E4D"/>
    <w:rsid w:val="75BA3B6D"/>
    <w:rsid w:val="75D12F9F"/>
    <w:rsid w:val="75E87AE4"/>
    <w:rsid w:val="76206188"/>
    <w:rsid w:val="767E6D89"/>
    <w:rsid w:val="768B48F5"/>
    <w:rsid w:val="76A32A08"/>
    <w:rsid w:val="76A610C6"/>
    <w:rsid w:val="76DD66F2"/>
    <w:rsid w:val="76EC3A20"/>
    <w:rsid w:val="76EC6FC3"/>
    <w:rsid w:val="770B2702"/>
    <w:rsid w:val="7718563E"/>
    <w:rsid w:val="776A3F9A"/>
    <w:rsid w:val="77901978"/>
    <w:rsid w:val="77915027"/>
    <w:rsid w:val="779D4F4D"/>
    <w:rsid w:val="77AD0878"/>
    <w:rsid w:val="77CF1648"/>
    <w:rsid w:val="781D2C7A"/>
    <w:rsid w:val="78362BC8"/>
    <w:rsid w:val="783A56AF"/>
    <w:rsid w:val="78413BD7"/>
    <w:rsid w:val="788F717D"/>
    <w:rsid w:val="78915F29"/>
    <w:rsid w:val="78A77DB4"/>
    <w:rsid w:val="78B31BDE"/>
    <w:rsid w:val="78E70DA1"/>
    <w:rsid w:val="78F21850"/>
    <w:rsid w:val="791B03AB"/>
    <w:rsid w:val="79714C66"/>
    <w:rsid w:val="79D31F15"/>
    <w:rsid w:val="79D657CC"/>
    <w:rsid w:val="79E40A04"/>
    <w:rsid w:val="79EE0E19"/>
    <w:rsid w:val="7A151811"/>
    <w:rsid w:val="7B0003D2"/>
    <w:rsid w:val="7B3C52F1"/>
    <w:rsid w:val="7B9D0472"/>
    <w:rsid w:val="7BA046F3"/>
    <w:rsid w:val="7BC37346"/>
    <w:rsid w:val="7BE71A21"/>
    <w:rsid w:val="7BF87E00"/>
    <w:rsid w:val="7C064DA7"/>
    <w:rsid w:val="7C0A2379"/>
    <w:rsid w:val="7C551636"/>
    <w:rsid w:val="7C5F3CF1"/>
    <w:rsid w:val="7C697AB1"/>
    <w:rsid w:val="7C991DD8"/>
    <w:rsid w:val="7CB460B3"/>
    <w:rsid w:val="7CD445C4"/>
    <w:rsid w:val="7CED17F8"/>
    <w:rsid w:val="7CF17B62"/>
    <w:rsid w:val="7D274421"/>
    <w:rsid w:val="7D3D452B"/>
    <w:rsid w:val="7D957EE1"/>
    <w:rsid w:val="7DFC4CA2"/>
    <w:rsid w:val="7E137B54"/>
    <w:rsid w:val="7E4E0E62"/>
    <w:rsid w:val="7E503B32"/>
    <w:rsid w:val="7E541447"/>
    <w:rsid w:val="7E6B7B24"/>
    <w:rsid w:val="7E757D8F"/>
    <w:rsid w:val="7E782A8A"/>
    <w:rsid w:val="7EFFFA7B"/>
    <w:rsid w:val="7FC14E2C"/>
    <w:rsid w:val="9F6F6015"/>
    <w:rsid w:val="C7DB93C8"/>
    <w:rsid w:val="DD7E7DC7"/>
    <w:rsid w:val="DEF5E07B"/>
    <w:rsid w:val="E3F37E00"/>
    <w:rsid w:val="E5FF16E4"/>
    <w:rsid w:val="EFEEB9E2"/>
    <w:rsid w:val="F5DBA8FA"/>
    <w:rsid w:val="FB7F0388"/>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rPr>
      <w:rFonts w:ascii="宋体"/>
      <w:sz w:val="18"/>
      <w:szCs w:val="18"/>
    </w:r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Plain Text"/>
    <w:basedOn w:val="1"/>
    <w:next w:val="1"/>
    <w:qFormat/>
    <w:uiPriority w:val="0"/>
    <w:rPr>
      <w:rFonts w:ascii="宋体" w:hAnsi="Courier New" w:cs="Courier New"/>
      <w:szCs w:val="21"/>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页眉 字符"/>
    <w:basedOn w:val="10"/>
    <w:link w:val="7"/>
    <w:qFormat/>
    <w:uiPriority w:val="0"/>
    <w:rPr>
      <w:kern w:val="2"/>
      <w:sz w:val="18"/>
      <w:szCs w:val="18"/>
    </w:rPr>
  </w:style>
  <w:style w:type="character" w:customStyle="1" w:styleId="14">
    <w:name w:val="页脚 字符"/>
    <w:basedOn w:val="10"/>
    <w:link w:val="6"/>
    <w:qFormat/>
    <w:uiPriority w:val="0"/>
    <w:rPr>
      <w:kern w:val="2"/>
      <w:sz w:val="18"/>
      <w:szCs w:val="18"/>
    </w:rPr>
  </w:style>
  <w:style w:type="paragraph" w:customStyle="1" w:styleId="1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6">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17">
    <w:name w:val="网格型1"/>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1750</Words>
  <Characters>1950</Characters>
  <Lines>13</Lines>
  <Paragraphs>3</Paragraphs>
  <TotalTime>0</TotalTime>
  <ScaleCrop>false</ScaleCrop>
  <LinksUpToDate>false</LinksUpToDate>
  <CharactersWithSpaces>1950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2019-08-13T14:54:00Z</dcterms:created>
  <dc:creator>zkk</dc:creator>
  <cp:lastModifiedBy>张九峰</cp:lastModifiedBy>
  <cp:lastPrinted>2023-05-11T16:24:00Z</cp:lastPrinted>
  <dcterms:modified xsi:type="dcterms:W3CDTF">2025-10-29T11:00:14Z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D0C6CB4D3DD449CF9F01DB31742842FE</vt:lpwstr>
  </property>
  <property fmtid="{D5CDD505-2E9C-101B-9397-08002B2CF9AE}" pid="4" name="KSOTemplateDocerSaveRecord">
    <vt:lpwstr>eyJoZGlkIjoiMDI4OGRiNmI3ODJjMmJlZTg5NWEyMWE5ZTdmNjQyNTYiLCJ1c2VySWQiOiI0NzY1NzgwMjIifQ==</vt:lpwstr>
  </property>
</Properties>
</file>