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13E97">
      <w:pPr>
        <w:keepNext w:val="0"/>
        <w:keepLines w:val="0"/>
        <w:pageBreakBefore w:val="0"/>
        <w:kinsoku/>
        <w:wordWrap/>
        <w:overflowPunct/>
        <w:topLinePunct w:val="0"/>
        <w:autoSpaceDE/>
        <w:autoSpaceDN/>
        <w:bidi w:val="0"/>
        <w:adjustRightInd/>
        <w:snapToGrid/>
        <w:spacing w:line="560" w:lineRule="exact"/>
        <w:outlineLvl w:val="0"/>
        <w:rPr>
          <w:rFonts w:hint="eastAsia" w:ascii="黑体" w:hAnsi="黑体" w:eastAsia="黑体" w:cs="黑体"/>
          <w:spacing w:val="15"/>
          <w:kern w:val="0"/>
          <w:sz w:val="32"/>
          <w:szCs w:val="32"/>
          <w:shd w:val="clear" w:color="auto" w:fill="FFFFFF"/>
          <w:lang w:val="en-US" w:eastAsia="zh-CN"/>
        </w:rPr>
      </w:pPr>
      <w:bookmarkStart w:id="3" w:name="_GoBack"/>
      <w:bookmarkEnd w:id="3"/>
      <w:r>
        <w:rPr>
          <w:rFonts w:hint="eastAsia" w:ascii="黑体" w:hAnsi="黑体" w:eastAsia="黑体" w:cs="黑体"/>
          <w:spacing w:val="15"/>
          <w:kern w:val="0"/>
          <w:sz w:val="32"/>
          <w:szCs w:val="32"/>
          <w:shd w:val="clear" w:color="auto" w:fill="FFFFFF"/>
        </w:rPr>
        <w:t>附件</w:t>
      </w:r>
    </w:p>
    <w:p w14:paraId="176D61EF">
      <w:pPr>
        <w:keepNext w:val="0"/>
        <w:keepLines w:val="0"/>
        <w:pageBreakBefore w:val="0"/>
        <w:kinsoku/>
        <w:wordWrap/>
        <w:overflowPunct/>
        <w:topLinePunct w:val="0"/>
        <w:autoSpaceDE/>
        <w:autoSpaceDN/>
        <w:bidi w:val="0"/>
        <w:adjustRightInd/>
        <w:snapToGrid/>
        <w:spacing w:line="560" w:lineRule="exact"/>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2024年高端餐饮品牌设店、升级奖励</w:t>
      </w:r>
    </w:p>
    <w:p w14:paraId="1A291E49">
      <w:pPr>
        <w:keepNext w:val="0"/>
        <w:keepLines w:val="0"/>
        <w:pageBreakBefore w:val="0"/>
        <w:kinsoku/>
        <w:wordWrap/>
        <w:overflowPunct/>
        <w:topLinePunct w:val="0"/>
        <w:autoSpaceDE/>
        <w:autoSpaceDN/>
        <w:bidi w:val="0"/>
        <w:adjustRightInd/>
        <w:snapToGrid/>
        <w:spacing w:line="560" w:lineRule="exact"/>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办事指南</w:t>
      </w:r>
    </w:p>
    <w:p w14:paraId="3DC5C553">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sz w:val="32"/>
          <w:szCs w:val="32"/>
        </w:rPr>
      </w:pPr>
    </w:p>
    <w:p w14:paraId="4142821F">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67D8C2D9">
      <w:pPr>
        <w:pStyle w:val="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《北京经济技术开发区促进商业领域发展的若干措施（试行）》（京技管发〔</w:t>
      </w:r>
      <w:r>
        <w:rPr>
          <w:rFonts w:ascii="仿宋_GB2312" w:hAnsi="仿宋_GB2312" w:eastAsia="仿宋_GB2312" w:cs="仿宋_GB2312"/>
          <w:sz w:val="32"/>
          <w:szCs w:val="32"/>
        </w:rPr>
        <w:t>2023〕17号</w:t>
      </w:r>
      <w:r>
        <w:rPr>
          <w:rFonts w:hint="eastAsia" w:ascii="仿宋_GB2312" w:hAnsi="仿宋_GB2312" w:eastAsia="仿宋_GB2312" w:cs="仿宋_GB2312"/>
          <w:sz w:val="32"/>
          <w:szCs w:val="32"/>
        </w:rPr>
        <w:t>）中第七条“</w:t>
      </w:r>
      <w:r>
        <w:rPr>
          <w:rFonts w:hint="eastAsia" w:ascii="仿宋_GB2312" w:hAnsi="仿宋_GB2312" w:eastAsia="仿宋_GB2312" w:cs="仿宋_GB2312"/>
          <w:color w:val="auto"/>
          <w:sz w:val="32"/>
          <w:szCs w:val="32"/>
        </w:rPr>
        <w:t>高端餐饮品牌设店、升级奖励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5F1BBB8F">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037955E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eastAsia="仿宋_GB2312" w:cs="仿宋_GB2312"/>
          <w:sz w:val="32"/>
          <w:szCs w:val="32"/>
          <w:lang w:eastAsia="zh-CN"/>
        </w:rPr>
      </w:pP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eastAsia="仿宋_GB2312" w:cs="仿宋_GB2312"/>
          <w:sz w:val="32"/>
          <w:szCs w:val="32"/>
        </w:rPr>
        <w:t>年</w:t>
      </w:r>
      <w:r>
        <w:rPr>
          <w:rFonts w:hint="eastAsia" w:ascii="仿宋_GB2312" w:hAnsi="仿宋_GB2312" w:eastAsia="仿宋_GB2312" w:cs="仿宋_GB2312"/>
          <w:sz w:val="32"/>
          <w:szCs w:val="32"/>
        </w:rPr>
        <w:t>高端餐饮品牌设店、升级奖励</w:t>
      </w:r>
      <w:r>
        <w:rPr>
          <w:rFonts w:hint="eastAsia" w:ascii="仿宋_GB2312" w:hAnsi="仿宋_GB2312" w:eastAsia="仿宋_GB2312" w:cs="仿宋_GB2312"/>
          <w:sz w:val="32"/>
          <w:szCs w:val="32"/>
          <w:lang w:eastAsia="zh-CN"/>
        </w:rPr>
        <w:t>。</w:t>
      </w:r>
    </w:p>
    <w:p w14:paraId="68717CD9">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41402B41">
      <w:pPr>
        <w:pStyle w:val="1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 w:eastAsia="仿宋_GB2312" w:cs="仿宋_GB2312"/>
          <w:kern w:val="2"/>
          <w:sz w:val="32"/>
          <w:szCs w:val="32"/>
          <w:lang w:val="en-US" w:eastAsia="zh-CN" w:bidi="ar-SA"/>
        </w:rPr>
        <w:t>（一）</w:t>
      </w:r>
      <w:r>
        <w:rPr>
          <w:rFonts w:hint="eastAsia" w:ascii="仿宋_GB2312" w:hAnsi="仿宋_GB2312" w:eastAsia="仿宋_GB2312" w:cs="仿宋_GB2312"/>
          <w:sz w:val="32"/>
          <w:szCs w:val="32"/>
        </w:rPr>
        <w:t>在亦庄新城225平方公里范围内依法经营</w:t>
      </w:r>
      <w:r>
        <w:rPr>
          <w:rFonts w:hint="eastAsia" w:ascii="仿宋_GB2312" w:hAnsi="仿宋_GB2312" w:eastAsia="仿宋_GB2312" w:cs="仿宋_GB2312"/>
          <w:sz w:val="32"/>
          <w:szCs w:val="32"/>
          <w:lang w:eastAsia="zh-CN"/>
        </w:rPr>
        <w:t>。</w:t>
      </w:r>
    </w:p>
    <w:p w14:paraId="028C67A9">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2</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21</w:t>
      </w:r>
      <w:r>
        <w:rPr>
          <w:rFonts w:hint="eastAsia" w:ascii="仿宋_GB2312" w:hAnsi="仿宋" w:eastAsia="仿宋_GB2312"/>
          <w:color w:val="000000"/>
          <w:spacing w:val="-6"/>
          <w:sz w:val="32"/>
          <w:szCs w:val="32"/>
          <w:highlight w:val="none"/>
        </w:rPr>
        <w:t>日</w:t>
      </w:r>
      <w:r>
        <w:rPr>
          <w:rFonts w:hint="eastAsia" w:ascii="仿宋_GB2312" w:hAnsi="仿宋" w:eastAsia="仿宋_GB2312"/>
          <w:color w:val="000000"/>
          <w:spacing w:val="-6"/>
          <w:sz w:val="32"/>
          <w:szCs w:val="32"/>
          <w:highlight w:val="none"/>
          <w:lang w:val="en-US" w:eastAsia="zh-CN"/>
        </w:rPr>
        <w:t>至</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21</w:t>
      </w:r>
      <w:r>
        <w:rPr>
          <w:rFonts w:hint="eastAsia" w:ascii="仿宋_GB2312" w:hAnsi="仿宋" w:eastAsia="仿宋_GB2312"/>
          <w:color w:val="000000"/>
          <w:spacing w:val="-6"/>
          <w:sz w:val="32"/>
          <w:szCs w:val="32"/>
          <w:highlight w:val="none"/>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无重大行政处罚记录和刑事犯罪记录，未列入严重违法失信主体名单</w:t>
      </w:r>
      <w:r>
        <w:rPr>
          <w:rFonts w:hint="eastAsia" w:ascii="仿宋_GB2312" w:hAnsi="仿宋_GB2312" w:eastAsia="仿宋_GB2312" w:cs="仿宋_GB2312"/>
          <w:sz w:val="32"/>
          <w:szCs w:val="32"/>
          <w:lang w:eastAsia="zh-CN"/>
        </w:rPr>
        <w:t>。</w:t>
      </w:r>
    </w:p>
    <w:p w14:paraId="1D1B2364">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项目申报单位经营状况良好，有下列情形的不予支持：列入《北京市新增产业的禁止和限制目录》禁止类和限制类范围的；纳入全市联合惩戒“黑名单”的；纳入北京市商务领域不良信用记录名单，受到“不予支持”信用惩戒的；经审议其他不予支持的。</w:t>
      </w:r>
    </w:p>
    <w:p w14:paraId="458F975E">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）对“米其林”三星、二星、一星餐厅或</w:t>
      </w:r>
      <w:r>
        <w:rPr>
          <w:rFonts w:ascii="仿宋_GB2312" w:hAnsi="仿宋_GB2312" w:eastAsia="仿宋_GB2312" w:cs="仿宋_GB2312"/>
          <w:kern w:val="0"/>
          <w:sz w:val="32"/>
          <w:szCs w:val="32"/>
        </w:rPr>
        <w:t>“黑珍珠”三钻、二钻、一钻餐厅</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color w:val="auto"/>
          <w:sz w:val="32"/>
          <w:szCs w:val="32"/>
          <w:shd w:val="clear" w:color="auto" w:fill="auto"/>
          <w:lang w:val="en-US" w:eastAsia="zh-CN"/>
        </w:rPr>
        <w:t>2024年1月1日以后在</w:t>
      </w:r>
      <w:r>
        <w:rPr>
          <w:rFonts w:hint="eastAsia" w:ascii="仿宋_GB2312" w:hAnsi="仿宋_GB2312" w:eastAsia="仿宋_GB2312" w:cs="仿宋_GB2312"/>
          <w:sz w:val="32"/>
          <w:szCs w:val="32"/>
        </w:rPr>
        <w:t>经开区设店经营的：</w:t>
      </w:r>
    </w:p>
    <w:p w14:paraId="514793E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0" w:name="_Hlk165303309"/>
      <w:r>
        <w:rPr>
          <w:rFonts w:hint="eastAsia" w:ascii="仿宋_GB2312" w:hAnsi="仿宋_GB2312" w:eastAsia="仿宋_GB2312" w:cs="仿宋_GB2312"/>
          <w:sz w:val="32"/>
          <w:szCs w:val="32"/>
          <w:lang w:eastAsia="zh-CN"/>
        </w:rPr>
        <w:t>同一餐厅</w:t>
      </w:r>
      <w:r>
        <w:rPr>
          <w:rFonts w:hint="eastAsia" w:ascii="仿宋_GB2312" w:hAnsi="仿宋_GB2312" w:eastAsia="仿宋_GB2312" w:cs="仿宋_GB2312"/>
          <w:sz w:val="32"/>
          <w:szCs w:val="32"/>
        </w:rPr>
        <w:t>仅可申报一次</w:t>
      </w: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color w:val="auto"/>
          <w:spacing w:val="0"/>
          <w:sz w:val="32"/>
          <w:szCs w:val="32"/>
          <w:shd w:val="clear" w:color="auto" w:fill="auto"/>
        </w:rPr>
        <w:t>截止申报之日</w:t>
      </w:r>
      <w:r>
        <w:rPr>
          <w:rFonts w:hint="eastAsia" w:ascii="仿宋_GB2312" w:hAnsi="仿宋_GB2312" w:eastAsia="仿宋_GB2312" w:cs="仿宋_GB2312"/>
          <w:sz w:val="32"/>
          <w:szCs w:val="32"/>
          <w:highlight w:val="none"/>
        </w:rPr>
        <w:t>前持续正常</w:t>
      </w:r>
      <w:r>
        <w:rPr>
          <w:rFonts w:hint="eastAsia" w:ascii="仿宋_GB2312" w:hAnsi="仿宋_GB2312" w:eastAsia="仿宋_GB2312" w:cs="仿宋_GB2312"/>
          <w:color w:val="auto"/>
          <w:spacing w:val="0"/>
          <w:sz w:val="32"/>
          <w:szCs w:val="32"/>
          <w:shd w:val="clear" w:color="auto" w:fill="auto"/>
        </w:rPr>
        <w:t>经营；</w:t>
      </w:r>
      <w:bookmarkEnd w:id="0"/>
    </w:p>
    <w:p w14:paraId="3786257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2.开设的餐厅应与已评定“米其林”三星、二星、一星餐厅或“黑珍珠”三钻、二钻、一钻餐厅为同一品牌（在截止申报之日在榜）；</w:t>
      </w:r>
    </w:p>
    <w:p w14:paraId="74485A49">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auto"/>
          <w:sz w:val="32"/>
          <w:szCs w:val="32"/>
          <w:shd w:val="clear" w:color="auto" w:fill="auto"/>
        </w:rPr>
        <w:t>申报主体应为</w:t>
      </w:r>
      <w:r>
        <w:rPr>
          <w:rFonts w:hint="eastAsia" w:ascii="仿宋_GB2312" w:hAnsi="仿宋_GB2312" w:eastAsia="仿宋_GB2312" w:cs="仿宋_GB2312"/>
          <w:sz w:val="32"/>
          <w:szCs w:val="32"/>
        </w:rPr>
        <w:t>餐厅的</w:t>
      </w:r>
      <w:r>
        <w:rPr>
          <w:rFonts w:hint="eastAsia" w:ascii="仿宋_GB2312" w:hAnsi="仿宋_GB2312" w:eastAsia="仿宋_GB2312" w:cs="仿宋_GB2312"/>
          <w:color w:val="auto"/>
          <w:sz w:val="32"/>
          <w:szCs w:val="32"/>
          <w:shd w:val="clear" w:color="auto" w:fill="auto"/>
        </w:rPr>
        <w:t>实际投资和运营主体</w:t>
      </w:r>
      <w:r>
        <w:rPr>
          <w:rFonts w:hint="eastAsia" w:ascii="仿宋_GB2312" w:hAnsi="仿宋_GB2312" w:eastAsia="仿宋_GB2312" w:cs="仿宋_GB2312"/>
          <w:sz w:val="32"/>
          <w:szCs w:val="32"/>
        </w:rPr>
        <w:t>。</w:t>
      </w:r>
    </w:p>
    <w:p w14:paraId="45F20D80">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bookmarkStart w:id="1" w:name="_Hlk165390401"/>
      <w:r>
        <w:rPr>
          <w:rFonts w:hint="eastAsia" w:ascii="仿宋_GB2312" w:hAnsi="仿宋_GB2312" w:eastAsia="仿宋_GB2312" w:cs="仿宋_GB2312"/>
          <w:sz w:val="32"/>
          <w:szCs w:val="32"/>
        </w:rPr>
        <w:t>对经开区内餐厅首次（不含降星情况）成功获得“米其林”三星、二星、一星的，或首次（不含降钻情况）成功入榜“黑珍珠餐厅指南”三钻、二钻、一钻的</w:t>
      </w:r>
      <w:bookmarkEnd w:id="1"/>
      <w:r>
        <w:rPr>
          <w:rFonts w:hint="eastAsia" w:ascii="仿宋_GB2312" w:hAnsi="仿宋_GB2312" w:eastAsia="仿宋_GB2312" w:cs="仿宋_GB2312"/>
          <w:sz w:val="32"/>
          <w:szCs w:val="32"/>
          <w:highlight w:val="none"/>
        </w:rPr>
        <w:t>：</w:t>
      </w:r>
    </w:p>
    <w:p w14:paraId="6F33FD15">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highlight w:val="none"/>
        </w:rPr>
        <w:t>开设的餐厅</w:t>
      </w:r>
      <w:r>
        <w:rPr>
          <w:rFonts w:hint="eastAsia" w:ascii="仿宋_GB2312" w:hAnsi="仿宋_GB2312" w:eastAsia="仿宋_GB2312" w:cs="仿宋_GB2312"/>
          <w:sz w:val="32"/>
          <w:szCs w:val="32"/>
        </w:rPr>
        <w:t>首次</w:t>
      </w:r>
      <w:r>
        <w:rPr>
          <w:rFonts w:hint="eastAsia" w:ascii="仿宋_GB2312" w:hAnsi="仿宋_GB2312" w:eastAsia="仿宋_GB2312" w:cs="仿宋_GB2312"/>
          <w:sz w:val="32"/>
          <w:szCs w:val="32"/>
          <w:highlight w:val="none"/>
        </w:rPr>
        <w:t>获得“米其林”或“黑珍珠”</w:t>
      </w:r>
      <w:r>
        <w:rPr>
          <w:rFonts w:hint="eastAsia" w:ascii="仿宋_GB2312" w:hAnsi="仿宋_GB2312" w:eastAsia="仿宋_GB2312" w:cs="仿宋_GB2312"/>
          <w:sz w:val="32"/>
          <w:szCs w:val="32"/>
        </w:rPr>
        <w:t>评定</w:t>
      </w:r>
      <w:r>
        <w:rPr>
          <w:rFonts w:hint="eastAsia" w:ascii="仿宋_GB2312" w:hAnsi="仿宋_GB2312" w:eastAsia="仿宋_GB2312" w:cs="仿宋_GB2312"/>
          <w:sz w:val="32"/>
          <w:szCs w:val="32"/>
          <w:highlight w:val="none"/>
        </w:rPr>
        <w:t>的日期</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年1月1日至</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月3</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日，在截止申报之日前持续正常经营；</w:t>
      </w:r>
    </w:p>
    <w:p w14:paraId="262C70B4">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2.申报主体应为餐厅的实际投资和运营主体。</w:t>
      </w:r>
    </w:p>
    <w:p w14:paraId="6CBE3538">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1989C2A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对“米其林”三星、二星、一星餐厅在经开区设店经营的，给予每家门店一次性</w:t>
      </w:r>
      <w:r>
        <w:rPr>
          <w:rFonts w:ascii="仿宋_GB2312" w:hAnsi="仿宋_GB2312" w:eastAsia="仿宋_GB2312" w:cs="仿宋_GB2312"/>
          <w:color w:val="auto"/>
          <w:kern w:val="2"/>
          <w:sz w:val="32"/>
          <w:szCs w:val="32"/>
        </w:rPr>
        <w:t>40万元、30万元、20万元的奖励。对“黑珍珠”三钻、二钻、一钻餐厅在经开区设店经营</w:t>
      </w:r>
      <w:r>
        <w:rPr>
          <w:rFonts w:hint="eastAsia" w:ascii="仿宋_GB2312" w:hAnsi="仿宋_GB2312" w:eastAsia="仿宋_GB2312" w:cs="仿宋_GB2312"/>
          <w:color w:val="auto"/>
          <w:kern w:val="2"/>
          <w:sz w:val="32"/>
          <w:szCs w:val="32"/>
        </w:rPr>
        <w:t>的，给予每家门店一次性</w:t>
      </w:r>
      <w:r>
        <w:rPr>
          <w:rFonts w:ascii="仿宋_GB2312" w:hAnsi="仿宋_GB2312" w:eastAsia="仿宋_GB2312" w:cs="仿宋_GB2312"/>
          <w:color w:val="auto"/>
          <w:kern w:val="2"/>
          <w:sz w:val="32"/>
          <w:szCs w:val="32"/>
        </w:rPr>
        <w:t>15万元、10万元、5万元的奖励。以上两类择优不重复支持。</w:t>
      </w:r>
    </w:p>
    <w:p w14:paraId="0CD0B6B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支持经开区内餐饮企业扩大品牌影响。对经开区内餐厅首次（不含降星情况）成功获得“米其林”三星、二星、一星的，分别给予一次性</w:t>
      </w:r>
      <w:r>
        <w:rPr>
          <w:rFonts w:ascii="仿宋_GB2312" w:hAnsi="仿宋_GB2312" w:eastAsia="仿宋_GB2312" w:cs="仿宋_GB2312"/>
          <w:color w:val="auto"/>
          <w:kern w:val="2"/>
          <w:sz w:val="32"/>
          <w:szCs w:val="32"/>
        </w:rPr>
        <w:t>80万元、60万元、40万元的奖励资金。对经开区内餐厅首次（不含降钻情况）成功入榜“黑珍珠餐厅指南”三钻、二钻、一钻的，分别给予一次性30万元、20万元、10万元的奖励资金。以上两类择优不重复支持。</w:t>
      </w:r>
    </w:p>
    <w:p w14:paraId="18A4D031">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718540B2">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高端餐饮品牌设店、升级奖励申报表，在线填写；</w:t>
      </w:r>
    </w:p>
    <w:p w14:paraId="225C4995">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31115379">
      <w:pPr>
        <w:keepNext w:val="0"/>
        <w:keepLines w:val="0"/>
        <w:pageBreakBefore w:val="0"/>
        <w:kinsoku/>
        <w:wordWrap/>
        <w:overflowPunct/>
        <w:topLinePunct w:val="0"/>
        <w:autoSpaceDE/>
        <w:autoSpaceDN/>
        <w:bidi w:val="0"/>
        <w:adjustRightInd/>
        <w:snapToGrid/>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3C001AC6">
      <w:pPr>
        <w:keepNext w:val="0"/>
        <w:keepLines w:val="0"/>
        <w:pageBreakBefore w:val="0"/>
        <w:kinsoku/>
        <w:wordWrap/>
        <w:overflowPunct/>
        <w:topLinePunct w:val="0"/>
        <w:autoSpaceDE/>
        <w:autoSpaceDN/>
        <w:bidi w:val="0"/>
        <w:adjustRightInd/>
        <w:snapToGrid/>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7836D58B">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rPr>
        <w:t>.项目单位</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财务报表（资产负债表、损益表、现金流量表），加盖公章，彩色扫描上传；</w:t>
      </w:r>
    </w:p>
    <w:p w14:paraId="55D6478F">
      <w:pPr>
        <w:keepNext w:val="0"/>
        <w:keepLines w:val="0"/>
        <w:pageBreakBefore w:val="0"/>
        <w:kinsoku/>
        <w:wordWrap/>
        <w:overflowPunct/>
        <w:topLinePunct w:val="0"/>
        <w:autoSpaceDE/>
        <w:autoSpaceDN/>
        <w:bidi w:val="0"/>
        <w:adjustRightInd/>
        <w:snapToGrid/>
        <w:spacing w:line="560" w:lineRule="exact"/>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sz w:val="32"/>
          <w:szCs w:val="32"/>
          <w:highlight w:val="none"/>
        </w:rPr>
        <w:t>6</w:t>
      </w:r>
      <w:r>
        <w:rPr>
          <w:rFonts w:hint="eastAsia" w:ascii="仿宋_GB2312" w:hAnsi="仿宋_GB2312" w:eastAsia="仿宋_GB2312" w:cs="仿宋_GB2312"/>
          <w:sz w:val="32"/>
          <w:szCs w:val="32"/>
        </w:rPr>
        <w:t>.</w:t>
      </w:r>
      <w:bookmarkStart w:id="2" w:name="_Hlk165390434"/>
      <w:r>
        <w:rPr>
          <w:rFonts w:hint="eastAsia" w:ascii="仿宋_GB2312" w:hAnsi="仿宋_GB2312" w:eastAsia="仿宋_GB2312" w:cs="仿宋_GB2312"/>
          <w:sz w:val="32"/>
          <w:szCs w:val="32"/>
        </w:rPr>
        <w:t>提供能够证明企业为</w:t>
      </w:r>
      <w:r>
        <w:rPr>
          <w:rFonts w:hint="eastAsia" w:ascii="仿宋_GB2312" w:hAnsi="仿宋_GB2312" w:eastAsia="仿宋_GB2312" w:cs="仿宋_GB2312"/>
          <w:sz w:val="32"/>
          <w:szCs w:val="32"/>
          <w:highlight w:val="none"/>
        </w:rPr>
        <w:t>官方评定的</w:t>
      </w:r>
      <w:r>
        <w:rPr>
          <w:rFonts w:hint="eastAsia" w:ascii="仿宋_GB2312" w:hAnsi="仿宋_GB2312" w:eastAsia="仿宋_GB2312" w:cs="仿宋_GB2312"/>
          <w:sz w:val="32"/>
          <w:szCs w:val="32"/>
        </w:rPr>
        <w:t>“米其林”或“黑珍珠”餐厅的相关证明资料（如米其林或黑珍珠指南截图、评定证书等可证明资料）</w:t>
      </w:r>
      <w:bookmarkEnd w:id="2"/>
      <w:r>
        <w:rPr>
          <w:rFonts w:hint="eastAsia" w:ascii="仿宋_GB2312" w:hAnsi="仿宋_GB2312" w:eastAsia="仿宋_GB2312" w:cs="仿宋_GB2312"/>
          <w:sz w:val="32"/>
          <w:szCs w:val="32"/>
        </w:rPr>
        <w:t>，材料需能体现评定日期，若为首次评定请注明首次评定，加盖公章，彩色扫描上传；</w:t>
      </w:r>
    </w:p>
    <w:p w14:paraId="34C441A3">
      <w:pPr>
        <w:keepNext w:val="0"/>
        <w:keepLines w:val="0"/>
        <w:pageBreakBefore w:val="0"/>
        <w:kinsoku/>
        <w:wordWrap/>
        <w:overflowPunct/>
        <w:topLinePunct w:val="0"/>
        <w:autoSpaceDE/>
        <w:autoSpaceDN/>
        <w:bidi w:val="0"/>
        <w:adjustRightInd/>
        <w:snapToGrid/>
        <w:spacing w:line="560" w:lineRule="exact"/>
        <w:ind w:firstLine="707" w:firstLineChars="221"/>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提供营业中的店铺照片2张（店铺门头和店内场景各1张），若为在经开区设店的餐饮企业，需要额外提供商标注册证（证明新设餐厅与评级餐厅为同一品牌），若申报主体非商标注册人，还应提供被授权使用该商标的说明，加盖公章，彩色扫描上传。</w:t>
      </w:r>
    </w:p>
    <w:p w14:paraId="073A1744">
      <w:pPr>
        <w:keepNext w:val="0"/>
        <w:keepLines w:val="0"/>
        <w:pageBreakBefore w:val="0"/>
        <w:kinsoku/>
        <w:wordWrap/>
        <w:overflowPunct/>
        <w:topLinePunct w:val="0"/>
        <w:autoSpaceDE/>
        <w:autoSpaceDN/>
        <w:bidi w:val="0"/>
        <w:adjustRightInd/>
        <w:snapToGrid/>
        <w:spacing w:line="560" w:lineRule="exact"/>
        <w:ind w:firstLine="707" w:firstLineChars="221"/>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8.提供店铺建设地点证明文件（若建设场地为自有，提房屋产权证明；若场地为租赁，提供租赁协议），原件彩色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lang w:eastAsia="zh-CN"/>
        </w:rPr>
        <w:t>。</w:t>
      </w:r>
    </w:p>
    <w:p w14:paraId="5B269C69">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600CB1F1">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1309CAF8">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2C0F4B2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商务金融局</w:t>
      </w:r>
      <w:r>
        <w:rPr>
          <w:rFonts w:hint="eastAsia" w:ascii="仿宋_GB2312" w:hAnsi="仿宋_GB2312" w:eastAsia="仿宋_GB2312" w:cs="仿宋_GB2312"/>
          <w:color w:val="000000"/>
          <w:kern w:val="2"/>
          <w:sz w:val="32"/>
          <w:szCs w:val="32"/>
        </w:rPr>
        <w:t>对申请材料进行实质审核。</w:t>
      </w:r>
    </w:p>
    <w:p w14:paraId="5705F17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14:paraId="0872BBB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14:paraId="6A2E3DE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2B0881DB">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2D8ED3BE">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lang w:val="en-US" w:eastAsia="zh-CN"/>
        </w:rPr>
        <w:t>经开区</w:t>
      </w:r>
      <w:r>
        <w:rPr>
          <w:rFonts w:hint="eastAsia" w:eastAsia="仿宋_GB2312" w:cs="仿宋_GB2312"/>
          <w:sz w:val="32"/>
          <w:szCs w:val="32"/>
        </w:rPr>
        <w:t>商务金融局</w:t>
      </w:r>
    </w:p>
    <w:p w14:paraId="4E37B3E1">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471B70A5">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北京经济技术开发区万源街4号政务服务中心“政策申报”窗口</w:t>
      </w:r>
    </w:p>
    <w:p w14:paraId="31DCA7AF">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1D8FDC1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p>
    <w:p w14:paraId="6A16F97A">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14:paraId="5D6671C4">
      <w:pPr>
        <w:keepNext w:val="0"/>
        <w:keepLines w:val="0"/>
        <w:pageBreakBefore w:val="0"/>
        <w:kinsoku/>
        <w:wordWrap/>
        <w:overflowPunct/>
        <w:topLinePunct w:val="0"/>
        <w:autoSpaceDE/>
        <w:autoSpaceDN/>
        <w:bidi w:val="0"/>
        <w:adjustRightInd/>
        <w:snapToGrid/>
        <w:spacing w:line="560" w:lineRule="exact"/>
        <w:ind w:firstLine="629"/>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政策咨询：</w:t>
      </w:r>
    </w:p>
    <w:p w14:paraId="307CE3AB">
      <w:pPr>
        <w:keepNext w:val="0"/>
        <w:keepLines w:val="0"/>
        <w:pageBreakBefore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w:t>
      </w:r>
      <w:r>
        <w:rPr>
          <w:rFonts w:hint="eastAsia" w:eastAsia="仿宋_GB2312"/>
          <w:sz w:val="32"/>
          <w:szCs w:val="32"/>
          <w:highlight w:val="none"/>
        </w:rPr>
        <w:t>厅“政策申报”窗口，联系电话：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14:paraId="7E22E593">
      <w:pPr>
        <w:keepNext w:val="0"/>
        <w:keepLines w:val="0"/>
        <w:pageBreakBefore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pPr>
      <w:r>
        <w:rPr>
          <w:rFonts w:hint="eastAsia" w:eastAsia="仿宋_GB2312"/>
          <w:sz w:val="32"/>
          <w:szCs w:val="32"/>
          <w:highlight w:val="none"/>
        </w:rPr>
        <w:t>经开区</w:t>
      </w:r>
      <w:r>
        <w:rPr>
          <w:rFonts w:hint="eastAsia" w:eastAsia="仿宋_GB2312"/>
          <w:sz w:val="32"/>
          <w:szCs w:val="32"/>
          <w:highlight w:val="none"/>
          <w:lang w:eastAsia="zh-CN"/>
        </w:rPr>
        <w:t>商务金融</w:t>
      </w:r>
      <w:r>
        <w:rPr>
          <w:rFonts w:hint="eastAsia" w:eastAsia="仿宋_GB2312"/>
          <w:sz w:val="32"/>
          <w:szCs w:val="32"/>
          <w:highlight w:val="none"/>
        </w:rPr>
        <w:t>局</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83508003</w:t>
      </w:r>
      <w:r>
        <w:rPr>
          <w:rFonts w:hint="eastAsia" w:ascii="仿宋_GB2312" w:hAnsi="仿宋_GB2312" w:eastAsia="仿宋_GB2312" w:cs="仿宋_GB2312"/>
          <w:sz w:val="32"/>
          <w:szCs w:val="32"/>
          <w:highlight w:val="none"/>
        </w:rPr>
        <w:t>，工作日上午9:00—12:00，下午2:00—6:00。</w:t>
      </w:r>
    </w:p>
    <w:p w14:paraId="4D4A6204">
      <w:pPr>
        <w:keepNext w:val="0"/>
        <w:keepLines w:val="0"/>
        <w:pageBreakBefore w:val="0"/>
        <w:kinsoku/>
        <w:wordWrap/>
        <w:overflowPunct/>
        <w:topLinePunct w:val="0"/>
        <w:autoSpaceDE/>
        <w:autoSpaceDN/>
        <w:bidi w:val="0"/>
        <w:adjustRightInd/>
        <w:snapToGrid/>
        <w:spacing w:line="560" w:lineRule="exact"/>
        <w:ind w:firstLine="629"/>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技术支持：</w:t>
      </w:r>
    </w:p>
    <w:p w14:paraId="5AAEBA4F">
      <w:pPr>
        <w:keepNext w:val="0"/>
        <w:keepLines w:val="0"/>
        <w:pageBreakBefore w:val="0"/>
        <w:kinsoku/>
        <w:wordWrap/>
        <w:overflowPunct/>
        <w:topLinePunct w:val="0"/>
        <w:autoSpaceDE/>
        <w:autoSpaceDN/>
        <w:bidi w:val="0"/>
        <w:adjustRightInd/>
        <w:snapToGrid/>
        <w:spacing w:line="560" w:lineRule="exact"/>
        <w:ind w:firstLine="640" w:firstLineChars="200"/>
        <w:rPr>
          <w:rFonts w:eastAsia="仿宋_GB2312"/>
          <w:sz w:val="32"/>
          <w:szCs w:val="32"/>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83509638</w:t>
      </w:r>
      <w:r>
        <w:rPr>
          <w:rFonts w:hint="eastAsia" w:ascii="仿宋_GB2312" w:hAnsi="仿宋_GB2312" w:eastAsia="仿宋_GB2312" w:cs="仿宋_GB2312"/>
          <w:sz w:val="32"/>
          <w:szCs w:val="32"/>
          <w:highlight w:val="none"/>
        </w:rPr>
        <w:t>，工作日上午9:00—12:00，下午2:00—6:00。</w:t>
      </w:r>
    </w:p>
    <w:p w14:paraId="3F7494F9">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6133ED90">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9D4DD54">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5F1F8138">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EA4932-34A9-4133-858C-AC8FBC6240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D2CE518-40FF-431F-A12D-DCABD8690347}"/>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A9863512-30C1-4907-9717-F76B5A5B2E73}"/>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D10A3"/>
    <w:rsid w:val="000E1FC3"/>
    <w:rsid w:val="000F62F2"/>
    <w:rsid w:val="001145E7"/>
    <w:rsid w:val="0014221F"/>
    <w:rsid w:val="00161422"/>
    <w:rsid w:val="00161CCE"/>
    <w:rsid w:val="001D01C3"/>
    <w:rsid w:val="002838D9"/>
    <w:rsid w:val="00286368"/>
    <w:rsid w:val="002E5F57"/>
    <w:rsid w:val="003261A5"/>
    <w:rsid w:val="00360EF1"/>
    <w:rsid w:val="00395968"/>
    <w:rsid w:val="00406832"/>
    <w:rsid w:val="0041265B"/>
    <w:rsid w:val="00441959"/>
    <w:rsid w:val="00457B4D"/>
    <w:rsid w:val="00607451"/>
    <w:rsid w:val="006357FB"/>
    <w:rsid w:val="006A1513"/>
    <w:rsid w:val="006A7AF6"/>
    <w:rsid w:val="006C3062"/>
    <w:rsid w:val="006D0140"/>
    <w:rsid w:val="006D68C7"/>
    <w:rsid w:val="00710378"/>
    <w:rsid w:val="00777967"/>
    <w:rsid w:val="007B179B"/>
    <w:rsid w:val="007C325C"/>
    <w:rsid w:val="008155DD"/>
    <w:rsid w:val="008402DF"/>
    <w:rsid w:val="00844BDB"/>
    <w:rsid w:val="00872768"/>
    <w:rsid w:val="008C01BB"/>
    <w:rsid w:val="008C268D"/>
    <w:rsid w:val="00900A14"/>
    <w:rsid w:val="00905C47"/>
    <w:rsid w:val="00923A77"/>
    <w:rsid w:val="00936C57"/>
    <w:rsid w:val="0098077A"/>
    <w:rsid w:val="009A3E43"/>
    <w:rsid w:val="009D0342"/>
    <w:rsid w:val="00A3406B"/>
    <w:rsid w:val="00A46DE1"/>
    <w:rsid w:val="00A954F5"/>
    <w:rsid w:val="00AA7442"/>
    <w:rsid w:val="00B04E92"/>
    <w:rsid w:val="00B74D80"/>
    <w:rsid w:val="00B821A5"/>
    <w:rsid w:val="00B864D6"/>
    <w:rsid w:val="00C122AB"/>
    <w:rsid w:val="00C47030"/>
    <w:rsid w:val="00CE71B0"/>
    <w:rsid w:val="00D400E8"/>
    <w:rsid w:val="00D460B2"/>
    <w:rsid w:val="00D668C9"/>
    <w:rsid w:val="00D76185"/>
    <w:rsid w:val="00D85A9F"/>
    <w:rsid w:val="00DC323D"/>
    <w:rsid w:val="00E00347"/>
    <w:rsid w:val="00E654A3"/>
    <w:rsid w:val="00EA199B"/>
    <w:rsid w:val="00EF523D"/>
    <w:rsid w:val="00F75D0F"/>
    <w:rsid w:val="00F90892"/>
    <w:rsid w:val="00FD241F"/>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1E44EA"/>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FF2B6A"/>
    <w:rsid w:val="0A036E7D"/>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104C8"/>
    <w:rsid w:val="14A407D6"/>
    <w:rsid w:val="15026CFF"/>
    <w:rsid w:val="151415E7"/>
    <w:rsid w:val="153730CA"/>
    <w:rsid w:val="15526AEE"/>
    <w:rsid w:val="15553FBA"/>
    <w:rsid w:val="157E1A27"/>
    <w:rsid w:val="15AF3425"/>
    <w:rsid w:val="15B34768"/>
    <w:rsid w:val="15F61B74"/>
    <w:rsid w:val="160B7C23"/>
    <w:rsid w:val="162B13C4"/>
    <w:rsid w:val="17261A0A"/>
    <w:rsid w:val="17286EDC"/>
    <w:rsid w:val="172B715D"/>
    <w:rsid w:val="173A2F14"/>
    <w:rsid w:val="17AF44C7"/>
    <w:rsid w:val="17C45824"/>
    <w:rsid w:val="17C86D9E"/>
    <w:rsid w:val="183712FC"/>
    <w:rsid w:val="18416941"/>
    <w:rsid w:val="189F5C4C"/>
    <w:rsid w:val="18DF1E8D"/>
    <w:rsid w:val="18F4326C"/>
    <w:rsid w:val="19612585"/>
    <w:rsid w:val="196452DD"/>
    <w:rsid w:val="197A58E4"/>
    <w:rsid w:val="19856C91"/>
    <w:rsid w:val="19863023"/>
    <w:rsid w:val="19B8431B"/>
    <w:rsid w:val="19DB76A4"/>
    <w:rsid w:val="19EC634B"/>
    <w:rsid w:val="19F32EB8"/>
    <w:rsid w:val="1A0B0313"/>
    <w:rsid w:val="1A0C4625"/>
    <w:rsid w:val="1AB25631"/>
    <w:rsid w:val="1AC071AC"/>
    <w:rsid w:val="1AC627E0"/>
    <w:rsid w:val="1ACD4982"/>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FFAF21"/>
    <w:rsid w:val="1E3278A5"/>
    <w:rsid w:val="1E447CA3"/>
    <w:rsid w:val="1E4E99B2"/>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CC35C5"/>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980F40"/>
    <w:rsid w:val="3012512B"/>
    <w:rsid w:val="30140526"/>
    <w:rsid w:val="306E5387"/>
    <w:rsid w:val="30AB0C90"/>
    <w:rsid w:val="310A0BC4"/>
    <w:rsid w:val="31281962"/>
    <w:rsid w:val="312A1C2B"/>
    <w:rsid w:val="315A3762"/>
    <w:rsid w:val="31624147"/>
    <w:rsid w:val="31AA66BF"/>
    <w:rsid w:val="31C07511"/>
    <w:rsid w:val="31D65AF9"/>
    <w:rsid w:val="3201564A"/>
    <w:rsid w:val="321C265E"/>
    <w:rsid w:val="32343B0A"/>
    <w:rsid w:val="32A70709"/>
    <w:rsid w:val="32FE69F0"/>
    <w:rsid w:val="336A1FD6"/>
    <w:rsid w:val="336B64D8"/>
    <w:rsid w:val="33E75D8A"/>
    <w:rsid w:val="341807F9"/>
    <w:rsid w:val="342465E2"/>
    <w:rsid w:val="3464337B"/>
    <w:rsid w:val="3469157A"/>
    <w:rsid w:val="347C0671"/>
    <w:rsid w:val="34B21D2C"/>
    <w:rsid w:val="34E04A84"/>
    <w:rsid w:val="34E65163"/>
    <w:rsid w:val="35135498"/>
    <w:rsid w:val="35465824"/>
    <w:rsid w:val="354F42BD"/>
    <w:rsid w:val="3573124D"/>
    <w:rsid w:val="359527A9"/>
    <w:rsid w:val="35B56B4B"/>
    <w:rsid w:val="36744D66"/>
    <w:rsid w:val="36CA328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4F68C5"/>
    <w:rsid w:val="3B6877C8"/>
    <w:rsid w:val="3BDA7DE5"/>
    <w:rsid w:val="3C2F160E"/>
    <w:rsid w:val="3C5F033A"/>
    <w:rsid w:val="3CD117BD"/>
    <w:rsid w:val="3CF83180"/>
    <w:rsid w:val="3CFB4483"/>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BB14A8"/>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430B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13D1C"/>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04489"/>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AC45A0"/>
    <w:rsid w:val="63E9591E"/>
    <w:rsid w:val="640F4520"/>
    <w:rsid w:val="643361BA"/>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E5E045"/>
    <w:rsid w:val="67F973CE"/>
    <w:rsid w:val="6808097F"/>
    <w:rsid w:val="686076FC"/>
    <w:rsid w:val="68E479A1"/>
    <w:rsid w:val="69EA278C"/>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893371"/>
    <w:rsid w:val="6E8C71B7"/>
    <w:rsid w:val="6EA731B5"/>
    <w:rsid w:val="6EB6086C"/>
    <w:rsid w:val="6EC648DD"/>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1D06A0"/>
    <w:rsid w:val="7D274421"/>
    <w:rsid w:val="7D3D452B"/>
    <w:rsid w:val="7D957EE1"/>
    <w:rsid w:val="7DFC4CA2"/>
    <w:rsid w:val="7E137B54"/>
    <w:rsid w:val="7E4E0E62"/>
    <w:rsid w:val="7E503B32"/>
    <w:rsid w:val="7E5FE6A1"/>
    <w:rsid w:val="7E6B7B24"/>
    <w:rsid w:val="7E757D8F"/>
    <w:rsid w:val="7E782A8A"/>
    <w:rsid w:val="7EB71892"/>
    <w:rsid w:val="7EEEA71F"/>
    <w:rsid w:val="7EFFFA7B"/>
    <w:rsid w:val="7F9E3AEC"/>
    <w:rsid w:val="7FAEA6A5"/>
    <w:rsid w:val="7FBB09E5"/>
    <w:rsid w:val="7FC14E2C"/>
    <w:rsid w:val="7FDF7032"/>
    <w:rsid w:val="7FFF0FF7"/>
    <w:rsid w:val="9F6F6015"/>
    <w:rsid w:val="BDFB6234"/>
    <w:rsid w:val="C7DB93C8"/>
    <w:rsid w:val="D3FF03E4"/>
    <w:rsid w:val="DD7E7DC7"/>
    <w:rsid w:val="DE573AA8"/>
    <w:rsid w:val="DEF5E07B"/>
    <w:rsid w:val="DFAF0083"/>
    <w:rsid w:val="E67F24D6"/>
    <w:rsid w:val="ED5F5855"/>
    <w:rsid w:val="EFEEB9E2"/>
    <w:rsid w:val="F1FF1060"/>
    <w:rsid w:val="F47E6852"/>
    <w:rsid w:val="F5DBA8FA"/>
    <w:rsid w:val="F5FCB03C"/>
    <w:rsid w:val="F5FFAFBF"/>
    <w:rsid w:val="F7FBC4EC"/>
    <w:rsid w:val="F99BD93E"/>
    <w:rsid w:val="F9D6A622"/>
    <w:rsid w:val="FD3D88FC"/>
    <w:rsid w:val="FD9FE185"/>
    <w:rsid w:val="FDDF4020"/>
    <w:rsid w:val="FE5F4480"/>
    <w:rsid w:val="FEF76756"/>
    <w:rsid w:val="FFAF48AF"/>
    <w:rsid w:val="FFC3B03D"/>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1785</Words>
  <Characters>1996</Characters>
  <Lines>26</Lines>
  <Paragraphs>7</Paragraphs>
  <TotalTime>42</TotalTime>
  <ScaleCrop>false</ScaleCrop>
  <LinksUpToDate>false</LinksUpToDate>
  <CharactersWithSpaces>1996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2019-08-18T06:54:00Z</dcterms:created>
  <dc:creator>zkk</dc:creator>
  <cp:lastModifiedBy>张九峰</cp:lastModifiedBy>
  <cp:lastPrinted>2024-05-14T00:16:00Z</cp:lastPrinted>
  <dcterms:modified xsi:type="dcterms:W3CDTF">2025-10-17T08:51:22Z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eyJoZGlkIjoiYmMwMjAwZmU0MjI4MzQzMWEyZmQ1ZDhlMzBkMzRmNzMiLCJ1c2VySWQiOiI1NzIxMjEwNzMifQ==</vt:lpwstr>
  </property>
</Properties>
</file>