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3DD88">
      <w:pPr>
        <w:keepNext w:val="0"/>
        <w:keepLines w:val="0"/>
        <w:pageBreakBefore w:val="0"/>
        <w:widowControl w:val="0"/>
        <w:kinsoku/>
        <w:overflowPunct/>
        <w:topLinePunct w:val="0"/>
        <w:autoSpaceDE/>
        <w:autoSpaceDN/>
        <w:bidi w:val="0"/>
        <w:adjustRightInd/>
        <w:snapToGrid/>
        <w:spacing w:line="640" w:lineRule="exact"/>
        <w:textAlignment w:val="auto"/>
        <w:outlineLvl w:val="0"/>
        <w:rPr>
          <w:rFonts w:hint="eastAsia" w:ascii="方正小标宋简体" w:hAnsi="方正小标宋简体" w:eastAsia="方正小标宋简体" w:cs="方正小标宋简体"/>
          <w:sz w:val="44"/>
          <w:szCs w:val="44"/>
          <w:highlight w:val="none"/>
        </w:rPr>
      </w:pPr>
      <w:r>
        <w:rPr>
          <w:rFonts w:hint="eastAsia" w:ascii="黑体" w:hAnsi="黑体" w:eastAsia="黑体" w:cs="黑体"/>
          <w:color w:val="333333"/>
          <w:spacing w:val="15"/>
          <w:kern w:val="0"/>
          <w:sz w:val="32"/>
          <w:szCs w:val="32"/>
          <w:highlight w:val="none"/>
          <w:shd w:val="clear" w:color="auto" w:fill="FFFFFF"/>
        </w:rPr>
        <w:t>附件</w:t>
      </w:r>
    </w:p>
    <w:p w14:paraId="2A386A4B">
      <w:pPr>
        <w:keepNext w:val="0"/>
        <w:keepLines w:val="0"/>
        <w:pageBreakBefore w:val="0"/>
        <w:widowControl w:val="0"/>
        <w:kinsoku/>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经开区2025年高质量数据集典型案例认定奖励办事指南</w:t>
      </w:r>
    </w:p>
    <w:p w14:paraId="65BA2A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560F4B1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0843DC0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kern w:val="0"/>
          <w:sz w:val="32"/>
          <w:szCs w:val="32"/>
          <w:highlight w:val="none"/>
        </w:rPr>
      </w:pPr>
      <w:bookmarkStart w:id="0" w:name="_Hlk202864386"/>
      <w:r>
        <w:rPr>
          <w:rFonts w:hint="eastAsia" w:ascii="仿宋_GB2312" w:hAnsi="仿宋_GB2312" w:eastAsia="仿宋_GB2312" w:cs="仿宋_GB2312"/>
          <w:bCs/>
          <w:color w:val="000000"/>
          <w:kern w:val="0"/>
          <w:sz w:val="32"/>
          <w:szCs w:val="32"/>
          <w:highlight w:val="none"/>
        </w:rPr>
        <w:t>《北京经济技术开发区关于加快打造AI原生产业创新高地的若干政策》</w:t>
      </w:r>
      <w:bookmarkEnd w:id="0"/>
      <w:r>
        <w:rPr>
          <w:rFonts w:hint="eastAsia" w:ascii="仿宋_GB2312" w:hAnsi="仿宋_GB2312" w:eastAsia="仿宋_GB2312" w:cs="仿宋_GB2312"/>
          <w:bCs/>
          <w:color w:val="000000"/>
          <w:kern w:val="0"/>
          <w:sz w:val="32"/>
          <w:szCs w:val="32"/>
          <w:highlight w:val="none"/>
        </w:rPr>
        <w:t>（</w:t>
      </w:r>
      <w:r>
        <w:rPr>
          <w:rFonts w:ascii="仿宋_GB2312" w:hAnsi="仿宋_GB2312" w:eastAsia="仿宋_GB2312" w:cs="仿宋_GB2312"/>
          <w:bCs/>
          <w:color w:val="000000"/>
          <w:kern w:val="0"/>
          <w:sz w:val="32"/>
          <w:szCs w:val="32"/>
          <w:highlight w:val="none"/>
        </w:rPr>
        <w:t>京技管发〔2024〕29号</w:t>
      </w:r>
      <w:r>
        <w:rPr>
          <w:rFonts w:hint="eastAsia" w:ascii="仿宋_GB2312" w:hAnsi="仿宋_GB2312" w:eastAsia="仿宋_GB2312" w:cs="仿宋_GB2312"/>
          <w:bCs/>
          <w:color w:val="000000"/>
          <w:kern w:val="0"/>
          <w:sz w:val="32"/>
          <w:szCs w:val="32"/>
          <w:highlight w:val="none"/>
        </w:rPr>
        <w:t>）</w:t>
      </w:r>
      <w:r>
        <w:rPr>
          <w:rFonts w:hint="eastAsia" w:ascii="仿宋_GB2312" w:hAnsi="仿宋_GB2312" w:eastAsia="仿宋_GB2312" w:cs="仿宋_GB2312"/>
          <w:bCs/>
          <w:color w:val="000000"/>
          <w:kern w:val="0"/>
          <w:sz w:val="32"/>
          <w:szCs w:val="32"/>
          <w:highlight w:val="none"/>
          <w:lang w:val="en-US" w:eastAsia="zh-CN"/>
        </w:rPr>
        <w:t>第五条：打造高质量数据专区。</w:t>
      </w:r>
    </w:p>
    <w:p w14:paraId="4EB7CFA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《北京经济技术开发区加快推进数据产业高质量发展的若干措施》（京技管发〔2025〕16号）</w:t>
      </w:r>
      <w:r>
        <w:rPr>
          <w:rFonts w:hint="eastAsia" w:ascii="仿宋_GB2312" w:hAnsi="仿宋_GB2312" w:eastAsia="仿宋_GB2312" w:cs="仿宋_GB2312"/>
          <w:bCs/>
          <w:color w:val="000000"/>
          <w:kern w:val="0"/>
          <w:sz w:val="32"/>
          <w:szCs w:val="32"/>
          <w:highlight w:val="none"/>
          <w:lang w:eastAsia="zh-CN"/>
        </w:rPr>
        <w:t>第</w:t>
      </w:r>
      <w:r>
        <w:rPr>
          <w:rFonts w:hint="eastAsia" w:ascii="仿宋_GB2312" w:hAnsi="仿宋_GB2312" w:eastAsia="仿宋_GB2312" w:cs="仿宋_GB2312"/>
          <w:bCs/>
          <w:color w:val="000000"/>
          <w:kern w:val="0"/>
          <w:sz w:val="32"/>
          <w:szCs w:val="32"/>
          <w:highlight w:val="none"/>
          <w:lang w:val="en-US" w:eastAsia="zh-CN"/>
        </w:rPr>
        <w:t>9条：推动高质量数据集建设。</w:t>
      </w:r>
    </w:p>
    <w:p w14:paraId="3FAD76F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二、申报事项</w:t>
      </w:r>
    </w:p>
    <w:p w14:paraId="0735BE3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仿宋_GB2312" w:cs="仿宋_GB2312"/>
          <w:sz w:val="32"/>
          <w:szCs w:val="32"/>
          <w:highlight w:val="none"/>
        </w:rPr>
      </w:pPr>
      <w:r>
        <w:rPr>
          <w:rFonts w:hint="eastAsia" w:eastAsia="仿宋_GB2312" w:cs="仿宋_GB2312"/>
          <w:sz w:val="32"/>
          <w:szCs w:val="32"/>
          <w:highlight w:val="none"/>
        </w:rPr>
        <w:t>经开区</w:t>
      </w:r>
      <w:r>
        <w:rPr>
          <w:rFonts w:hint="eastAsia" w:ascii="仿宋_GB2312" w:eastAsia="仿宋_GB2312" w:cs="仿宋_GB2312"/>
          <w:sz w:val="32"/>
          <w:szCs w:val="32"/>
          <w:highlight w:val="none"/>
        </w:rPr>
        <w:t>2025</w:t>
      </w:r>
      <w:r>
        <w:rPr>
          <w:rFonts w:hint="eastAsia" w:eastAsia="仿宋_GB2312" w:cs="仿宋_GB2312"/>
          <w:sz w:val="32"/>
          <w:szCs w:val="32"/>
          <w:highlight w:val="none"/>
        </w:rPr>
        <w:t>年高质量数据集典型案例认定奖励</w:t>
      </w:r>
    </w:p>
    <w:p w14:paraId="3C877B4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59867897">
      <w:pPr>
        <w:keepNext w:val="0"/>
        <w:keepLines w:val="0"/>
        <w:pageBreakBefore w:val="0"/>
        <w:widowControl w:val="0"/>
        <w:kinsoku/>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val="0"/>
          <w:bCs w:val="0"/>
          <w:spacing w:val="6"/>
          <w:sz w:val="32"/>
          <w:szCs w:val="32"/>
          <w:highlight w:val="none"/>
        </w:rPr>
        <w:t>（一）</w:t>
      </w:r>
      <w:r>
        <w:rPr>
          <w:rFonts w:ascii="仿宋_GB2312" w:hAnsi="仿宋_GB2312" w:eastAsia="仿宋_GB2312" w:cs="仿宋_GB2312"/>
          <w:spacing w:val="6"/>
          <w:sz w:val="32"/>
          <w:szCs w:val="32"/>
          <w:highlight w:val="none"/>
        </w:rPr>
        <w:t>申报单位应为在</w:t>
      </w:r>
      <w:r>
        <w:rPr>
          <w:rFonts w:hint="eastAsia" w:ascii="仿宋_GB2312" w:hAnsi="仿宋_GB2312" w:eastAsia="仿宋_GB2312" w:cs="仿宋_GB2312"/>
          <w:sz w:val="32"/>
          <w:szCs w:val="32"/>
          <w:highlight w:val="none"/>
        </w:rPr>
        <w:t>亦庄新城225平方公里范围内实际</w:t>
      </w:r>
      <w:r>
        <w:rPr>
          <w:rFonts w:hint="eastAsia" w:ascii="仿宋_GB2312" w:hAnsi="仿宋_GB2312" w:eastAsia="仿宋_GB2312" w:cs="仿宋_GB2312"/>
          <w:spacing w:val="6"/>
          <w:sz w:val="32"/>
          <w:szCs w:val="32"/>
          <w:highlight w:val="none"/>
        </w:rPr>
        <w:t>依法</w:t>
      </w:r>
      <w:r>
        <w:rPr>
          <w:rFonts w:hint="eastAsia" w:ascii="仿宋_GB2312" w:hAnsi="仿宋_GB2312" w:eastAsia="仿宋_GB2312" w:cs="仿宋_GB2312"/>
          <w:sz w:val="32"/>
          <w:szCs w:val="32"/>
          <w:highlight w:val="none"/>
        </w:rPr>
        <w:t>经营</w:t>
      </w:r>
      <w:r>
        <w:rPr>
          <w:rFonts w:ascii="仿宋_GB2312" w:hAnsi="仿宋_GB2312" w:eastAsia="仿宋_GB2312" w:cs="仿宋_GB2312"/>
          <w:spacing w:val="6"/>
          <w:sz w:val="32"/>
          <w:szCs w:val="32"/>
          <w:highlight w:val="none"/>
        </w:rPr>
        <w:t>的企事业单位，具有独立法人资格，近三年</w:t>
      </w:r>
      <w:r>
        <w:rPr>
          <w:rFonts w:hint="eastAsia" w:ascii="仿宋_GB2312" w:hAnsi="仿宋_GB2312" w:eastAsia="仿宋_GB2312" w:cs="仿宋_GB2312"/>
          <w:spacing w:val="6"/>
          <w:sz w:val="32"/>
          <w:szCs w:val="32"/>
          <w:highlight w:val="none"/>
          <w:lang w:val="en-US" w:eastAsia="zh-CN"/>
        </w:rPr>
        <w:t>无重大行政处罚记录和刑事犯罪记录，未列入严重违法失信主体名单</w:t>
      </w:r>
      <w:r>
        <w:rPr>
          <w:rFonts w:ascii="仿宋_GB2312" w:hAnsi="仿宋_GB2312" w:eastAsia="仿宋_GB2312" w:cs="仿宋_GB2312"/>
          <w:spacing w:val="6"/>
          <w:sz w:val="32"/>
          <w:szCs w:val="32"/>
          <w:highlight w:val="none"/>
        </w:rPr>
        <w:t>。</w:t>
      </w:r>
    </w:p>
    <w:p w14:paraId="6BA4831D">
      <w:pPr>
        <w:keepNext w:val="0"/>
        <w:keepLines w:val="0"/>
        <w:pageBreakBefore w:val="0"/>
        <w:widowControl w:val="0"/>
        <w:kinsoku/>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val="0"/>
          <w:bCs w:val="0"/>
          <w:spacing w:val="6"/>
          <w:sz w:val="32"/>
          <w:szCs w:val="32"/>
          <w:highlight w:val="none"/>
        </w:rPr>
        <w:t>（二）重点支持</w:t>
      </w:r>
      <w:r>
        <w:rPr>
          <w:rFonts w:hint="eastAsia" w:ascii="仿宋_GB2312" w:hAnsi="仿宋_GB2312" w:eastAsia="仿宋_GB2312" w:cs="仿宋_GB2312"/>
          <w:b w:val="0"/>
          <w:bCs w:val="0"/>
          <w:color w:val="000000"/>
          <w:kern w:val="0"/>
          <w:sz w:val="32"/>
          <w:szCs w:val="32"/>
          <w:highlight w:val="none"/>
        </w:rPr>
        <w:t>医药健康、自动驾驶、具身智能、工业制造</w:t>
      </w:r>
      <w:r>
        <w:rPr>
          <w:rFonts w:hint="eastAsia" w:ascii="仿宋_GB2312" w:hAnsi="仿宋_GB2312" w:eastAsia="仿宋_GB2312" w:cs="仿宋_GB2312"/>
          <w:b w:val="0"/>
          <w:bCs w:val="0"/>
          <w:spacing w:val="6"/>
          <w:sz w:val="32"/>
          <w:szCs w:val="32"/>
          <w:highlight w:val="none"/>
        </w:rPr>
        <w:t>等领</w:t>
      </w:r>
      <w:r>
        <w:rPr>
          <w:rFonts w:hint="eastAsia" w:ascii="仿宋_GB2312" w:hAnsi="仿宋_GB2312" w:eastAsia="仿宋_GB2312" w:cs="仿宋_GB2312"/>
          <w:spacing w:val="6"/>
          <w:sz w:val="32"/>
          <w:szCs w:val="32"/>
          <w:highlight w:val="none"/>
        </w:rPr>
        <w:t>域企事业单位建设并开放高质量数据集、语料库等，形成人工智能语料库和行业数据集，通过提供标准化、多样化的数据资源，促进</w:t>
      </w:r>
      <w:r>
        <w:rPr>
          <w:rFonts w:hint="eastAsia" w:ascii="仿宋_GB2312" w:hAnsi="仿宋_GB2312" w:eastAsia="仿宋_GB2312" w:cs="仿宋_GB2312"/>
          <w:spacing w:val="6"/>
          <w:sz w:val="32"/>
          <w:szCs w:val="32"/>
          <w:highlight w:val="none"/>
          <w:lang w:val="en-US" w:eastAsia="zh-CN"/>
        </w:rPr>
        <w:t>数据产业和人工智能产业</w:t>
      </w:r>
      <w:r>
        <w:rPr>
          <w:rFonts w:hint="eastAsia" w:ascii="仿宋_GB2312" w:hAnsi="仿宋_GB2312" w:eastAsia="仿宋_GB2312" w:cs="仿宋_GB2312"/>
          <w:spacing w:val="6"/>
          <w:sz w:val="32"/>
          <w:szCs w:val="32"/>
          <w:highlight w:val="none"/>
        </w:rPr>
        <w:t>的创新。</w:t>
      </w:r>
    </w:p>
    <w:p w14:paraId="77144B6E">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val="0"/>
          <w:bCs w:val="0"/>
          <w:spacing w:val="6"/>
          <w:kern w:val="2"/>
          <w:sz w:val="32"/>
          <w:szCs w:val="32"/>
          <w:lang w:val="en-US" w:eastAsia="zh-CN" w:bidi="ar-SA"/>
        </w:rPr>
        <w:t>（三）</w:t>
      </w:r>
      <w:r>
        <w:rPr>
          <w:rFonts w:ascii="仿宋_GB2312" w:hAnsi="仿宋_GB2312" w:eastAsia="仿宋_GB2312" w:cs="仿宋_GB2312"/>
          <w:spacing w:val="6"/>
          <w:sz w:val="32"/>
          <w:szCs w:val="32"/>
          <w:highlight w:val="none"/>
        </w:rPr>
        <w:t>案例应为已实施完成的实践成果，具备先进性、创新性、示范性、合规性和</w:t>
      </w:r>
      <w:r>
        <w:rPr>
          <w:rFonts w:hint="eastAsia" w:ascii="仿宋_GB2312" w:hAnsi="仿宋_GB2312" w:eastAsia="仿宋_GB2312" w:cs="仿宋_GB2312"/>
          <w:spacing w:val="6"/>
          <w:sz w:val="32"/>
          <w:szCs w:val="32"/>
          <w:highlight w:val="none"/>
          <w:lang w:val="en-US" w:eastAsia="zh-CN"/>
        </w:rPr>
        <w:t>应用</w:t>
      </w:r>
      <w:r>
        <w:rPr>
          <w:rFonts w:ascii="仿宋_GB2312" w:hAnsi="仿宋_GB2312" w:eastAsia="仿宋_GB2312" w:cs="仿宋_GB2312"/>
          <w:spacing w:val="6"/>
          <w:sz w:val="32"/>
          <w:szCs w:val="32"/>
          <w:highlight w:val="none"/>
        </w:rPr>
        <w:t>成效</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项目相关</w:t>
      </w:r>
      <w:r>
        <w:rPr>
          <w:rFonts w:ascii="仿宋_GB2312" w:hAnsi="仿宋_GB2312" w:eastAsia="仿宋_GB2312" w:cs="仿宋_GB2312"/>
          <w:spacing w:val="6"/>
          <w:sz w:val="32"/>
          <w:szCs w:val="32"/>
          <w:highlight w:val="none"/>
        </w:rPr>
        <w:t>内容</w:t>
      </w:r>
      <w:r>
        <w:rPr>
          <w:rFonts w:hint="eastAsia" w:ascii="仿宋_GB2312" w:hAnsi="仿宋_GB2312" w:eastAsia="仿宋_GB2312" w:cs="仿宋_GB2312"/>
          <w:spacing w:val="6"/>
          <w:sz w:val="32"/>
          <w:szCs w:val="32"/>
          <w:highlight w:val="none"/>
        </w:rPr>
        <w:t>需</w:t>
      </w:r>
      <w:r>
        <w:rPr>
          <w:rFonts w:ascii="仿宋_GB2312" w:hAnsi="仿宋_GB2312" w:eastAsia="仿宋_GB2312" w:cs="仿宋_GB2312"/>
          <w:spacing w:val="6"/>
          <w:sz w:val="32"/>
          <w:szCs w:val="32"/>
          <w:highlight w:val="none"/>
        </w:rPr>
        <w:t>符合法律法规及数据安全、个人信息保护要求</w:t>
      </w:r>
      <w:r>
        <w:rPr>
          <w:rFonts w:hint="eastAsia" w:ascii="仿宋_GB2312" w:hAnsi="仿宋_GB2312" w:eastAsia="仿宋_GB2312" w:cs="仿宋_GB2312"/>
          <w:spacing w:val="6"/>
          <w:sz w:val="32"/>
          <w:szCs w:val="32"/>
          <w:highlight w:val="none"/>
        </w:rPr>
        <w:t>，不涉及个人隐私、商业秘密和国家机密</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且</w:t>
      </w:r>
      <w:r>
        <w:rPr>
          <w:rFonts w:ascii="仿宋_GB2312" w:hAnsi="仿宋_GB2312" w:eastAsia="仿宋_GB2312" w:cs="仿宋_GB2312"/>
          <w:spacing w:val="6"/>
          <w:sz w:val="32"/>
          <w:szCs w:val="32"/>
          <w:highlight w:val="none"/>
        </w:rPr>
        <w:t>无知识产权</w:t>
      </w:r>
      <w:r>
        <w:rPr>
          <w:rFonts w:hint="eastAsia" w:ascii="仿宋_GB2312" w:hAnsi="仿宋_GB2312" w:eastAsia="仿宋_GB2312" w:cs="仿宋_GB2312"/>
          <w:spacing w:val="6"/>
          <w:sz w:val="32"/>
          <w:szCs w:val="32"/>
          <w:highlight w:val="none"/>
        </w:rPr>
        <w:t>纠纷。</w:t>
      </w:r>
    </w:p>
    <w:p w14:paraId="5A98EC8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2F4F7EF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每</w:t>
      </w:r>
      <w:r>
        <w:rPr>
          <w:rFonts w:hint="eastAsia" w:ascii="仿宋_GB2312" w:hAnsi="仿宋_GB2312" w:eastAsia="仿宋_GB2312" w:cs="仿宋_GB2312"/>
          <w:sz w:val="32"/>
          <w:szCs w:val="32"/>
          <w:highlight w:val="none"/>
        </w:rPr>
        <w:t>个申报主体给予</w:t>
      </w:r>
      <w:r>
        <w:rPr>
          <w:rFonts w:hint="eastAsia" w:ascii="仿宋_GB2312" w:hAnsi="仿宋_GB2312" w:eastAsia="仿宋_GB2312" w:cs="仿宋_GB2312"/>
          <w:sz w:val="32"/>
          <w:szCs w:val="32"/>
          <w:highlight w:val="none"/>
          <w:lang w:val="en-US" w:eastAsia="zh-CN"/>
        </w:rPr>
        <w:t>最高</w:t>
      </w:r>
      <w:r>
        <w:rPr>
          <w:rFonts w:hint="eastAsia" w:ascii="仿宋_GB2312" w:hAnsi="仿宋_GB2312" w:eastAsia="仿宋_GB2312" w:cs="仿宋_GB2312"/>
          <w:sz w:val="32"/>
          <w:szCs w:val="32"/>
          <w:highlight w:val="none"/>
        </w:rPr>
        <w:t>200万元奖励，同一申报主体获得本政策奖励后，不再享受北京市级数据要素“首开放”政策的经开区配套支持。</w:t>
      </w:r>
    </w:p>
    <w:p w14:paraId="71AD5E8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（二）高质量数据集通过专家</w:t>
      </w:r>
      <w:r>
        <w:rPr>
          <w:rFonts w:hint="eastAsia" w:ascii="仿宋_GB2312" w:hAnsi="仿宋_GB2312" w:eastAsia="仿宋_GB2312" w:cs="仿宋_GB2312"/>
          <w:sz w:val="32"/>
          <w:szCs w:val="32"/>
          <w:highlight w:val="none"/>
          <w:lang w:val="en-US" w:eastAsia="zh-CN"/>
        </w:rPr>
        <w:t>评审</w:t>
      </w:r>
      <w:r>
        <w:rPr>
          <w:rFonts w:hint="eastAsia" w:ascii="仿宋_GB2312" w:hAnsi="仿宋_GB2312" w:eastAsia="仿宋_GB2312" w:cs="仿宋_GB2312"/>
          <w:sz w:val="32"/>
          <w:szCs w:val="32"/>
          <w:highlight w:val="none"/>
        </w:rPr>
        <w:t>，根据数据合规</w:t>
      </w:r>
      <w:r>
        <w:rPr>
          <w:rFonts w:hint="eastAsia" w:ascii="仿宋_GB2312" w:hAnsi="仿宋_GB2312" w:eastAsia="仿宋_GB2312" w:cs="仿宋_GB2312"/>
          <w:sz w:val="32"/>
          <w:szCs w:val="32"/>
          <w:highlight w:val="none"/>
          <w:lang w:val="en-US" w:eastAsia="zh-CN"/>
        </w:rPr>
        <w:t>性</w:t>
      </w:r>
      <w:r>
        <w:rPr>
          <w:rFonts w:hint="eastAsia" w:ascii="仿宋_GB2312" w:hAnsi="仿宋_GB2312" w:eastAsia="仿宋_GB2312" w:cs="仿宋_GB2312"/>
          <w:sz w:val="32"/>
          <w:szCs w:val="32"/>
          <w:highlight w:val="none"/>
        </w:rPr>
        <w:t>、数据质量、应用效果三大维度进行综合评分，</w:t>
      </w:r>
      <w:r>
        <w:rPr>
          <w:rFonts w:hint="eastAsia" w:ascii="仿宋_GB2312" w:hAnsi="仿宋_GB2312" w:eastAsia="仿宋_GB2312" w:cs="仿宋_GB2312"/>
          <w:sz w:val="32"/>
          <w:szCs w:val="32"/>
          <w:highlight w:val="none"/>
          <w:lang w:val="en-US" w:eastAsia="zh-CN"/>
        </w:rPr>
        <w:t>择优给予支持</w:t>
      </w:r>
      <w:r>
        <w:rPr>
          <w:rFonts w:hint="eastAsia" w:ascii="仿宋_GB2312" w:hAnsi="仿宋_GB2312" w:eastAsia="仿宋_GB2312" w:cs="仿宋_GB2312"/>
          <w:sz w:val="32"/>
          <w:szCs w:val="32"/>
          <w:highlight w:val="none"/>
        </w:rPr>
        <w:t>。</w:t>
      </w:r>
    </w:p>
    <w:p w14:paraId="3ED0F3D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每个申报主体</w:t>
      </w:r>
      <w:r>
        <w:rPr>
          <w:rFonts w:hint="eastAsia" w:ascii="仿宋_GB2312" w:hAnsi="仿宋_GB2312" w:eastAsia="仿宋_GB2312" w:cs="仿宋_GB2312"/>
          <w:b w:val="0"/>
          <w:bCs w:val="0"/>
          <w:spacing w:val="6"/>
          <w:kern w:val="2"/>
          <w:sz w:val="32"/>
          <w:szCs w:val="32"/>
          <w:lang w:val="en-US" w:eastAsia="zh-CN" w:bidi="ar-SA"/>
        </w:rPr>
        <w:t>仅限申报1个案例（案例中可填报多个数据集），</w:t>
      </w:r>
      <w:r>
        <w:rPr>
          <w:rFonts w:hint="eastAsia" w:ascii="仿宋_GB2312" w:hAnsi="仿宋_GB2312" w:eastAsia="仿宋_GB2312" w:cs="仿宋_GB2312"/>
          <w:sz w:val="32"/>
          <w:szCs w:val="32"/>
          <w:highlight w:val="none"/>
          <w:lang w:val="en-US" w:eastAsia="zh-CN"/>
        </w:rPr>
        <w:t>获得本次认定奖励支持的数据集需配合在经开区指定的数据平台上架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包含目录上架</w:t>
      </w:r>
      <w:r>
        <w:rPr>
          <w:rFonts w:hint="eastAsia" w:ascii="仿宋_GB2312" w:hAnsi="仿宋_GB2312" w:eastAsia="仿宋_GB2312" w:cs="仿宋_GB2312"/>
          <w:sz w:val="32"/>
          <w:szCs w:val="32"/>
          <w:highlight w:val="none"/>
          <w:lang w:eastAsia="zh-CN"/>
        </w:rPr>
        <w:t>）。</w:t>
      </w:r>
    </w:p>
    <w:p w14:paraId="69DB239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pacing w:val="6"/>
          <w:sz w:val="32"/>
          <w:szCs w:val="32"/>
          <w:highlight w:val="none"/>
        </w:rPr>
      </w:pPr>
      <w:r>
        <w:rPr>
          <w:rFonts w:hint="eastAsia" w:ascii="黑体" w:hAnsi="黑体" w:eastAsia="黑体" w:cs="黑体"/>
          <w:sz w:val="32"/>
          <w:szCs w:val="32"/>
          <w:highlight w:val="none"/>
        </w:rPr>
        <w:t>五、申报材料及要求</w:t>
      </w:r>
    </w:p>
    <w:p w14:paraId="3A2DD6A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highlight w:val="none"/>
        </w:rPr>
        <w:t>1.经开区高质量数据集典型案例认定奖励申报表，在线填写</w:t>
      </w:r>
      <w:r>
        <w:rPr>
          <w:rFonts w:hint="eastAsia" w:ascii="仿宋_GB2312" w:hAnsi="仿宋_GB2312" w:eastAsia="仿宋_GB2312" w:cs="仿宋_GB2312"/>
          <w:spacing w:val="6"/>
          <w:sz w:val="32"/>
          <w:szCs w:val="32"/>
          <w:highlight w:val="none"/>
        </w:rPr>
        <w:t>；</w:t>
      </w:r>
    </w:p>
    <w:p w14:paraId="7D7D508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2.企</w:t>
      </w:r>
      <w:r>
        <w:rPr>
          <w:rFonts w:hint="eastAsia" w:ascii="仿宋_GB2312" w:hAnsi="仿宋_GB2312" w:eastAsia="仿宋_GB2312" w:cs="仿宋_GB2312"/>
          <w:b w:val="0"/>
          <w:bCs w:val="0"/>
          <w:color w:val="auto"/>
          <w:sz w:val="32"/>
          <w:szCs w:val="32"/>
          <w:highlight w:val="none"/>
        </w:rPr>
        <w:t>业营业执照</w:t>
      </w:r>
      <w:r>
        <w:rPr>
          <w:rFonts w:hint="eastAsia" w:ascii="仿宋_GB2312" w:hAnsi="仿宋_GB2312" w:eastAsia="仿宋_GB2312" w:cs="仿宋_GB2312"/>
          <w:sz w:val="32"/>
          <w:szCs w:val="32"/>
          <w:highlight w:val="none"/>
        </w:rPr>
        <w:t>，选取电子证照；</w:t>
      </w:r>
    </w:p>
    <w:p w14:paraId="54E908C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3.承诺书，下载模板填写，</w:t>
      </w:r>
      <w:r>
        <w:rPr>
          <w:rFonts w:hint="eastAsia" w:ascii="仿宋_GB2312" w:hAnsi="仿宋_GB2312" w:eastAsia="仿宋_GB2312" w:cs="仿宋_GB2312"/>
          <w:spacing w:val="6"/>
          <w:sz w:val="32"/>
          <w:szCs w:val="32"/>
          <w:highlight w:val="none"/>
        </w:rPr>
        <w:t>签字</w:t>
      </w:r>
      <w:r>
        <w:rPr>
          <w:rFonts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rPr>
        <w:t>加盖公章，</w:t>
      </w:r>
      <w:r>
        <w:rPr>
          <w:rFonts w:ascii="仿宋_GB2312" w:hAnsi="仿宋_GB2312" w:eastAsia="仿宋_GB2312" w:cs="仿宋_GB2312"/>
          <w:spacing w:val="6"/>
          <w:sz w:val="32"/>
          <w:szCs w:val="32"/>
          <w:highlight w:val="none"/>
        </w:rPr>
        <w:t>彩色</w:t>
      </w:r>
      <w:r>
        <w:rPr>
          <w:rFonts w:hint="eastAsia" w:ascii="仿宋_GB2312" w:hAnsi="仿宋_GB2312" w:eastAsia="仿宋_GB2312" w:cs="仿宋_GB2312"/>
          <w:spacing w:val="6"/>
          <w:sz w:val="32"/>
          <w:szCs w:val="32"/>
          <w:highlight w:val="none"/>
        </w:rPr>
        <w:t>扫描</w:t>
      </w:r>
      <w:r>
        <w:rPr>
          <w:rFonts w:ascii="仿宋_GB2312" w:hAnsi="仿宋_GB2312" w:eastAsia="仿宋_GB2312" w:cs="仿宋_GB2312"/>
          <w:spacing w:val="6"/>
          <w:sz w:val="32"/>
          <w:szCs w:val="32"/>
          <w:highlight w:val="none"/>
        </w:rPr>
        <w:t>上传</w:t>
      </w:r>
      <w:r>
        <w:rPr>
          <w:rFonts w:hint="eastAsia" w:ascii="仿宋_GB2312" w:hAnsi="仿宋_GB2312" w:eastAsia="仿宋_GB2312" w:cs="仿宋_GB2312"/>
          <w:sz w:val="32"/>
          <w:szCs w:val="32"/>
          <w:highlight w:val="none"/>
        </w:rPr>
        <w:t>；</w:t>
      </w:r>
    </w:p>
    <w:p w14:paraId="4836A63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4.银行账户信息，下载模板填写，加盖公章，</w:t>
      </w:r>
      <w:r>
        <w:rPr>
          <w:rFonts w:ascii="仿宋_GB2312" w:hAnsi="仿宋_GB2312" w:eastAsia="仿宋_GB2312" w:cs="仿宋_GB2312"/>
          <w:spacing w:val="6"/>
          <w:sz w:val="32"/>
          <w:szCs w:val="32"/>
          <w:highlight w:val="none"/>
        </w:rPr>
        <w:t>彩色</w:t>
      </w:r>
      <w:r>
        <w:rPr>
          <w:rFonts w:hint="eastAsia" w:ascii="仿宋_GB2312" w:hAnsi="仿宋_GB2312" w:eastAsia="仿宋_GB2312" w:cs="仿宋_GB2312"/>
          <w:spacing w:val="6"/>
          <w:sz w:val="32"/>
          <w:szCs w:val="32"/>
          <w:highlight w:val="none"/>
        </w:rPr>
        <w:t>扫描</w:t>
      </w:r>
      <w:r>
        <w:rPr>
          <w:rFonts w:ascii="仿宋_GB2312" w:hAnsi="仿宋_GB2312" w:eastAsia="仿宋_GB2312" w:cs="仿宋_GB2312"/>
          <w:spacing w:val="6"/>
          <w:sz w:val="32"/>
          <w:szCs w:val="32"/>
          <w:highlight w:val="none"/>
        </w:rPr>
        <w:t>上传</w:t>
      </w:r>
      <w:r>
        <w:rPr>
          <w:rFonts w:hint="eastAsia" w:ascii="仿宋_GB2312" w:hAnsi="仿宋_GB2312" w:eastAsia="仿宋_GB2312" w:cs="仿宋_GB2312"/>
          <w:sz w:val="32"/>
          <w:szCs w:val="32"/>
          <w:highlight w:val="none"/>
        </w:rPr>
        <w:t>；</w:t>
      </w:r>
    </w:p>
    <w:p w14:paraId="71813B9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5.经开区高质量数据集典型案例认定申报书，下载模板填写，加盖公章，彩色扫描上传</w:t>
      </w:r>
      <w:r>
        <w:rPr>
          <w:rFonts w:hint="eastAsia" w:ascii="仿宋_GB2312" w:hAnsi="仿宋_GB2312" w:eastAsia="仿宋_GB2312" w:cs="仿宋_GB2312"/>
          <w:sz w:val="32"/>
          <w:szCs w:val="32"/>
          <w:highlight w:val="none"/>
          <w:lang w:eastAsia="zh-CN"/>
        </w:rPr>
        <w:t>。</w:t>
      </w:r>
    </w:p>
    <w:p w14:paraId="3204EE0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六、办理程序</w:t>
      </w:r>
    </w:p>
    <w:p w14:paraId="2D9BCE6B">
      <w:pPr>
        <w:pStyle w:val="6"/>
        <w:keepNext w:val="0"/>
        <w:keepLines w:val="0"/>
        <w:pageBreakBefore w:val="0"/>
        <w:widowControl w:val="0"/>
        <w:numPr>
          <w:ilvl w:val="255"/>
          <w:numId w:val="0"/>
        </w:numPr>
        <w:shd w:val="clear" w:color="auto" w:fill="FFFFFF"/>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highlight w:val="none"/>
        </w:rPr>
        <w:t>如未在规</w:t>
      </w:r>
      <w:r>
        <w:rPr>
          <w:rFonts w:hint="eastAsia" w:ascii="仿宋_GB2312" w:hAnsi="仿宋_GB2312" w:eastAsia="仿宋_GB2312" w:cs="仿宋_GB2312"/>
          <w:color w:val="auto"/>
          <w:sz w:val="32"/>
          <w:szCs w:val="32"/>
          <w:highlight w:val="none"/>
        </w:rPr>
        <w:t>定时间内提交申请的，视为自动放弃。</w:t>
      </w:r>
    </w:p>
    <w:p w14:paraId="619633ED">
      <w:pPr>
        <w:pStyle w:val="6"/>
        <w:keepNext w:val="0"/>
        <w:keepLines w:val="0"/>
        <w:pageBreakBefore w:val="0"/>
        <w:widowControl w:val="0"/>
        <w:numPr>
          <w:ilvl w:val="255"/>
          <w:numId w:val="0"/>
        </w:numPr>
        <w:shd w:val="clear" w:color="auto" w:fill="FFFFFF"/>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（二）</w:t>
      </w:r>
      <w:r>
        <w:rPr>
          <w:rFonts w:hint="eastAsia" w:ascii="仿宋_GB2312" w:hAnsi="仿宋_GB2312" w:eastAsia="仿宋_GB2312" w:cs="仿宋_GB2312"/>
          <w:b/>
          <w:bCs/>
          <w:color w:val="auto"/>
          <w:kern w:val="2"/>
          <w:sz w:val="32"/>
          <w:szCs w:val="32"/>
          <w:highlight w:val="none"/>
        </w:rPr>
        <w:t>初审</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r>
        <w:rPr>
          <w:rFonts w:hint="eastAsia" w:ascii="仿宋_GB2312" w:hAnsi="仿宋_GB2312" w:eastAsia="仿宋_GB2312" w:cs="仿宋_GB2312"/>
          <w:color w:val="000000"/>
          <w:kern w:val="2"/>
          <w:sz w:val="32"/>
          <w:szCs w:val="32"/>
          <w:lang w:eastAsia="zh-CN"/>
        </w:rPr>
        <w:t>。</w:t>
      </w:r>
      <w:bookmarkStart w:id="1" w:name="_GoBack"/>
      <w:bookmarkEnd w:id="1"/>
    </w:p>
    <w:p w14:paraId="1E9BAB97">
      <w:pPr>
        <w:pStyle w:val="6"/>
        <w:keepNext w:val="0"/>
        <w:keepLines w:val="0"/>
        <w:pageBreakBefore w:val="0"/>
        <w:widowControl w:val="0"/>
        <w:numPr>
          <w:ilvl w:val="255"/>
          <w:numId w:val="0"/>
        </w:numPr>
        <w:shd w:val="clear" w:color="auto" w:fill="FFFFFF"/>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三</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审核</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kern w:val="2"/>
          <w:sz w:val="32"/>
          <w:szCs w:val="32"/>
          <w:highlight w:val="none"/>
        </w:rPr>
        <w:t>北京市智慧城市基础设施</w:t>
      </w:r>
      <w:r>
        <w:rPr>
          <w:rFonts w:hint="eastAsia" w:ascii="仿宋_GB2312" w:hAnsi="仿宋_GB2312" w:eastAsia="仿宋_GB2312" w:cs="仿宋_GB2312"/>
          <w:color w:val="auto"/>
          <w:kern w:val="2"/>
          <w:sz w:val="32"/>
          <w:szCs w:val="32"/>
          <w:highlight w:val="none"/>
          <w:lang w:val="en-US" w:eastAsia="zh-CN"/>
        </w:rPr>
        <w:t>与</w:t>
      </w:r>
      <w:r>
        <w:rPr>
          <w:rFonts w:hint="eastAsia" w:ascii="仿宋_GB2312" w:hAnsi="仿宋_GB2312" w:eastAsia="仿宋_GB2312" w:cs="仿宋_GB2312"/>
          <w:color w:val="auto"/>
          <w:kern w:val="2"/>
          <w:sz w:val="32"/>
          <w:szCs w:val="32"/>
          <w:highlight w:val="none"/>
        </w:rPr>
        <w:t>智能网联汽车协同发展工作办公室</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以下简称“市双智办”</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000000"/>
          <w:kern w:val="2"/>
          <w:sz w:val="32"/>
          <w:szCs w:val="32"/>
        </w:rPr>
        <w:t>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r>
        <w:rPr>
          <w:rFonts w:hint="eastAsia" w:ascii="仿宋_GB2312" w:hAnsi="仿宋_GB2312" w:eastAsia="仿宋_GB2312" w:cs="仿宋_GB2312"/>
          <w:color w:val="auto"/>
          <w:kern w:val="2"/>
          <w:sz w:val="32"/>
          <w:szCs w:val="32"/>
          <w:highlight w:val="none"/>
        </w:rPr>
        <w:t>。</w:t>
      </w:r>
    </w:p>
    <w:p w14:paraId="43881252">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四</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b/>
          <w:bCs/>
          <w:color w:val="auto"/>
          <w:kern w:val="2"/>
          <w:sz w:val="32"/>
          <w:szCs w:val="32"/>
          <w:highlight w:val="none"/>
        </w:rPr>
        <w:t>专家评审：</w:t>
      </w:r>
      <w:r>
        <w:rPr>
          <w:rFonts w:hint="eastAsia" w:ascii="仿宋_GB2312" w:hAnsi="仿宋_GB2312" w:eastAsia="仿宋_GB2312" w:cs="仿宋_GB2312"/>
          <w:color w:val="auto"/>
          <w:kern w:val="2"/>
          <w:sz w:val="32"/>
          <w:szCs w:val="32"/>
          <w:highlight w:val="none"/>
          <w:lang w:val="en-US" w:eastAsia="zh-CN"/>
        </w:rPr>
        <w:t>市</w:t>
      </w:r>
      <w:r>
        <w:rPr>
          <w:rFonts w:hint="eastAsia" w:ascii="仿宋_GB2312" w:hAnsi="仿宋_GB2312" w:eastAsia="仿宋_GB2312" w:cs="仿宋_GB2312"/>
          <w:b w:val="0"/>
          <w:bCs w:val="0"/>
          <w:color w:val="auto"/>
          <w:kern w:val="2"/>
          <w:sz w:val="32"/>
          <w:szCs w:val="32"/>
          <w:highlight w:val="none"/>
        </w:rPr>
        <w:t>双智办</w:t>
      </w:r>
      <w:r>
        <w:rPr>
          <w:rFonts w:hint="eastAsia" w:ascii="仿宋_GB2312" w:hAnsi="仿宋_GB2312" w:eastAsia="仿宋_GB2312" w:cs="仿宋_GB2312"/>
          <w:color w:val="auto"/>
          <w:kern w:val="2"/>
          <w:sz w:val="32"/>
          <w:szCs w:val="32"/>
          <w:highlight w:val="none"/>
        </w:rPr>
        <w:t>组织专家</w:t>
      </w:r>
      <w:r>
        <w:rPr>
          <w:rFonts w:hint="eastAsia" w:ascii="仿宋_GB2312" w:hAnsi="仿宋_GB2312" w:eastAsia="仿宋_GB2312" w:cs="仿宋_GB2312"/>
          <w:color w:val="auto"/>
          <w:kern w:val="2"/>
          <w:sz w:val="32"/>
          <w:szCs w:val="32"/>
          <w:highlight w:val="none"/>
          <w:lang w:val="en-US" w:eastAsia="zh-CN"/>
        </w:rPr>
        <w:t>对申报材料进行线下评审并现场核验，评审后将结果上传至系统。</w:t>
      </w:r>
    </w:p>
    <w:p w14:paraId="2E030C07">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五</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b/>
          <w:bCs/>
          <w:color w:val="auto"/>
          <w:kern w:val="2"/>
          <w:sz w:val="32"/>
          <w:szCs w:val="32"/>
          <w:highlight w:val="none"/>
        </w:rPr>
        <w:t>确定扶持结果：</w:t>
      </w:r>
      <w:r>
        <w:rPr>
          <w:rFonts w:hint="eastAsia" w:ascii="仿宋_GB2312" w:hAnsi="仿宋_GB2312" w:eastAsia="仿宋_GB2312" w:cs="仿宋_GB2312"/>
          <w:color w:val="auto"/>
          <w:kern w:val="2"/>
          <w:sz w:val="32"/>
          <w:szCs w:val="32"/>
          <w:highlight w:val="none"/>
          <w:lang w:val="en-US" w:eastAsia="zh-CN"/>
        </w:rPr>
        <w:t>市</w:t>
      </w:r>
      <w:r>
        <w:rPr>
          <w:rFonts w:hint="eastAsia" w:ascii="仿宋_GB2312" w:hAnsi="仿宋_GB2312" w:eastAsia="仿宋_GB2312" w:cs="仿宋_GB2312"/>
          <w:b w:val="0"/>
          <w:bCs w:val="0"/>
          <w:color w:val="auto"/>
          <w:kern w:val="2"/>
          <w:sz w:val="32"/>
          <w:szCs w:val="32"/>
          <w:highlight w:val="none"/>
        </w:rPr>
        <w:t>双智办</w:t>
      </w:r>
      <w:r>
        <w:rPr>
          <w:rFonts w:hint="eastAsia" w:ascii="仿宋_GB2312" w:hAnsi="仿宋_GB2312" w:eastAsia="仿宋_GB2312" w:cs="仿宋_GB2312"/>
          <w:color w:val="auto"/>
          <w:kern w:val="2"/>
          <w:sz w:val="32"/>
          <w:szCs w:val="32"/>
          <w:highlight w:val="none"/>
        </w:rPr>
        <w:t>对审核通过的申报主体拟定兑现扶持金额。</w:t>
      </w:r>
    </w:p>
    <w:p w14:paraId="51618987">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六</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b/>
          <w:bCs/>
          <w:color w:val="auto"/>
          <w:kern w:val="2"/>
          <w:sz w:val="32"/>
          <w:szCs w:val="32"/>
          <w:highlight w:val="none"/>
        </w:rPr>
        <w:t>公示</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市双智办</w:t>
      </w:r>
      <w:r>
        <w:rPr>
          <w:rFonts w:hint="eastAsia" w:ascii="仿宋_GB2312" w:hAnsi="仿宋_GB2312" w:eastAsia="仿宋_GB2312" w:cs="仿宋_GB2312"/>
          <w:color w:val="auto"/>
          <w:kern w:val="2"/>
          <w:sz w:val="32"/>
          <w:szCs w:val="32"/>
          <w:highlight w:val="none"/>
        </w:rPr>
        <w:t>通过政策兑现综合服务平台对审核通过的申报主体进行公示。</w:t>
      </w:r>
    </w:p>
    <w:p w14:paraId="011427C9">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七</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b/>
          <w:bCs/>
          <w:color w:val="auto"/>
          <w:kern w:val="2"/>
          <w:sz w:val="32"/>
          <w:szCs w:val="32"/>
          <w:highlight w:val="none"/>
        </w:rPr>
        <w:t>资金拨付</w:t>
      </w:r>
      <w:r>
        <w:rPr>
          <w:rFonts w:hint="eastAsia" w:ascii="仿宋_GB2312" w:hAnsi="仿宋_GB2312" w:eastAsia="仿宋_GB2312" w:cs="仿宋_GB2312"/>
          <w:color w:val="auto"/>
          <w:kern w:val="2"/>
          <w:sz w:val="32"/>
          <w:szCs w:val="32"/>
          <w:highlight w:val="none"/>
        </w:rPr>
        <w:t>：经公示无异议的，完成资金拨付。</w:t>
      </w:r>
    </w:p>
    <w:p w14:paraId="61A61CE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七、主责部门</w:t>
      </w:r>
    </w:p>
    <w:p w14:paraId="781E501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kern w:val="2"/>
          <w:sz w:val="32"/>
          <w:szCs w:val="32"/>
          <w:highlight w:val="none"/>
        </w:rPr>
        <w:t>北京市智慧城市基础设施</w:t>
      </w:r>
      <w:r>
        <w:rPr>
          <w:rFonts w:hint="eastAsia" w:ascii="仿宋_GB2312" w:hAnsi="仿宋_GB2312" w:eastAsia="仿宋_GB2312" w:cs="仿宋_GB2312"/>
          <w:color w:val="auto"/>
          <w:kern w:val="2"/>
          <w:sz w:val="32"/>
          <w:szCs w:val="32"/>
          <w:highlight w:val="none"/>
          <w:lang w:val="en-US" w:eastAsia="zh-CN"/>
        </w:rPr>
        <w:t>与</w:t>
      </w:r>
      <w:r>
        <w:rPr>
          <w:rFonts w:hint="eastAsia" w:ascii="仿宋_GB2312" w:hAnsi="仿宋_GB2312" w:eastAsia="仿宋_GB2312" w:cs="仿宋_GB2312"/>
          <w:color w:val="auto"/>
          <w:kern w:val="2"/>
          <w:sz w:val="32"/>
          <w:szCs w:val="32"/>
          <w:highlight w:val="none"/>
        </w:rPr>
        <w:t>智能网联汽车协同发展工作办公室</w:t>
      </w:r>
    </w:p>
    <w:p w14:paraId="3863B21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八、申报时间</w:t>
      </w:r>
    </w:p>
    <w:p w14:paraId="284C093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年10月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日至2025年10月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日</w:t>
      </w:r>
    </w:p>
    <w:p w14:paraId="1DDAC36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九、联系方式</w:t>
      </w:r>
    </w:p>
    <w:p w14:paraId="1617611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仿宋_GB2312"/>
          <w:b w:val="0"/>
          <w:bCs w:val="0"/>
          <w:color w:val="auto"/>
          <w:sz w:val="32"/>
          <w:szCs w:val="32"/>
          <w:highlight w:val="none"/>
        </w:rPr>
      </w:pPr>
      <w:r>
        <w:rPr>
          <w:rFonts w:hint="eastAsia" w:eastAsia="仿宋_GB2312"/>
          <w:b w:val="0"/>
          <w:bCs w:val="0"/>
          <w:color w:val="auto"/>
          <w:sz w:val="32"/>
          <w:szCs w:val="32"/>
          <w:highlight w:val="none"/>
        </w:rPr>
        <w:t>政策咨询：</w:t>
      </w:r>
    </w:p>
    <w:p w14:paraId="149DD31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经开区政务服务大厅“政策申报”窗口，联系电话：010-67857687；010-67857878转4，工作日上午9:00—12:00，下午1:30—5:00。</w:t>
      </w:r>
    </w:p>
    <w:p w14:paraId="6EDB98F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eastAsia="仿宋_GB2312"/>
          <w:sz w:val="32"/>
          <w:szCs w:val="32"/>
          <w:highlight w:val="none"/>
        </w:rPr>
      </w:pPr>
      <w:r>
        <w:rPr>
          <w:rFonts w:hint="eastAsia" w:ascii="仿宋_GB2312" w:hAnsi="仿宋_GB2312" w:eastAsia="仿宋_GB2312" w:cs="仿宋_GB2312"/>
          <w:color w:val="000000"/>
          <w:kern w:val="2"/>
          <w:sz w:val="32"/>
          <w:szCs w:val="32"/>
          <w:highlight w:val="none"/>
        </w:rPr>
        <w:t>北京市智慧城市基础设施</w:t>
      </w:r>
      <w:r>
        <w:rPr>
          <w:rFonts w:hint="eastAsia" w:ascii="仿宋_GB2312" w:hAnsi="仿宋_GB2312" w:eastAsia="仿宋_GB2312" w:cs="仿宋_GB2312"/>
          <w:color w:val="000000"/>
          <w:kern w:val="2"/>
          <w:sz w:val="32"/>
          <w:szCs w:val="32"/>
          <w:highlight w:val="none"/>
          <w:lang w:val="en-US" w:eastAsia="zh-CN"/>
        </w:rPr>
        <w:t>与</w:t>
      </w:r>
      <w:r>
        <w:rPr>
          <w:rFonts w:hint="eastAsia" w:ascii="仿宋_GB2312" w:hAnsi="仿宋_GB2312" w:eastAsia="仿宋_GB2312" w:cs="仿宋_GB2312"/>
          <w:color w:val="000000"/>
          <w:kern w:val="2"/>
          <w:sz w:val="32"/>
          <w:szCs w:val="32"/>
          <w:highlight w:val="none"/>
        </w:rPr>
        <w:t>智能网联汽车协同发展工作办公室</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83508206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010-83508209</w:t>
      </w:r>
      <w:r>
        <w:rPr>
          <w:rFonts w:hint="eastAsia" w:ascii="仿宋_GB2312" w:hAnsi="仿宋_GB2312" w:eastAsia="仿宋_GB2312" w:cs="仿宋_GB2312"/>
          <w:sz w:val="32"/>
          <w:szCs w:val="32"/>
          <w:highlight w:val="none"/>
        </w:rPr>
        <w:t>，工作日上午9:00—12:00，下午2:00—6:00。</w:t>
      </w:r>
    </w:p>
    <w:p w14:paraId="48387D8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eastAsia="仿宋_GB2312"/>
          <w:b w:val="0"/>
          <w:bCs w:val="0"/>
          <w:sz w:val="32"/>
          <w:szCs w:val="32"/>
          <w:highlight w:val="none"/>
        </w:rPr>
      </w:pPr>
      <w:r>
        <w:rPr>
          <w:rFonts w:hint="eastAsia" w:eastAsia="仿宋_GB2312"/>
          <w:b w:val="0"/>
          <w:bCs w:val="0"/>
          <w:sz w:val="32"/>
          <w:szCs w:val="32"/>
          <w:highlight w:val="none"/>
        </w:rPr>
        <w:t>技术支持：</w:t>
      </w:r>
    </w:p>
    <w:p w14:paraId="5814629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638，工作日上午9:00—12:00，下午2:00—6:00。</w:t>
      </w:r>
    </w:p>
    <w:p w14:paraId="316C247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十、收费标准</w:t>
      </w:r>
    </w:p>
    <w:p w14:paraId="1488AC7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4DD876B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十一</w:t>
      </w:r>
      <w:r>
        <w:rPr>
          <w:rFonts w:hint="eastAsia" w:ascii="黑体" w:hAnsi="黑体" w:eastAsia="黑体" w:cs="黑体"/>
          <w:sz w:val="32"/>
          <w:szCs w:val="32"/>
          <w:highlight w:val="none"/>
        </w:rPr>
        <w:t>、特别说明</w:t>
      </w:r>
    </w:p>
    <w:p w14:paraId="1BCB046A">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938010-C294-4549-8F86-2CF715E04A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B3E0584-E252-4E2F-9B24-BC890B8AD48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940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FD4A8">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A7FD4A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4255E"/>
    <w:rsid w:val="00060052"/>
    <w:rsid w:val="00062C5F"/>
    <w:rsid w:val="000B5E4D"/>
    <w:rsid w:val="000F1B93"/>
    <w:rsid w:val="000F62F2"/>
    <w:rsid w:val="001145E7"/>
    <w:rsid w:val="00161422"/>
    <w:rsid w:val="00161CCE"/>
    <w:rsid w:val="001A22C0"/>
    <w:rsid w:val="0024423C"/>
    <w:rsid w:val="00251B91"/>
    <w:rsid w:val="002628C3"/>
    <w:rsid w:val="0026419F"/>
    <w:rsid w:val="002838D9"/>
    <w:rsid w:val="002B0543"/>
    <w:rsid w:val="00360EF1"/>
    <w:rsid w:val="00395968"/>
    <w:rsid w:val="003F4A0D"/>
    <w:rsid w:val="00457B4D"/>
    <w:rsid w:val="005B2EF9"/>
    <w:rsid w:val="005D6C75"/>
    <w:rsid w:val="00697607"/>
    <w:rsid w:val="006A1513"/>
    <w:rsid w:val="006A58DF"/>
    <w:rsid w:val="006D0140"/>
    <w:rsid w:val="006F601F"/>
    <w:rsid w:val="00710378"/>
    <w:rsid w:val="00785F9C"/>
    <w:rsid w:val="00844BDB"/>
    <w:rsid w:val="00875B1B"/>
    <w:rsid w:val="008D3989"/>
    <w:rsid w:val="00900A14"/>
    <w:rsid w:val="00923A77"/>
    <w:rsid w:val="009311E4"/>
    <w:rsid w:val="009620D1"/>
    <w:rsid w:val="00977114"/>
    <w:rsid w:val="0098077A"/>
    <w:rsid w:val="00A11CDB"/>
    <w:rsid w:val="00A17C87"/>
    <w:rsid w:val="00A27F0A"/>
    <w:rsid w:val="00A3406B"/>
    <w:rsid w:val="00A41BDB"/>
    <w:rsid w:val="00A72713"/>
    <w:rsid w:val="00AF0A70"/>
    <w:rsid w:val="00B74D80"/>
    <w:rsid w:val="00C122AB"/>
    <w:rsid w:val="00C14F12"/>
    <w:rsid w:val="00CB3C97"/>
    <w:rsid w:val="00D1224B"/>
    <w:rsid w:val="00D460B2"/>
    <w:rsid w:val="00D539BD"/>
    <w:rsid w:val="00D668C9"/>
    <w:rsid w:val="00D76185"/>
    <w:rsid w:val="00D85A9F"/>
    <w:rsid w:val="00E0762D"/>
    <w:rsid w:val="00E1723E"/>
    <w:rsid w:val="00E55D34"/>
    <w:rsid w:val="00E71183"/>
    <w:rsid w:val="00E8448B"/>
    <w:rsid w:val="00EA199B"/>
    <w:rsid w:val="00F066B9"/>
    <w:rsid w:val="00F94E52"/>
    <w:rsid w:val="0117739D"/>
    <w:rsid w:val="01540D91"/>
    <w:rsid w:val="01586909"/>
    <w:rsid w:val="015C7ADB"/>
    <w:rsid w:val="01861A3E"/>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4F72A69"/>
    <w:rsid w:val="052A15A0"/>
    <w:rsid w:val="05933C0C"/>
    <w:rsid w:val="05AE227A"/>
    <w:rsid w:val="05AE34A7"/>
    <w:rsid w:val="05D14D85"/>
    <w:rsid w:val="06113255"/>
    <w:rsid w:val="0646239C"/>
    <w:rsid w:val="065E7162"/>
    <w:rsid w:val="067C4C44"/>
    <w:rsid w:val="06B62BF6"/>
    <w:rsid w:val="06D3553D"/>
    <w:rsid w:val="06FE1C51"/>
    <w:rsid w:val="072A1178"/>
    <w:rsid w:val="074E6B15"/>
    <w:rsid w:val="078B6DBE"/>
    <w:rsid w:val="07936930"/>
    <w:rsid w:val="07B11C5A"/>
    <w:rsid w:val="080C664F"/>
    <w:rsid w:val="0840700F"/>
    <w:rsid w:val="08925D0E"/>
    <w:rsid w:val="089620E8"/>
    <w:rsid w:val="08A45B0A"/>
    <w:rsid w:val="08A825A4"/>
    <w:rsid w:val="08B97A0D"/>
    <w:rsid w:val="08BF34BA"/>
    <w:rsid w:val="08C33E22"/>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42BD0"/>
    <w:rsid w:val="0C3A5354"/>
    <w:rsid w:val="0C4C6FFF"/>
    <w:rsid w:val="0C7D2B96"/>
    <w:rsid w:val="0C804154"/>
    <w:rsid w:val="0C817D6C"/>
    <w:rsid w:val="0CD93D42"/>
    <w:rsid w:val="0CDE317F"/>
    <w:rsid w:val="0D0138A5"/>
    <w:rsid w:val="0D920D6C"/>
    <w:rsid w:val="0D9E4973"/>
    <w:rsid w:val="0E4A7C7C"/>
    <w:rsid w:val="0E5672B2"/>
    <w:rsid w:val="0E715E03"/>
    <w:rsid w:val="0EAB08F2"/>
    <w:rsid w:val="0EAD26D4"/>
    <w:rsid w:val="0ED00FB9"/>
    <w:rsid w:val="0EE86C1D"/>
    <w:rsid w:val="0F131376"/>
    <w:rsid w:val="0F193762"/>
    <w:rsid w:val="0F1D02E7"/>
    <w:rsid w:val="0F221A0E"/>
    <w:rsid w:val="0F7C548B"/>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13E90"/>
    <w:rsid w:val="11CA43B8"/>
    <w:rsid w:val="11D62CBE"/>
    <w:rsid w:val="121B617A"/>
    <w:rsid w:val="1252310C"/>
    <w:rsid w:val="12641F85"/>
    <w:rsid w:val="12A92CAF"/>
    <w:rsid w:val="12DD5BA9"/>
    <w:rsid w:val="12E52159"/>
    <w:rsid w:val="12EE4885"/>
    <w:rsid w:val="14036F1C"/>
    <w:rsid w:val="14051437"/>
    <w:rsid w:val="142723BB"/>
    <w:rsid w:val="14483333"/>
    <w:rsid w:val="144F1126"/>
    <w:rsid w:val="14942D13"/>
    <w:rsid w:val="14977ACF"/>
    <w:rsid w:val="14A407D6"/>
    <w:rsid w:val="15026CFF"/>
    <w:rsid w:val="151415E7"/>
    <w:rsid w:val="15357BE3"/>
    <w:rsid w:val="153730CA"/>
    <w:rsid w:val="15526AEE"/>
    <w:rsid w:val="15553FBA"/>
    <w:rsid w:val="157E1A27"/>
    <w:rsid w:val="15AF3425"/>
    <w:rsid w:val="15B34768"/>
    <w:rsid w:val="15F61B74"/>
    <w:rsid w:val="160B7C23"/>
    <w:rsid w:val="162B13C4"/>
    <w:rsid w:val="172266E5"/>
    <w:rsid w:val="17261A0A"/>
    <w:rsid w:val="17286EDC"/>
    <w:rsid w:val="173A2F14"/>
    <w:rsid w:val="17AF44C7"/>
    <w:rsid w:val="17C45824"/>
    <w:rsid w:val="17C86D9E"/>
    <w:rsid w:val="183712FC"/>
    <w:rsid w:val="18630833"/>
    <w:rsid w:val="189F5C4C"/>
    <w:rsid w:val="18A24BAA"/>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3721C8"/>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EFF1523"/>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1F7986"/>
    <w:rsid w:val="21335EBD"/>
    <w:rsid w:val="215E6650"/>
    <w:rsid w:val="217B28E0"/>
    <w:rsid w:val="21835613"/>
    <w:rsid w:val="21B6442D"/>
    <w:rsid w:val="21C06C9F"/>
    <w:rsid w:val="21D10780"/>
    <w:rsid w:val="21F93416"/>
    <w:rsid w:val="220962A9"/>
    <w:rsid w:val="22C97BF8"/>
    <w:rsid w:val="22F6591B"/>
    <w:rsid w:val="23117B7A"/>
    <w:rsid w:val="231A5872"/>
    <w:rsid w:val="23403409"/>
    <w:rsid w:val="235F00AC"/>
    <w:rsid w:val="23654BF1"/>
    <w:rsid w:val="23C93B55"/>
    <w:rsid w:val="23E34E21"/>
    <w:rsid w:val="243434E5"/>
    <w:rsid w:val="24AB3E23"/>
    <w:rsid w:val="2533284F"/>
    <w:rsid w:val="25594938"/>
    <w:rsid w:val="255A71D2"/>
    <w:rsid w:val="25A11CE0"/>
    <w:rsid w:val="25DF3625"/>
    <w:rsid w:val="261E412A"/>
    <w:rsid w:val="26446E71"/>
    <w:rsid w:val="26602BD3"/>
    <w:rsid w:val="271005EA"/>
    <w:rsid w:val="2727206E"/>
    <w:rsid w:val="273D6D1B"/>
    <w:rsid w:val="275E3649"/>
    <w:rsid w:val="2768133E"/>
    <w:rsid w:val="27721755"/>
    <w:rsid w:val="27874815"/>
    <w:rsid w:val="279059E3"/>
    <w:rsid w:val="280F6EB9"/>
    <w:rsid w:val="281D6715"/>
    <w:rsid w:val="286873FE"/>
    <w:rsid w:val="288627FF"/>
    <w:rsid w:val="28942D3D"/>
    <w:rsid w:val="28A332E9"/>
    <w:rsid w:val="29857C2F"/>
    <w:rsid w:val="29D97CC6"/>
    <w:rsid w:val="2A1D0ADC"/>
    <w:rsid w:val="2A2F78D6"/>
    <w:rsid w:val="2A5F7219"/>
    <w:rsid w:val="2A6102E1"/>
    <w:rsid w:val="2AB25697"/>
    <w:rsid w:val="2ACF7AB8"/>
    <w:rsid w:val="2B035A09"/>
    <w:rsid w:val="2B2024A7"/>
    <w:rsid w:val="2B814611"/>
    <w:rsid w:val="2B833D12"/>
    <w:rsid w:val="2B9A3833"/>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BD7843"/>
    <w:rsid w:val="2EC7536B"/>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B651C6"/>
    <w:rsid w:val="31B9703B"/>
    <w:rsid w:val="31D65AF9"/>
    <w:rsid w:val="3201564A"/>
    <w:rsid w:val="321C265E"/>
    <w:rsid w:val="32343B0A"/>
    <w:rsid w:val="32A70709"/>
    <w:rsid w:val="32FE69F0"/>
    <w:rsid w:val="336A1FD6"/>
    <w:rsid w:val="336B64D8"/>
    <w:rsid w:val="33E75D8A"/>
    <w:rsid w:val="341807F9"/>
    <w:rsid w:val="342465E2"/>
    <w:rsid w:val="34472AF3"/>
    <w:rsid w:val="3469157A"/>
    <w:rsid w:val="347C0671"/>
    <w:rsid w:val="34B21D2C"/>
    <w:rsid w:val="34E04A84"/>
    <w:rsid w:val="34E65163"/>
    <w:rsid w:val="35135498"/>
    <w:rsid w:val="35465824"/>
    <w:rsid w:val="354F42BD"/>
    <w:rsid w:val="35524153"/>
    <w:rsid w:val="3573124D"/>
    <w:rsid w:val="359527A9"/>
    <w:rsid w:val="35B56B4B"/>
    <w:rsid w:val="36553B52"/>
    <w:rsid w:val="36744D66"/>
    <w:rsid w:val="36E95DAE"/>
    <w:rsid w:val="37184DFF"/>
    <w:rsid w:val="377F37DD"/>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881EC1"/>
    <w:rsid w:val="399C38E8"/>
    <w:rsid w:val="39A60AA5"/>
    <w:rsid w:val="39C93AF0"/>
    <w:rsid w:val="3A5D281B"/>
    <w:rsid w:val="3A906CBE"/>
    <w:rsid w:val="3AA934A6"/>
    <w:rsid w:val="3B0A5D15"/>
    <w:rsid w:val="3B5D3070"/>
    <w:rsid w:val="3B6877C8"/>
    <w:rsid w:val="3BDA7DE5"/>
    <w:rsid w:val="3C2F160E"/>
    <w:rsid w:val="3C5F033A"/>
    <w:rsid w:val="3CD117BD"/>
    <w:rsid w:val="3CF83180"/>
    <w:rsid w:val="3D0B1E04"/>
    <w:rsid w:val="3D23696B"/>
    <w:rsid w:val="3D2A4B02"/>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12D73"/>
    <w:rsid w:val="41A74911"/>
    <w:rsid w:val="41C24932"/>
    <w:rsid w:val="41EE09AD"/>
    <w:rsid w:val="42271CA4"/>
    <w:rsid w:val="423A4979"/>
    <w:rsid w:val="42553C37"/>
    <w:rsid w:val="4275720E"/>
    <w:rsid w:val="42AB283A"/>
    <w:rsid w:val="43465CD3"/>
    <w:rsid w:val="44256103"/>
    <w:rsid w:val="444923EA"/>
    <w:rsid w:val="445E5EFA"/>
    <w:rsid w:val="445F1218"/>
    <w:rsid w:val="44993F4E"/>
    <w:rsid w:val="44AB2017"/>
    <w:rsid w:val="44F72146"/>
    <w:rsid w:val="45276590"/>
    <w:rsid w:val="452B2CE7"/>
    <w:rsid w:val="459F5DC5"/>
    <w:rsid w:val="45C327BF"/>
    <w:rsid w:val="45DB5022"/>
    <w:rsid w:val="45DE6545"/>
    <w:rsid w:val="4634401A"/>
    <w:rsid w:val="46352992"/>
    <w:rsid w:val="467F7F60"/>
    <w:rsid w:val="469D497C"/>
    <w:rsid w:val="46C07C6D"/>
    <w:rsid w:val="46D25CC8"/>
    <w:rsid w:val="46D46FCB"/>
    <w:rsid w:val="46F44A2C"/>
    <w:rsid w:val="46F87A1F"/>
    <w:rsid w:val="473F0C29"/>
    <w:rsid w:val="474159DD"/>
    <w:rsid w:val="477D06E8"/>
    <w:rsid w:val="48045B63"/>
    <w:rsid w:val="484F2842"/>
    <w:rsid w:val="49006A23"/>
    <w:rsid w:val="492A682B"/>
    <w:rsid w:val="49596A53"/>
    <w:rsid w:val="49973A0E"/>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2C3E04"/>
    <w:rsid w:val="4F6A651C"/>
    <w:rsid w:val="4F721548"/>
    <w:rsid w:val="4FA73771"/>
    <w:rsid w:val="4FD4377C"/>
    <w:rsid w:val="4FFF4C5B"/>
    <w:rsid w:val="50086DF5"/>
    <w:rsid w:val="508E5ABD"/>
    <w:rsid w:val="50A336F5"/>
    <w:rsid w:val="50AC504D"/>
    <w:rsid w:val="50BD79A6"/>
    <w:rsid w:val="510D1202"/>
    <w:rsid w:val="515D1CF8"/>
    <w:rsid w:val="515D60CA"/>
    <w:rsid w:val="51714084"/>
    <w:rsid w:val="51AA50CA"/>
    <w:rsid w:val="51D12D37"/>
    <w:rsid w:val="51E46BB8"/>
    <w:rsid w:val="521F04B3"/>
    <w:rsid w:val="528E639D"/>
    <w:rsid w:val="52DD0D54"/>
    <w:rsid w:val="52DE0B2A"/>
    <w:rsid w:val="52E63BA6"/>
    <w:rsid w:val="52E7230E"/>
    <w:rsid w:val="53073C5C"/>
    <w:rsid w:val="53651256"/>
    <w:rsid w:val="53682722"/>
    <w:rsid w:val="53857348"/>
    <w:rsid w:val="53AD3C9D"/>
    <w:rsid w:val="543A5B0D"/>
    <w:rsid w:val="54504F86"/>
    <w:rsid w:val="545F151F"/>
    <w:rsid w:val="5462681B"/>
    <w:rsid w:val="54FF0C4E"/>
    <w:rsid w:val="5529718A"/>
    <w:rsid w:val="55560136"/>
    <w:rsid w:val="556569E9"/>
    <w:rsid w:val="558D031D"/>
    <w:rsid w:val="55983A56"/>
    <w:rsid w:val="55B7728F"/>
    <w:rsid w:val="55F24B54"/>
    <w:rsid w:val="56011E88"/>
    <w:rsid w:val="56115940"/>
    <w:rsid w:val="56352C58"/>
    <w:rsid w:val="56354EBD"/>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B25BA"/>
    <w:rsid w:val="5CAC0B80"/>
    <w:rsid w:val="5CE23BD6"/>
    <w:rsid w:val="5CE71088"/>
    <w:rsid w:val="5CFF4E17"/>
    <w:rsid w:val="5D0225F7"/>
    <w:rsid w:val="5D1237AB"/>
    <w:rsid w:val="5D2F6E5E"/>
    <w:rsid w:val="5D442416"/>
    <w:rsid w:val="5D5933A3"/>
    <w:rsid w:val="5D5B7524"/>
    <w:rsid w:val="5D731173"/>
    <w:rsid w:val="5DB61076"/>
    <w:rsid w:val="5DB96EBE"/>
    <w:rsid w:val="5DC8AAA6"/>
    <w:rsid w:val="5DFA426F"/>
    <w:rsid w:val="5E60221A"/>
    <w:rsid w:val="5E852B06"/>
    <w:rsid w:val="5EBB0773"/>
    <w:rsid w:val="5EC9424F"/>
    <w:rsid w:val="5F3F6EB7"/>
    <w:rsid w:val="5F595787"/>
    <w:rsid w:val="5F5A2EFF"/>
    <w:rsid w:val="5F7E4A33"/>
    <w:rsid w:val="5F8D1C46"/>
    <w:rsid w:val="5FBD03D0"/>
    <w:rsid w:val="5FE217D2"/>
    <w:rsid w:val="5FE50B69"/>
    <w:rsid w:val="601B4866"/>
    <w:rsid w:val="60303D05"/>
    <w:rsid w:val="60386110"/>
    <w:rsid w:val="606977B6"/>
    <w:rsid w:val="60B75222"/>
    <w:rsid w:val="61002B0E"/>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90877"/>
    <w:rsid w:val="64CE25B3"/>
    <w:rsid w:val="64DB4BB5"/>
    <w:rsid w:val="65155138"/>
    <w:rsid w:val="65342BA2"/>
    <w:rsid w:val="658A3C2E"/>
    <w:rsid w:val="65BE0B5B"/>
    <w:rsid w:val="65EE1625"/>
    <w:rsid w:val="667B70FF"/>
    <w:rsid w:val="66815ECF"/>
    <w:rsid w:val="668D4153"/>
    <w:rsid w:val="66A82973"/>
    <w:rsid w:val="672E0D6A"/>
    <w:rsid w:val="677F638E"/>
    <w:rsid w:val="67C1331A"/>
    <w:rsid w:val="67C352B0"/>
    <w:rsid w:val="67E10ABE"/>
    <w:rsid w:val="67F973CE"/>
    <w:rsid w:val="6808097F"/>
    <w:rsid w:val="686076FC"/>
    <w:rsid w:val="68787577"/>
    <w:rsid w:val="68E479A1"/>
    <w:rsid w:val="6A2A6786"/>
    <w:rsid w:val="6A726CF2"/>
    <w:rsid w:val="6A7C3B1B"/>
    <w:rsid w:val="6A9153AF"/>
    <w:rsid w:val="6A9A5399"/>
    <w:rsid w:val="6B3F3AAD"/>
    <w:rsid w:val="6B891093"/>
    <w:rsid w:val="6BA55CDC"/>
    <w:rsid w:val="6BC177C6"/>
    <w:rsid w:val="6BC37DD4"/>
    <w:rsid w:val="6C021C08"/>
    <w:rsid w:val="6C0A466E"/>
    <w:rsid w:val="6C1948F8"/>
    <w:rsid w:val="6C4D6808"/>
    <w:rsid w:val="6C6D519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967083"/>
    <w:rsid w:val="71D07EE4"/>
    <w:rsid w:val="71FA53E2"/>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5FD29E0"/>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565DF9"/>
    <w:rsid w:val="7A74162C"/>
    <w:rsid w:val="7B201A3E"/>
    <w:rsid w:val="7B3C52F1"/>
    <w:rsid w:val="7B9D0472"/>
    <w:rsid w:val="7BA046F3"/>
    <w:rsid w:val="7BC37346"/>
    <w:rsid w:val="7BE71A21"/>
    <w:rsid w:val="7BF87E00"/>
    <w:rsid w:val="7C064DA7"/>
    <w:rsid w:val="7C0A2379"/>
    <w:rsid w:val="7C551636"/>
    <w:rsid w:val="7C5F3CF1"/>
    <w:rsid w:val="7C697AB1"/>
    <w:rsid w:val="7C9C2DAE"/>
    <w:rsid w:val="7CB460B3"/>
    <w:rsid w:val="7CD445C4"/>
    <w:rsid w:val="7CED17F8"/>
    <w:rsid w:val="7CF17B62"/>
    <w:rsid w:val="7D274421"/>
    <w:rsid w:val="7D3D452B"/>
    <w:rsid w:val="7D957EE1"/>
    <w:rsid w:val="7DFC4CA2"/>
    <w:rsid w:val="7E137B54"/>
    <w:rsid w:val="7E297BC2"/>
    <w:rsid w:val="7E4E0E62"/>
    <w:rsid w:val="7E503B32"/>
    <w:rsid w:val="7E6B7B24"/>
    <w:rsid w:val="7E757D8F"/>
    <w:rsid w:val="7E782A8A"/>
    <w:rsid w:val="7EFFFA7B"/>
    <w:rsid w:val="7FC14E2C"/>
    <w:rsid w:val="7FFB8B28"/>
    <w:rsid w:val="9F6F6015"/>
    <w:rsid w:val="BFCDAA66"/>
    <w:rsid w:val="C7DB93C8"/>
    <w:rsid w:val="DD7E7DC7"/>
    <w:rsid w:val="DEF5E07B"/>
    <w:rsid w:val="EFEEB9E2"/>
    <w:rsid w:val="F4EF9BD6"/>
    <w:rsid w:val="F5DBA8FA"/>
    <w:rsid w:val="F7F9537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页眉 字符"/>
    <w:basedOn w:val="10"/>
    <w:link w:val="5"/>
    <w:qFormat/>
    <w:uiPriority w:val="0"/>
    <w:rPr>
      <w:kern w:val="2"/>
      <w:sz w:val="18"/>
      <w:szCs w:val="18"/>
    </w:rPr>
  </w:style>
  <w:style w:type="character" w:customStyle="1" w:styleId="15">
    <w:name w:val="页脚 字符"/>
    <w:basedOn w:val="10"/>
    <w:link w:val="4"/>
    <w:qFormat/>
    <w:uiPriority w:val="0"/>
    <w:rPr>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0"/>
    <w:link w:val="2"/>
    <w:qFormat/>
    <w:uiPriority w:val="0"/>
    <w:rPr>
      <w:kern w:val="2"/>
      <w:sz w:val="21"/>
      <w:szCs w:val="24"/>
    </w:rPr>
  </w:style>
  <w:style w:type="character" w:customStyle="1" w:styleId="18">
    <w:name w:val="批注主题 字符"/>
    <w:basedOn w:val="17"/>
    <w:link w:val="7"/>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1341</Words>
  <Characters>1522</Characters>
  <Lines>18</Lines>
  <Paragraphs>5</Paragraphs>
  <TotalTime>10</TotalTime>
  <ScaleCrop>false</ScaleCrop>
  <LinksUpToDate>false</LinksUpToDate>
  <CharactersWithSpaces>1522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2019-08-14T22:54:00Z</dcterms:created>
  <dc:creator>zkk</dc:creator>
  <cp:lastModifiedBy>张九峰</cp:lastModifiedBy>
  <cp:lastPrinted>2020-03-24T19:03:00Z</cp:lastPrinted>
  <dcterms:modified xsi:type="dcterms:W3CDTF">2025-10-13T02:53:05Z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DFB0051EC98C4396992B4D6E386DAD9D_13</vt:lpwstr>
  </property>
  <property fmtid="{D5CDD505-2E9C-101B-9397-08002B2CF9AE}" pid="4" name="KSOTemplateDocerSaveRecord">
    <vt:lpwstr>eyJoZGlkIjoiOWM1Mzc2MjE5NTgyYzE2MmNhNmVjMDI5ZGRjZDNlNzAiLCJ1c2VySWQiOiIzMjczMzQzNjQifQ==</vt:lpwstr>
  </property>
</Properties>
</file>