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left"/>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2025年国际化产业园区建设奖励</w:t>
      </w:r>
    </w:p>
    <w:p>
      <w:pPr>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spacing w:line="560" w:lineRule="exact"/>
        <w:ind w:firstLine="0" w:firstLineChars="0"/>
        <w:jc w:val="center"/>
        <w:rPr>
          <w:rFonts w:hint="eastAsia" w:ascii="方正小标宋简体" w:hAnsi="方正小标宋简体" w:eastAsia="方正小标宋简体" w:cs="方正小标宋简体"/>
          <w:sz w:val="32"/>
          <w:szCs w:val="32"/>
        </w:rPr>
      </w:pPr>
    </w:p>
    <w:p>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一、政策依据</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《北京经济技术开发区关于支持外商投资企业高质量发展的若干政策》（京技管发〔2024〕13号）（以下简称“外资政策”）第七条“</w:t>
      </w:r>
      <w:r>
        <w:rPr>
          <w:rFonts w:ascii="仿宋_GB2312" w:hAnsi="仿宋_GB2312" w:eastAsia="仿宋_GB2312" w:cs="仿宋_GB2312"/>
          <w:sz w:val="32"/>
          <w:szCs w:val="32"/>
        </w:rPr>
        <w:t>支持国际化产业园区建设。支持一批具备国际化企业承载条件和服务能力的国际化产业园区建设，对产业定位明确且符合国际化园区评定标准的，经认定给予行政审批、政务服务、配套资源开放等便利化支持。</w:t>
      </w:r>
      <w:r>
        <w:rPr>
          <w:rFonts w:hint="eastAsia" w:ascii="仿宋_GB2312" w:hAnsi="仿宋_GB2312" w:eastAsia="仿宋_GB2312" w:cs="仿宋_GB2312"/>
          <w:sz w:val="32"/>
          <w:szCs w:val="32"/>
        </w:rPr>
        <w:t>对针对国际化企业办公、生产、生活需求开展园区配套设施改造且新增相关固定资产投入(土地购置费用除外）500万元以上的，按固定资产投资的5%给予园区运营主体一次性资金扶持，最高不超过200万元人民币/年。”</w:t>
      </w:r>
    </w:p>
    <w:p>
      <w:pPr>
        <w:spacing w:line="56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二、申报事项</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2025年国际化产业园区建设奖励</w:t>
      </w:r>
    </w:p>
    <w:p>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三、申报条件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亦庄新城225平方公里范围内依法经营，202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日至2024年12月31日无重大行政处罚记录和刑事犯罪记录，未列入严重违法失信主体名单</w:t>
      </w:r>
      <w:r>
        <w:rPr>
          <w:rFonts w:hint="eastAsia"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（二）本办法适用于2024年已被认定为</w:t>
      </w:r>
      <w:r>
        <w:rPr>
          <w:rFonts w:ascii="仿宋_GB2312" w:hAnsi="仿宋_GB2312" w:eastAsia="仿宋_GB2312" w:cs="仿宋_GB2312"/>
          <w:sz w:val="32"/>
          <w:szCs w:val="32"/>
        </w:rPr>
        <w:t>国际化产业园区</w:t>
      </w:r>
      <w:r>
        <w:rPr>
          <w:rFonts w:hint="eastAsia" w:ascii="仿宋_GB2312" w:hAnsi="仿宋_GB2312" w:eastAsia="仿宋_GB2312" w:cs="仿宋_GB2312"/>
          <w:sz w:val="32"/>
          <w:szCs w:val="32"/>
        </w:rPr>
        <w:t>的园区运营主体（以下简称“园区”）。</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（三）针对国际化企业办公、生产、生活需求开展园区配套设施改造且新增相关固定资产投入</w:t>
      </w:r>
      <w:r>
        <w:rPr>
          <w:rFonts w:ascii="仿宋_GB2312" w:hAnsi="仿宋_GB2312" w:eastAsia="仿宋_GB2312" w:cs="仿宋_GB2312"/>
          <w:sz w:val="32"/>
          <w:szCs w:val="32"/>
        </w:rPr>
        <w:t>(土地购置费用除外）500万元以上的</w:t>
      </w:r>
      <w:r>
        <w:rPr>
          <w:rFonts w:hint="eastAsia"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（四）园区申报的固定资产投资项目及其资金支出应发生于 2023 年 8 月 30 日至 2024 年 12 月 31 日期间，并且应在本次奖励申报材料提交前已竣工。</w:t>
      </w:r>
    </w:p>
    <w:p>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四、支持内容及标准</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对针对国际化企业办公、生产、生活需求开展园区配套设施改造且新增相关固定资产投入</w:t>
      </w:r>
      <w:r>
        <w:rPr>
          <w:rFonts w:ascii="仿宋_GB2312" w:hAnsi="仿宋_GB2312" w:eastAsia="仿宋_GB2312" w:cs="仿宋_GB2312"/>
          <w:sz w:val="32"/>
          <w:szCs w:val="32"/>
        </w:rPr>
        <w:t>(土地购置费用除外）500万元以上的，按固定资产投资的5%给予园区运营主体一次性资金扶持，最高不超过200万元人民币/年</w:t>
      </w:r>
      <w:r>
        <w:rPr>
          <w:rFonts w:hint="eastAsia" w:ascii="仿宋_GB2312" w:hAnsi="仿宋_GB2312" w:eastAsia="仿宋_GB2312" w:cs="仿宋_GB2312"/>
          <w:sz w:val="32"/>
          <w:szCs w:val="32"/>
        </w:rPr>
        <w:t>。</w:t>
      </w:r>
    </w:p>
    <w:p>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1.国际化产业园区建设奖励申报表，在线填写；</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银行账户信息</w:t>
      </w:r>
      <w:r>
        <w:rPr>
          <w:rFonts w:hint="eastAsia" w:ascii="仿宋_GB2312" w:hAnsi="仿宋_GB2312" w:eastAsia="仿宋_GB2312" w:cs="仿宋_GB2312"/>
          <w:sz w:val="32"/>
          <w:szCs w:val="32"/>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5.园区为国际化企业办公、生产、生活需求所开展园区配套设施改造且新增相关固定资产的清单，下载模板填写，加盖公章，彩色扫描上传；</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6.投资立项批复、备案文件或决策会议纪要（若园区自主项目未进行审批和备案，需提供园区内部的立项文件或审批流程证明），原件彩色扫描上传；</w:t>
      </w:r>
    </w:p>
    <w:p>
      <w:pPr>
        <w:spacing w:line="560" w:lineRule="exact"/>
        <w:ind w:firstLine="640"/>
        <w:rPr>
          <w:rFonts w:hint="eastAsia" w:ascii="仿宋_GB2312" w:hAnsi="仿宋_GB2312" w:eastAsia="仿宋_GB2312" w:cs="仿宋_GB2312"/>
          <w:sz w:val="32"/>
          <w:szCs w:val="32"/>
        </w:rPr>
      </w:pPr>
      <w:r>
        <w:rPr>
          <w:rFonts w:hint="eastAsia" w:ascii="东文宋体" w:hAnsi="东文宋体" w:eastAsia="东文宋体" w:cs="东文宋体"/>
          <w:sz w:val="32"/>
          <w:szCs w:val="32"/>
        </w:rPr>
        <w:t>●</w:t>
      </w:r>
      <w:r>
        <w:rPr>
          <w:rFonts w:hint="eastAsia" w:ascii="仿宋_GB2312" w:hAnsi="仿宋_GB2312" w:eastAsia="仿宋_GB2312" w:cs="仿宋_GB2312"/>
          <w:sz w:val="32"/>
          <w:szCs w:val="32"/>
        </w:rPr>
        <w:t>若为建设、改造类项目，需提供材料7-10：</w:t>
      </w:r>
      <w:r>
        <w:rPr>
          <w:rFonts w:ascii="仿宋_GB2312" w:hAnsi="仿宋_GB2312" w:eastAsia="仿宋_GB2312" w:cs="仿宋_GB2312"/>
          <w:sz w:val="32"/>
          <w:szCs w:val="32"/>
        </w:rPr>
        <w:t xml:space="preserve"> </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7.项目施工合同或建材采购合同（确因特殊原因无法提供施工合同的，需提供项目行业主管部门或者项目单位出具的开工情况说明），原件彩色扫描上传；</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8.工程进度报告、验收单/报告或竣工证明，需包含实施过程记录和资产交付使用的证明，原件彩色扫描上传；</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装修改造项目</w:t>
      </w:r>
      <w:r>
        <w:rPr>
          <w:rFonts w:hint="eastAsia" w:ascii="仿宋_GB2312" w:hAnsi="仿宋_GB2312" w:eastAsia="仿宋_GB2312" w:cs="仿宋_GB2312"/>
          <w:sz w:val="32"/>
          <w:szCs w:val="32"/>
        </w:rPr>
        <w:t>原则上须按照《企业会计准则》能够确认为固定资产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需提供固定资产台账，并附对应的记账凭证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若截至申报日期仍列入“在建工程”科目（尚未结转固定资产）的投资，如确已在园区内投入使用，并发挥应用价值，可以提交相应说明。加盖公章，彩色扫描上传；</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10.项目现场照片（每张照片备注拍摄时间、拍摄地点，</w:t>
      </w:r>
      <w:r>
        <w:rPr>
          <w:rFonts w:ascii="仿宋_GB2312" w:hAnsi="仿宋_GB2312" w:eastAsia="仿宋_GB2312" w:cs="仿宋_GB2312"/>
          <w:sz w:val="32"/>
          <w:szCs w:val="32"/>
        </w:rPr>
        <w:t>照片</w:t>
      </w:r>
      <w:r>
        <w:rPr>
          <w:rFonts w:hint="eastAsia" w:ascii="仿宋_GB2312" w:hAnsi="仿宋_GB2312" w:eastAsia="仿宋_GB2312" w:cs="仿宋_GB2312"/>
          <w:sz w:val="32"/>
          <w:szCs w:val="32"/>
        </w:rPr>
        <w:t>需</w:t>
      </w:r>
      <w:r>
        <w:rPr>
          <w:rFonts w:ascii="仿宋_GB2312" w:hAnsi="仿宋_GB2312" w:eastAsia="仿宋_GB2312" w:cs="仿宋_GB2312"/>
          <w:sz w:val="32"/>
          <w:szCs w:val="32"/>
        </w:rPr>
        <w:t>看出</w:t>
      </w:r>
      <w:r>
        <w:rPr>
          <w:rFonts w:hint="eastAsia" w:ascii="仿宋_GB2312" w:hAnsi="仿宋_GB2312" w:eastAsia="仿宋_GB2312" w:cs="仿宋_GB2312"/>
          <w:sz w:val="32"/>
          <w:szCs w:val="32"/>
        </w:rPr>
        <w:t>为对应的建设、改造项目，带有“外文标识”，并注明功能场景），原件彩色扫描上传；</w:t>
      </w:r>
    </w:p>
    <w:p>
      <w:pPr>
        <w:spacing w:line="560" w:lineRule="exact"/>
        <w:ind w:firstLine="640"/>
        <w:rPr>
          <w:rFonts w:hint="eastAsia" w:ascii="仿宋_GB2312" w:hAnsi="仿宋_GB2312" w:eastAsia="仿宋_GB2312" w:cs="仿宋_GB2312"/>
          <w:sz w:val="32"/>
          <w:szCs w:val="32"/>
        </w:rPr>
      </w:pPr>
      <w:r>
        <w:rPr>
          <w:rFonts w:hint="eastAsia" w:ascii="东文宋体" w:hAnsi="东文宋体" w:eastAsia="东文宋体" w:cs="东文宋体"/>
          <w:sz w:val="32"/>
          <w:szCs w:val="32"/>
        </w:rPr>
        <w:t>●</w:t>
      </w:r>
      <w:r>
        <w:rPr>
          <w:rFonts w:hint="eastAsia" w:ascii="仿宋_GB2312" w:hAnsi="仿宋_GB2312" w:eastAsia="仿宋_GB2312" w:cs="仿宋_GB2312"/>
          <w:sz w:val="32"/>
          <w:szCs w:val="32"/>
        </w:rPr>
        <w:t>若为单纯购置类项目，需提供材料11-13：</w:t>
      </w:r>
      <w:r>
        <w:rPr>
          <w:rFonts w:ascii="仿宋_GB2312" w:hAnsi="仿宋_GB2312" w:eastAsia="仿宋_GB2312" w:cs="仿宋_GB2312"/>
          <w:sz w:val="32"/>
          <w:szCs w:val="32"/>
        </w:rPr>
        <w:t xml:space="preserve"> </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11.工程或设备采购合同，外文合同需提供第三方翻译机构出具的中文译本，原件彩色扫描上传；</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12.设备采购的记账凭证及购置设备票据，票据需与设备采购合同相对应，票据日期需在2023、</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年度（如通过报关方式采购设备，具体奖补判定时间以报关单或进口保税核注清单进口日期为准）</w:t>
      </w:r>
      <w:r>
        <w:rPr>
          <w:rFonts w:hint="eastAsia" w:ascii="仿宋_GB2312" w:hAnsi="仿宋_GB2312" w:eastAsia="仿宋_GB2312" w:cs="仿宋_GB2312"/>
          <w:sz w:val="32"/>
          <w:szCs w:val="32"/>
        </w:rPr>
        <w:t>，原件彩色扫描上传；若票据开具的名目为定制化设备、组装设备、设备改造等，则还需提供明细清单，加盖公章，彩色扫描上传；</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根据设备采购方式对应的票据要求如下：</w:t>
      </w:r>
    </w:p>
    <w:p>
      <w:pPr>
        <w:spacing w:line="560" w:lineRule="exact"/>
        <w:ind w:firstLine="640"/>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（1）</w:t>
      </w:r>
      <w:r>
        <w:rPr>
          <w:rFonts w:ascii="仿宋_GB2312" w:hAnsi="仿宋_GB2312" w:eastAsia="仿宋_GB2312" w:cs="仿宋_GB2312"/>
          <w:sz w:val="32"/>
          <w:szCs w:val="32"/>
        </w:rPr>
        <w:t>通过物流报关公司或外贸公司（仅协助园区办理报关手续）购买设备</w:t>
      </w:r>
      <w:r>
        <w:rPr>
          <w:rFonts w:hint="eastAsia" w:ascii="仿宋_GB2312" w:hAnsi="仿宋_GB2312" w:eastAsia="仿宋_GB2312" w:cs="仿宋_GB2312"/>
          <w:sz w:val="32"/>
          <w:szCs w:val="32"/>
        </w:rPr>
        <w:t>的，需提供</w:t>
      </w:r>
      <w:r>
        <w:rPr>
          <w:rFonts w:ascii="仿宋_GB2312" w:hAnsi="仿宋_GB2312" w:eastAsia="仿宋_GB2312" w:cs="仿宋_GB2312"/>
          <w:sz w:val="32"/>
          <w:szCs w:val="32"/>
        </w:rPr>
        <w:t>报关单或进口保税核注清单、关税发票（如有）、增值税发票，海外订单或发票INVOICE（如有）</w:t>
      </w:r>
      <w:r>
        <w:rPr>
          <w:rFonts w:hint="eastAsia" w:ascii="仿宋_GB2312" w:hAnsi="仿宋_GB2312" w:eastAsia="仿宋_GB2312" w:cs="仿宋_GB2312"/>
          <w:sz w:val="32"/>
          <w:szCs w:val="32"/>
        </w:rPr>
        <w:t>，原件彩色扫描上传</w:t>
      </w:r>
      <w:r>
        <w:rPr>
          <w:rFonts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通过经销商、代理商购买设备</w:t>
      </w:r>
      <w:r>
        <w:rPr>
          <w:rFonts w:hint="eastAsia" w:ascii="仿宋_GB2312" w:hAnsi="仿宋_GB2312" w:eastAsia="仿宋_GB2312" w:cs="仿宋_GB2312"/>
          <w:sz w:val="32"/>
          <w:szCs w:val="32"/>
        </w:rPr>
        <w:t>的，需提供</w:t>
      </w:r>
      <w:r>
        <w:rPr>
          <w:rFonts w:ascii="仿宋_GB2312" w:hAnsi="仿宋_GB2312" w:eastAsia="仿宋_GB2312" w:cs="仿宋_GB2312"/>
          <w:sz w:val="32"/>
          <w:szCs w:val="32"/>
        </w:rPr>
        <w:t>经销或代理资质证明材料，并提供国内发票</w:t>
      </w:r>
      <w:r>
        <w:rPr>
          <w:rFonts w:hint="eastAsia" w:ascii="仿宋_GB2312" w:hAnsi="仿宋_GB2312" w:eastAsia="仿宋_GB2312" w:cs="仿宋_GB2312"/>
          <w:sz w:val="32"/>
          <w:szCs w:val="32"/>
        </w:rPr>
        <w:t>，原件彩色扫描上传</w:t>
      </w:r>
      <w:r>
        <w:rPr>
          <w:rFonts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通过贸易公司（没有特定经销和代理资质）购买设备</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需提供贸易公司与供货商的合同（金额涉及商业秘密可不显示），并提供国内发票</w:t>
      </w:r>
      <w:r>
        <w:rPr>
          <w:rFonts w:hint="eastAsia" w:ascii="仿宋_GB2312" w:hAnsi="仿宋_GB2312" w:eastAsia="仿宋_GB2312" w:cs="仿宋_GB2312"/>
          <w:sz w:val="32"/>
          <w:szCs w:val="32"/>
        </w:rPr>
        <w:t>，原件彩色扫描上传</w:t>
      </w:r>
      <w:r>
        <w:rPr>
          <w:rFonts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直接从设备制造商处购买设备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在国内采购</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需提供国内发票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通过报关方式采购</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需提供报关单或进口保税核注清单、关税发票（如有）、增值税发票，海外订单或发票INVOICE（如有）</w:t>
      </w:r>
      <w:r>
        <w:rPr>
          <w:rFonts w:hint="eastAsia" w:ascii="仿宋_GB2312" w:hAnsi="仿宋_GB2312" w:eastAsia="仿宋_GB2312" w:cs="仿宋_GB2312"/>
          <w:sz w:val="32"/>
          <w:szCs w:val="32"/>
        </w:rPr>
        <w:t>，原件彩色扫描上传</w:t>
      </w:r>
      <w:r>
        <w:rPr>
          <w:rFonts w:ascii="仿宋_GB2312" w:hAnsi="仿宋_GB2312" w:eastAsia="仿宋_GB2312" w:cs="仿宋_GB2312"/>
          <w:sz w:val="32"/>
          <w:szCs w:val="32"/>
        </w:rPr>
        <w:t>；</w:t>
      </w:r>
    </w:p>
    <w:bookmarkEnd w:id="0"/>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13.到位设备照片（每张照片备注拍摄时间、拍摄地点，</w:t>
      </w:r>
      <w:r>
        <w:rPr>
          <w:rFonts w:ascii="仿宋_GB2312" w:hAnsi="仿宋_GB2312" w:eastAsia="仿宋_GB2312" w:cs="仿宋_GB2312"/>
          <w:sz w:val="32"/>
          <w:szCs w:val="32"/>
        </w:rPr>
        <w:t>照片需看出整体设备、设备型号</w:t>
      </w:r>
      <w:r>
        <w:rPr>
          <w:rFonts w:hint="eastAsia" w:ascii="仿宋_GB2312" w:hAnsi="仿宋_GB2312" w:eastAsia="仿宋_GB2312" w:cs="仿宋_GB2312"/>
          <w:sz w:val="32"/>
          <w:szCs w:val="32"/>
        </w:rPr>
        <w:t>，带有“外文标识”，并注明功能场景），原件彩色扫描上传；</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14.固定资产投资支付凭证，包括但不限于银行转账凭证、付款记录等，原件彩色扫描上传；</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15.企业2023年、2024年《财务审计报告》，原件彩色扫描上传（若无2024年财务审计报告的，可提供2024年新增固定资产相关的财务报表附注，加盖公章，彩色扫描上传）；</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16.其他可以证明相关固定资产投入情况的材料，原件彩色扫描上传。</w:t>
      </w:r>
    </w:p>
    <w:p>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六、办理程序</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网上申报</w:t>
      </w:r>
      <w:r>
        <w:rPr>
          <w:rFonts w:hint="eastAsia" w:ascii="仿宋_GB2312" w:hAnsi="仿宋_GB2312" w:eastAsia="仿宋_GB2312" w:cs="仿宋_GB2312"/>
          <w:sz w:val="32"/>
          <w:szCs w:val="32"/>
        </w:rPr>
        <w:t>：通过北京市人民政府门户网站“政策兑现”栏目(https://zhengce.beijing.gov.cn) 或经开区官网“政策兑现”栏目(zcdx.kfqgw.beijing.gov.cn)进入政策兑现综合服务平台，注册登录后进行项目申报。如未在规定时间内提交申请的，视为自动放弃。</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
          <w:bCs/>
          <w:sz w:val="32"/>
          <w:szCs w:val="32"/>
        </w:rPr>
        <w:t>初审</w:t>
      </w:r>
      <w:r>
        <w:rPr>
          <w:rFonts w:hint="eastAsia" w:ascii="仿宋_GB2312" w:hAnsi="仿宋_GB2312" w:eastAsia="仿宋_GB2312" w:cs="仿宋_GB2312"/>
          <w:sz w:val="32"/>
          <w:szCs w:val="32"/>
        </w:rPr>
        <w:t>：经开区营商环境建设局对申报主体提交的材料进行完整性审查，材料不齐全或不符合要求的，告知申报主体补齐补正。</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
          <w:bCs/>
          <w:sz w:val="32"/>
          <w:szCs w:val="32"/>
        </w:rPr>
        <w:t>审核</w:t>
      </w:r>
      <w:r>
        <w:rPr>
          <w:rFonts w:hint="eastAsia" w:ascii="仿宋_GB2312" w:hAnsi="仿宋_GB2312" w:eastAsia="仿宋_GB2312" w:cs="仿宋_GB2312"/>
          <w:sz w:val="32"/>
          <w:szCs w:val="32"/>
        </w:rPr>
        <w:t>：经开区商务金融局对申报材料进行实质审核。</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b/>
          <w:bCs/>
          <w:sz w:val="32"/>
          <w:szCs w:val="32"/>
        </w:rPr>
        <w:t>确定扶持结果</w:t>
      </w:r>
      <w:r>
        <w:rPr>
          <w:rFonts w:hint="eastAsia" w:ascii="仿宋_GB2312" w:hAnsi="仿宋_GB2312" w:eastAsia="仿宋_GB2312" w:cs="仿宋_GB2312"/>
          <w:sz w:val="32"/>
          <w:szCs w:val="32"/>
        </w:rPr>
        <w:t>：经开区商务金融局对审核通过的申报主体拟定兑现扶持奖励金额。</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b/>
          <w:bCs/>
          <w:sz w:val="32"/>
          <w:szCs w:val="32"/>
        </w:rPr>
        <w:t>公示</w:t>
      </w:r>
      <w:r>
        <w:rPr>
          <w:rFonts w:hint="eastAsia" w:ascii="仿宋_GB2312" w:hAnsi="仿宋_GB2312" w:eastAsia="仿宋_GB2312" w:cs="仿宋_GB2312"/>
          <w:sz w:val="32"/>
          <w:szCs w:val="32"/>
        </w:rPr>
        <w:t>：经开区商务金融局通过政策兑现综合服务平台对审核通过的申报主体进行公示。</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b/>
          <w:bCs/>
          <w:sz w:val="32"/>
          <w:szCs w:val="32"/>
        </w:rPr>
        <w:t>资金拨付</w:t>
      </w:r>
      <w:r>
        <w:rPr>
          <w:rFonts w:hint="eastAsia" w:ascii="仿宋_GB2312" w:hAnsi="仿宋_GB2312" w:eastAsia="仿宋_GB2312" w:cs="仿宋_GB2312"/>
          <w:sz w:val="32"/>
          <w:szCs w:val="32"/>
        </w:rPr>
        <w:t>：经公示无异议的，完成资金拨付。</w:t>
      </w:r>
    </w:p>
    <w:p>
      <w:pPr>
        <w:spacing w:line="56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七、主责部门</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经开区商务金融局</w:t>
      </w:r>
    </w:p>
    <w:p>
      <w:pPr>
        <w:spacing w:line="56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八、受理窗口</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pPr>
        <w:spacing w:line="56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九、申报时间</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2025年6月25日至2025年7月8日</w:t>
      </w:r>
    </w:p>
    <w:p>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十、联系方式</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政策咨询：</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经开区政务服务大厅“政策申报”窗口，联系电话：</w:t>
      </w:r>
      <w:bookmarkStart w:id="1" w:name="_GoBack"/>
      <w:bookmarkEnd w:id="1"/>
      <w:r>
        <w:rPr>
          <w:rFonts w:hint="eastAsia" w:ascii="仿宋_GB2312" w:hAnsi="仿宋_GB2312" w:eastAsia="仿宋_GB2312" w:cs="仿宋_GB2312"/>
          <w:sz w:val="32"/>
          <w:szCs w:val="32"/>
        </w:rPr>
        <w:t>010-67857687、010-67857878转4，工作日上午9:00—12:00，下午1:30—5:00。</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经开区商务金融局，联系人：刘诗凡，联系电话：010-67869064，工作日上午9:00—1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:00，下午2:00—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w:t>
      </w:r>
      <w:r>
        <w:rPr>
          <w:rFonts w:hint="eastAsia" w:ascii="仿宋_GB2312" w:hAnsi="仿宋_GB2312" w:eastAsia="仿宋_GB2312" w:cs="仿宋_GB2312"/>
          <w:sz w:val="32"/>
          <w:szCs w:val="32"/>
        </w:rPr>
        <w:tab/>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联系电话：010-67857638，工作日上午9:00—12:00，下午2:00—6:00。</w:t>
      </w:r>
    </w:p>
    <w:p>
      <w:pPr>
        <w:spacing w:line="56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十二、特别说明</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以下情况不予认定为国际化产业园区固定资产投资：</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1.尚未确认固定资产的投资（可以提供材料证明确已投入使用的除外）；</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2.不属于固定资产的流动资产、消耗品、投资品、消耗性生物资产、发放给农户的货币补贴及其他；</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相关支出在会计上作为成本费用处理的建设活动：一般包括大修理、养护、维护性质的工程，如设备维修、建筑物翻修和加固、单纯装饰装修、农田、水利工程（堤防、水库）维修、铁路大修、道路日常养护、景观维护等；</w:t>
      </w:r>
    </w:p>
    <w:p>
      <w:pPr>
        <w:pStyle w:val="15"/>
        <w:shd w:val="clear" w:color="auto" w:fill="FFFFFF"/>
        <w:wordWrap w:val="0"/>
        <w:spacing w:before="0" w:beforeAutospacing="0" w:after="0" w:afterAutospacing="0"/>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造成重复统计的：一般包括单纯购置的旧建筑物和旧设备、临时性租赁租入（融资租赁除外）的固定资产、单位购置的商品房（包括主管部门购置商品房转换为保障性住房）、单纯土地平整、土地一级开发、围海造地等；</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5.未在园区内使用的固定资产投入；</w:t>
      </w:r>
    </w:p>
    <w:p>
      <w:pPr>
        <w:pStyle w:val="15"/>
        <w:shd w:val="clear" w:color="auto" w:fill="FFFFFF"/>
        <w:wordWrap w:val="0"/>
        <w:spacing w:before="0" w:beforeAutospacing="0" w:after="0" w:afterAutospacing="0" w:line="560" w:lineRule="exact"/>
        <w:ind w:firstLine="640"/>
        <w:jc w:val="both"/>
        <w:rPr>
          <w:rFonts w:hint="eastAsia"/>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其他不符合认定条件的情况。</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85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隶书">
    <w:panose1 w:val="00000000000000000000"/>
    <w:charset w:val="00"/>
    <w:family w:val="auto"/>
    <w:pitch w:val="default"/>
    <w:sig w:usb0="00000000" w:usb1="00000000" w:usb2="00000000" w:usb3="00000000" w:csb0="00006700" w:csb1="00003C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ind w:firstLine="360"/>
          <w:jc w:val="center"/>
          <w:rPr>
            <w:rFonts w:hint="eastAsia"/>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hint="eastAsia" w:ascii="仿宋_GB2312" w:eastAsia="仿宋_GB2312"/>
            <w:sz w:val="32"/>
            <w:szCs w:val="32"/>
            <w:lang w:val="zh-CN"/>
          </w:rPr>
          <w:t>2</w:t>
        </w:r>
        <w:r>
          <w:rPr>
            <w:rFonts w:hint="eastAsia" w:ascii="仿宋_GB2312" w:eastAsia="仿宋_GB2312"/>
            <w:sz w:val="32"/>
            <w:szCs w:val="32"/>
          </w:rPr>
          <w:fldChar w:fldCharType="end"/>
        </w:r>
      </w:p>
    </w:sdtContent>
  </w:sdt>
  <w:p>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62"/>
    <w:rsid w:val="00022E7A"/>
    <w:rsid w:val="000252ED"/>
    <w:rsid w:val="00040485"/>
    <w:rsid w:val="000C4EB1"/>
    <w:rsid w:val="000E178C"/>
    <w:rsid w:val="00115AAC"/>
    <w:rsid w:val="00120215"/>
    <w:rsid w:val="0012476A"/>
    <w:rsid w:val="0016001B"/>
    <w:rsid w:val="001646F7"/>
    <w:rsid w:val="00183F83"/>
    <w:rsid w:val="001906CB"/>
    <w:rsid w:val="00192E74"/>
    <w:rsid w:val="001A2713"/>
    <w:rsid w:val="001A6607"/>
    <w:rsid w:val="001D022C"/>
    <w:rsid w:val="001D5702"/>
    <w:rsid w:val="001E7920"/>
    <w:rsid w:val="001F2D2A"/>
    <w:rsid w:val="00200570"/>
    <w:rsid w:val="00202B06"/>
    <w:rsid w:val="002106A5"/>
    <w:rsid w:val="00215500"/>
    <w:rsid w:val="002234F2"/>
    <w:rsid w:val="002254C1"/>
    <w:rsid w:val="002479B8"/>
    <w:rsid w:val="002512F2"/>
    <w:rsid w:val="00260869"/>
    <w:rsid w:val="00264652"/>
    <w:rsid w:val="002A067E"/>
    <w:rsid w:val="002A457E"/>
    <w:rsid w:val="002B78FE"/>
    <w:rsid w:val="002D3CE4"/>
    <w:rsid w:val="002E0312"/>
    <w:rsid w:val="003013F4"/>
    <w:rsid w:val="00313C48"/>
    <w:rsid w:val="00314DDB"/>
    <w:rsid w:val="00317B68"/>
    <w:rsid w:val="00335342"/>
    <w:rsid w:val="0035539F"/>
    <w:rsid w:val="00373598"/>
    <w:rsid w:val="00377913"/>
    <w:rsid w:val="0038215F"/>
    <w:rsid w:val="003963F3"/>
    <w:rsid w:val="003B7CD1"/>
    <w:rsid w:val="003C6CC8"/>
    <w:rsid w:val="003F0AA1"/>
    <w:rsid w:val="003F382A"/>
    <w:rsid w:val="003F5188"/>
    <w:rsid w:val="004023E5"/>
    <w:rsid w:val="004175C4"/>
    <w:rsid w:val="00443593"/>
    <w:rsid w:val="00460617"/>
    <w:rsid w:val="0046789B"/>
    <w:rsid w:val="0049273B"/>
    <w:rsid w:val="004A39BA"/>
    <w:rsid w:val="004E2320"/>
    <w:rsid w:val="004E353B"/>
    <w:rsid w:val="004F455D"/>
    <w:rsid w:val="004F4673"/>
    <w:rsid w:val="005002BC"/>
    <w:rsid w:val="005019CE"/>
    <w:rsid w:val="00503385"/>
    <w:rsid w:val="005163E1"/>
    <w:rsid w:val="005430B6"/>
    <w:rsid w:val="00547A72"/>
    <w:rsid w:val="005676A9"/>
    <w:rsid w:val="005870DB"/>
    <w:rsid w:val="005A1511"/>
    <w:rsid w:val="005C6E12"/>
    <w:rsid w:val="005E5E78"/>
    <w:rsid w:val="0062019E"/>
    <w:rsid w:val="00664BC3"/>
    <w:rsid w:val="006A7C87"/>
    <w:rsid w:val="007028B4"/>
    <w:rsid w:val="00707568"/>
    <w:rsid w:val="00707C33"/>
    <w:rsid w:val="00713E42"/>
    <w:rsid w:val="00723A33"/>
    <w:rsid w:val="007250AD"/>
    <w:rsid w:val="007956AE"/>
    <w:rsid w:val="007A1C30"/>
    <w:rsid w:val="007A32AB"/>
    <w:rsid w:val="007A79B9"/>
    <w:rsid w:val="007C3F07"/>
    <w:rsid w:val="007D0CA8"/>
    <w:rsid w:val="007D4044"/>
    <w:rsid w:val="007E43A7"/>
    <w:rsid w:val="0080742E"/>
    <w:rsid w:val="00816E12"/>
    <w:rsid w:val="00827BC7"/>
    <w:rsid w:val="00834048"/>
    <w:rsid w:val="00837D6A"/>
    <w:rsid w:val="0089042A"/>
    <w:rsid w:val="008A231F"/>
    <w:rsid w:val="008A75F5"/>
    <w:rsid w:val="008D3580"/>
    <w:rsid w:val="008D465B"/>
    <w:rsid w:val="009010DB"/>
    <w:rsid w:val="009761F3"/>
    <w:rsid w:val="00A32021"/>
    <w:rsid w:val="00A3592C"/>
    <w:rsid w:val="00A52393"/>
    <w:rsid w:val="00A57462"/>
    <w:rsid w:val="00A64F67"/>
    <w:rsid w:val="00A73187"/>
    <w:rsid w:val="00A76638"/>
    <w:rsid w:val="00A8038A"/>
    <w:rsid w:val="00A90E35"/>
    <w:rsid w:val="00A90F7F"/>
    <w:rsid w:val="00AC4BD8"/>
    <w:rsid w:val="00AE581D"/>
    <w:rsid w:val="00B005E1"/>
    <w:rsid w:val="00B02933"/>
    <w:rsid w:val="00B32261"/>
    <w:rsid w:val="00B34D8E"/>
    <w:rsid w:val="00B37D51"/>
    <w:rsid w:val="00B70BAC"/>
    <w:rsid w:val="00B810C4"/>
    <w:rsid w:val="00B82164"/>
    <w:rsid w:val="00B87DFE"/>
    <w:rsid w:val="00B92BFE"/>
    <w:rsid w:val="00BB4D04"/>
    <w:rsid w:val="00BB7CEE"/>
    <w:rsid w:val="00BD0689"/>
    <w:rsid w:val="00C21B94"/>
    <w:rsid w:val="00C310FE"/>
    <w:rsid w:val="00C432D7"/>
    <w:rsid w:val="00C520D8"/>
    <w:rsid w:val="00CB6FAB"/>
    <w:rsid w:val="00CC453C"/>
    <w:rsid w:val="00D01C7E"/>
    <w:rsid w:val="00D10F59"/>
    <w:rsid w:val="00D23B91"/>
    <w:rsid w:val="00D42E22"/>
    <w:rsid w:val="00D603F5"/>
    <w:rsid w:val="00D7086F"/>
    <w:rsid w:val="00D7257B"/>
    <w:rsid w:val="00D7392E"/>
    <w:rsid w:val="00D75BE8"/>
    <w:rsid w:val="00D76B23"/>
    <w:rsid w:val="00D91573"/>
    <w:rsid w:val="00DC6965"/>
    <w:rsid w:val="00DC6A18"/>
    <w:rsid w:val="00DE1DC4"/>
    <w:rsid w:val="00E0642F"/>
    <w:rsid w:val="00E10281"/>
    <w:rsid w:val="00E136E7"/>
    <w:rsid w:val="00E23CDF"/>
    <w:rsid w:val="00E4577B"/>
    <w:rsid w:val="00E5221C"/>
    <w:rsid w:val="00E63257"/>
    <w:rsid w:val="00E71CCF"/>
    <w:rsid w:val="00EA34D2"/>
    <w:rsid w:val="00EC233D"/>
    <w:rsid w:val="00EC47B7"/>
    <w:rsid w:val="00EC76FA"/>
    <w:rsid w:val="00ED5A35"/>
    <w:rsid w:val="00F31BC0"/>
    <w:rsid w:val="00F34280"/>
    <w:rsid w:val="00F40065"/>
    <w:rsid w:val="00F53E25"/>
    <w:rsid w:val="00F6687B"/>
    <w:rsid w:val="00F85F27"/>
    <w:rsid w:val="00F86413"/>
    <w:rsid w:val="00FB6A40"/>
    <w:rsid w:val="00FD6ADD"/>
    <w:rsid w:val="00FE6F15"/>
    <w:rsid w:val="07C3BBFA"/>
    <w:rsid w:val="1E8F7C89"/>
    <w:rsid w:val="314C66EA"/>
    <w:rsid w:val="35FF5BD6"/>
    <w:rsid w:val="37139B03"/>
    <w:rsid w:val="49A707A3"/>
    <w:rsid w:val="59FBCE38"/>
    <w:rsid w:val="5DFD116E"/>
    <w:rsid w:val="66FF07BB"/>
    <w:rsid w:val="6FEF59F9"/>
    <w:rsid w:val="75DF7459"/>
    <w:rsid w:val="77F71C2E"/>
    <w:rsid w:val="7CF5E556"/>
    <w:rsid w:val="7DF70B88"/>
    <w:rsid w:val="7FFEA3A8"/>
    <w:rsid w:val="7FFF57CB"/>
    <w:rsid w:val="AED7CB9D"/>
    <w:rsid w:val="B3FD998E"/>
    <w:rsid w:val="B4B930C8"/>
    <w:rsid w:val="BBB7EE8B"/>
    <w:rsid w:val="BD72BDFC"/>
    <w:rsid w:val="BF7F7C7E"/>
    <w:rsid w:val="BFDF92CD"/>
    <w:rsid w:val="BFF5175D"/>
    <w:rsid w:val="DEFBE8B7"/>
    <w:rsid w:val="E17F64A1"/>
    <w:rsid w:val="F8FD17BE"/>
    <w:rsid w:val="FBB7BE46"/>
    <w:rsid w:val="FEF765E8"/>
    <w:rsid w:val="FF26E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qFormat/>
    <w:uiPriority w:val="0"/>
    <w:pPr>
      <w:jc w:val="left"/>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2"/>
    <w:semiHidden/>
    <w:unhideWhenUsed/>
    <w:qFormat/>
    <w:uiPriority w:val="99"/>
    <w:rPr>
      <w:b/>
      <w:bCs/>
    </w:rPr>
  </w:style>
  <w:style w:type="character" w:styleId="20">
    <w:name w:val="annotation reference"/>
    <w:basedOn w:val="19"/>
    <w:qFormat/>
    <w:uiPriority w:val="0"/>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character" w:customStyle="1" w:styleId="41">
    <w:name w:val="批注文字 字符"/>
    <w:basedOn w:val="19"/>
    <w:link w:val="11"/>
    <w:qFormat/>
    <w:uiPriority w:val="0"/>
    <w:rPr>
      <w:rFonts w:eastAsia="宋体"/>
      <w:sz w:val="24"/>
      <w:szCs w:val="24"/>
    </w:rPr>
  </w:style>
  <w:style w:type="character" w:customStyle="1" w:styleId="42">
    <w:name w:val="批注主题 字符"/>
    <w:basedOn w:val="41"/>
    <w:link w:val="17"/>
    <w:semiHidden/>
    <w:qFormat/>
    <w:uiPriority w:val="99"/>
    <w:rPr>
      <w:rFonts w:eastAsia="宋体"/>
      <w:b/>
      <w:bCs/>
      <w:sz w:val="24"/>
      <w:szCs w:val="24"/>
    </w:rPr>
  </w:style>
  <w:style w:type="paragraph" w:customStyle="1" w:styleId="43">
    <w:name w:val="Revision1"/>
    <w:hidden/>
    <w:unhideWhenUsed/>
    <w:qFormat/>
    <w:uiPriority w:val="99"/>
    <w:rPr>
      <w:rFonts w:eastAsia="宋体" w:asciiTheme="minorHAnsi" w:hAnsiTheme="minorHAnsi" w:cstheme="minorBidi"/>
      <w:kern w:val="2"/>
      <w:sz w:val="24"/>
      <w:szCs w:val="24"/>
      <w:lang w:val="en-US" w:eastAsia="zh-CN" w:bidi="ar-SA"/>
    </w:rPr>
  </w:style>
  <w:style w:type="paragraph" w:customStyle="1" w:styleId="44">
    <w:name w:val="修订1"/>
    <w:hidden/>
    <w:unhideWhenUsed/>
    <w:qFormat/>
    <w:uiPriority w:val="99"/>
    <w:rPr>
      <w:rFonts w:eastAsia="宋体" w:asciiTheme="minorHAnsi" w:hAnsiTheme="minorHAnsi" w:cstheme="minorBidi"/>
      <w:kern w:val="2"/>
      <w:sz w:val="24"/>
      <w:szCs w:val="24"/>
      <w:lang w:val="en-US" w:eastAsia="zh-CN" w:bidi="ar-SA"/>
    </w:rPr>
  </w:style>
  <w:style w:type="paragraph" w:customStyle="1" w:styleId="45">
    <w:name w:val="修订2"/>
    <w:hidden/>
    <w:unhideWhenUsed/>
    <w:qFormat/>
    <w:uiPriority w:val="99"/>
    <w:rPr>
      <w:rFonts w:eastAsia="宋体" w:asciiTheme="minorHAnsi" w:hAnsiTheme="minorHAnsi" w:cstheme="minorBidi"/>
      <w:kern w:val="2"/>
      <w:sz w:val="24"/>
      <w:szCs w:val="24"/>
      <w:lang w:val="en-US" w:eastAsia="zh-CN" w:bidi="ar-SA"/>
    </w:rPr>
  </w:style>
  <w:style w:type="paragraph" w:customStyle="1" w:styleId="46">
    <w:name w:val="修订3"/>
    <w:hidden/>
    <w:unhideWhenUsed/>
    <w:qFormat/>
    <w:uiPriority w:val="99"/>
    <w:rPr>
      <w:rFonts w:eastAsia="宋体" w:asciiTheme="minorHAnsi"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492</Words>
  <Characters>2809</Characters>
  <Lines>23</Lines>
  <Paragraphs>6</Paragraphs>
  <TotalTime>1</TotalTime>
  <ScaleCrop>false</ScaleCrop>
  <LinksUpToDate>false</LinksUpToDate>
  <CharactersWithSpaces>3295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2025-06-15T20:59:00Z</dcterms:created>
  <dc:creator>九峰 张</dc:creator>
  <cp:lastModifiedBy>BDA</cp:lastModifiedBy>
  <dcterms:modified xsi:type="dcterms:W3CDTF">2025-06-25T15:05:52Z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C87300AAD46B4A27A617FF5138F8FA5C_13</vt:lpwstr>
  </property>
</Properties>
</file>