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5207A">
      <w:pPr>
        <w:keepNext w:val="0"/>
        <w:keepLines w:val="0"/>
        <w:pageBreakBefore w:val="0"/>
        <w:widowControl w:val="0"/>
        <w:kinsoku/>
        <w:wordWrap/>
        <w:overflowPunct/>
        <w:topLinePunct w:val="0"/>
        <w:bidi w:val="0"/>
        <w:adjustRightInd/>
        <w:snapToGrid/>
        <w:spacing w:line="560" w:lineRule="exact"/>
        <w:jc w:val="left"/>
        <w:textAlignment w:val="auto"/>
        <w:rPr>
          <w:rFonts w:hint="eastAsia" w:ascii="Times New Roman" w:hAnsi="Times New Roman" w:eastAsia="仿宋_GB2312" w:cs="Times New Roman"/>
          <w:sz w:val="32"/>
          <w:szCs w:val="22"/>
        </w:rPr>
      </w:pPr>
      <w:r>
        <w:rPr>
          <w:rFonts w:hint="eastAsia" w:ascii="黑体" w:hAnsi="黑体" w:eastAsia="黑体" w:cs="黑体"/>
          <w:sz w:val="32"/>
          <w:szCs w:val="22"/>
        </w:rPr>
        <w:t>附件</w:t>
      </w:r>
    </w:p>
    <w:p w14:paraId="5CB6FF50">
      <w:pPr>
        <w:pageBreakBefore w:val="0"/>
        <w:widowControl/>
        <w:kinsoku/>
        <w:wordWrap/>
        <w:overflowPunct/>
        <w:topLinePunct w:val="0"/>
        <w:bidi w:val="0"/>
        <w:adjustRightInd/>
        <w:snapToGrid/>
        <w:spacing w:line="560" w:lineRule="exact"/>
        <w:ind w:firstLine="641" w:firstLineChars="0"/>
        <w:jc w:val="left"/>
        <w:rPr>
          <w:rFonts w:hint="eastAsia" w:ascii="Times New Roman" w:hAnsi="Times New Roman" w:eastAsia="仿宋_GB2312" w:cs="Times New Roman"/>
          <w:sz w:val="32"/>
          <w:szCs w:val="22"/>
        </w:rPr>
      </w:pPr>
    </w:p>
    <w:p w14:paraId="3DF74AE5">
      <w:pPr>
        <w:pStyle w:val="2"/>
        <w:pageBreakBefore w:val="0"/>
        <w:kinsoku/>
        <w:wordWrap/>
        <w:overflowPunct/>
        <w:topLinePunct w:val="0"/>
        <w:bidi w:val="0"/>
        <w:adjustRightInd/>
        <w:snapToGrid/>
        <w:spacing w:before="0" w:after="0" w:line="560" w:lineRule="exact"/>
        <w:ind w:firstLine="0" w:firstLineChars="0"/>
        <w:rPr>
          <w:rFonts w:ascii="Times New Roman" w:hAnsi="Times New Roman" w:eastAsia="方正小标宋简体"/>
          <w:b w:val="0"/>
          <w:bCs/>
          <w:sz w:val="44"/>
          <w:szCs w:val="32"/>
        </w:rPr>
      </w:pPr>
      <w:r>
        <w:rPr>
          <w:rFonts w:hint="eastAsia" w:ascii="Times New Roman" w:hAnsi="Times New Roman" w:eastAsia="方正小标宋简体"/>
          <w:b w:val="0"/>
          <w:bCs/>
          <w:spacing w:val="-20"/>
          <w:w w:val="95"/>
          <w:sz w:val="44"/>
          <w:szCs w:val="32"/>
        </w:rPr>
        <w:t>亦庄新城科技企业孵化器评价指标体系（暂行）</w:t>
      </w:r>
    </w:p>
    <w:p w14:paraId="2C49578B">
      <w:pPr>
        <w:pageBreakBefore w:val="0"/>
        <w:kinsoku/>
        <w:wordWrap/>
        <w:overflowPunct/>
        <w:topLinePunct w:val="0"/>
        <w:bidi w:val="0"/>
        <w:adjustRightInd/>
        <w:snapToGrid/>
        <w:spacing w:line="560" w:lineRule="exact"/>
        <w:ind w:firstLine="640" w:firstLineChars="200"/>
        <w:rPr>
          <w:rFonts w:ascii="Times New Roman" w:hAnsi="Times New Roman" w:eastAsia="仿宋_GB2312" w:cs="Times New Roman"/>
          <w:sz w:val="32"/>
          <w:szCs w:val="22"/>
        </w:rPr>
      </w:pPr>
    </w:p>
    <w:tbl>
      <w:tblPr>
        <w:tblStyle w:val="3"/>
        <w:tblW w:w="9252" w:type="dxa"/>
        <w:jc w:val="center"/>
        <w:tblLayout w:type="fixed"/>
        <w:tblCellMar>
          <w:top w:w="0" w:type="dxa"/>
          <w:left w:w="108" w:type="dxa"/>
          <w:bottom w:w="0" w:type="dxa"/>
          <w:right w:w="108" w:type="dxa"/>
        </w:tblCellMar>
      </w:tblPr>
      <w:tblGrid>
        <w:gridCol w:w="1326"/>
        <w:gridCol w:w="2094"/>
        <w:gridCol w:w="5832"/>
      </w:tblGrid>
      <w:tr w14:paraId="50ABADA6">
        <w:tblPrEx>
          <w:tblCellMar>
            <w:top w:w="0" w:type="dxa"/>
            <w:left w:w="108" w:type="dxa"/>
            <w:bottom w:w="0" w:type="dxa"/>
            <w:right w:w="108" w:type="dxa"/>
          </w:tblCellMar>
        </w:tblPrEx>
        <w:trPr>
          <w:trHeight w:val="312" w:hRule="atLeast"/>
          <w:tblHeader/>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F1D5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指标类别</w:t>
            </w: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FD55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指标名称</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76BA413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指标说明</w:t>
            </w:r>
          </w:p>
        </w:tc>
      </w:tr>
      <w:tr w14:paraId="7770D87D">
        <w:tblPrEx>
          <w:tblCellMar>
            <w:top w:w="0" w:type="dxa"/>
            <w:left w:w="108" w:type="dxa"/>
            <w:bottom w:w="0" w:type="dxa"/>
            <w:right w:w="108" w:type="dxa"/>
          </w:tblCellMar>
        </w:tblPrEx>
        <w:trPr>
          <w:trHeight w:val="935" w:hRule="atLeast"/>
          <w:jc w:val="center"/>
        </w:trPr>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2CC6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企业孵育</w:t>
            </w: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B37F5">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1.在孵企业</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4EB110D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评价周期内在孵企业情况。</w:t>
            </w:r>
          </w:p>
        </w:tc>
      </w:tr>
      <w:tr w14:paraId="000C4E6D">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9D4FF">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4C0A5">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2.收入情况</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75C663D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评价周期内营业收入情况，包含生产性服务业营业收入。</w:t>
            </w:r>
          </w:p>
        </w:tc>
      </w:tr>
      <w:tr w14:paraId="55BDA3BE">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47A5F">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5911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3.企业融资</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528940AD">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评价周期内在孵企业获得融资、贷款等情况。</w:t>
            </w:r>
          </w:p>
        </w:tc>
      </w:tr>
      <w:tr w14:paraId="5E4E3517">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15FAC">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3ECF9">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4.知识产权</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447801B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评价周期内在孵企业知识产权情况。</w:t>
            </w:r>
          </w:p>
        </w:tc>
      </w:tr>
      <w:tr w14:paraId="7685FE3D">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9E811">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BD300">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5.人才引进</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3132336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评价周期内引进人才情况。</w:t>
            </w:r>
          </w:p>
        </w:tc>
      </w:tr>
      <w:tr w14:paraId="13C8794A">
        <w:tblPrEx>
          <w:tblCellMar>
            <w:top w:w="0" w:type="dxa"/>
            <w:left w:w="108" w:type="dxa"/>
            <w:bottom w:w="0" w:type="dxa"/>
            <w:right w:w="108" w:type="dxa"/>
          </w:tblCellMar>
        </w:tblPrEx>
        <w:trPr>
          <w:trHeight w:val="935" w:hRule="atLeast"/>
          <w:jc w:val="center"/>
        </w:trPr>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D08D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专业服务</w:t>
            </w: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C7B3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6.企业梯队</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6664192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评价周期内企业资质获得情况。</w:t>
            </w:r>
          </w:p>
        </w:tc>
      </w:tr>
      <w:tr w14:paraId="015F0696">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625E3">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6EA27">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7.创业导师</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602A8757">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评价周期创业导师情况。</w:t>
            </w:r>
          </w:p>
        </w:tc>
      </w:tr>
      <w:tr w14:paraId="247F4933">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AD685">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A3B9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8.专业服务</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7C879922">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评价周期内服务企业情况。</w:t>
            </w:r>
          </w:p>
        </w:tc>
      </w:tr>
      <w:tr w14:paraId="1EE4F5FF">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5622A">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15554">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9.活动举办</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3A19CAAE">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评价周期内组织品牌化活动情况。</w:t>
            </w:r>
          </w:p>
        </w:tc>
      </w:tr>
      <w:tr w14:paraId="4D9901E4">
        <w:tblPrEx>
          <w:tblCellMar>
            <w:top w:w="0" w:type="dxa"/>
            <w:left w:w="108" w:type="dxa"/>
            <w:bottom w:w="0" w:type="dxa"/>
            <w:right w:w="108" w:type="dxa"/>
          </w:tblCellMar>
        </w:tblPrEx>
        <w:trPr>
          <w:trHeight w:val="935" w:hRule="atLeast"/>
          <w:jc w:val="center"/>
        </w:trPr>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F08B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生态构建</w:t>
            </w: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6335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10.产业生态</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5699EDFD">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与具有行业影响力的企业产业链上下游资源建立合作关系，且评价周期内依托相关资源协助在孵企业完成市场拓展情况。</w:t>
            </w:r>
          </w:p>
        </w:tc>
      </w:tr>
      <w:tr w14:paraId="183438E2">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7558F">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28192">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11.公共平台</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025BFB4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运营主体为入孵企业提供技术研发与工业设计、实验验证与检测认证、质量控制与技术评价、公共服务等服务情况。</w:t>
            </w:r>
          </w:p>
        </w:tc>
      </w:tr>
      <w:tr w14:paraId="1A8665C8">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51B18">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9FF3A">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12.国际化</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7D4FA0D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评价周期内与海外成果转移机构、高校院所、协会、科技企业孵化器等达成合作或举办国际交流活动情况及组织企业出海情况。</w:t>
            </w:r>
          </w:p>
        </w:tc>
      </w:tr>
      <w:tr w14:paraId="7655BB52">
        <w:tblPrEx>
          <w:tblCellMar>
            <w:top w:w="0" w:type="dxa"/>
            <w:left w:w="108" w:type="dxa"/>
            <w:bottom w:w="0" w:type="dxa"/>
            <w:right w:w="108" w:type="dxa"/>
          </w:tblCellMar>
        </w:tblPrEx>
        <w:trPr>
          <w:trHeight w:val="935" w:hRule="atLeast"/>
          <w:jc w:val="center"/>
        </w:trPr>
        <w:tc>
          <w:tcPr>
            <w:tcW w:w="1326"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518D22F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加分项</w:t>
            </w: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FE6E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13.任务落实</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7FEDB6CE">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承担国家、北京市战略任务，落实经开区各项重点工作情况。</w:t>
            </w:r>
          </w:p>
        </w:tc>
      </w:tr>
      <w:tr w14:paraId="70837173">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424B3FC7">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762C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14.资质荣誉</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1B849F62">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评价周期内获得国家级、市级孵化载体称号情况。</w:t>
            </w:r>
          </w:p>
        </w:tc>
      </w:tr>
      <w:tr w14:paraId="7E8A989B">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342C889">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577D5">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15.企业梯队</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46CACC8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评价周期内企业资质获得情况。</w:t>
            </w:r>
          </w:p>
        </w:tc>
      </w:tr>
      <w:tr w14:paraId="0DF0FB52">
        <w:tblPrEx>
          <w:tblCellMar>
            <w:top w:w="0" w:type="dxa"/>
            <w:left w:w="108" w:type="dxa"/>
            <w:bottom w:w="0" w:type="dxa"/>
            <w:right w:w="108" w:type="dxa"/>
          </w:tblCellMar>
        </w:tblPrEx>
        <w:trPr>
          <w:trHeight w:val="935" w:hRule="atLeast"/>
          <w:jc w:val="center"/>
        </w:trPr>
        <w:tc>
          <w:tcPr>
            <w:tcW w:w="1326" w:type="dxa"/>
            <w:tcBorders>
              <w:top w:val="single" w:color="000000" w:sz="4" w:space="0"/>
              <w:left w:val="single" w:color="000000" w:sz="4" w:space="0"/>
              <w:bottom w:val="single" w:color="000000" w:sz="4" w:space="0"/>
              <w:right w:val="single" w:color="000000" w:sz="4" w:space="0"/>
            </w:tcBorders>
            <w:noWrap w:val="0"/>
            <w:vAlign w:val="center"/>
          </w:tcPr>
          <w:p w14:paraId="760FB7E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减分项</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FE815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16.违规经营</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2FF89D7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评价周期内科技企业孵化器在企业信用、税费缴纳、出租运营等方面存在违规经营情况。</w:t>
            </w:r>
          </w:p>
        </w:tc>
      </w:tr>
      <w:tr w14:paraId="0FEBE94A">
        <w:tblPrEx>
          <w:tblCellMar>
            <w:top w:w="0" w:type="dxa"/>
            <w:left w:w="108" w:type="dxa"/>
            <w:bottom w:w="0" w:type="dxa"/>
            <w:right w:w="108" w:type="dxa"/>
          </w:tblCellMar>
        </w:tblPrEx>
        <w:trPr>
          <w:trHeight w:val="935" w:hRule="atLeast"/>
          <w:jc w:val="center"/>
        </w:trPr>
        <w:tc>
          <w:tcPr>
            <w:tcW w:w="132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0240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否决项</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74524D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17.材料违规</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03DAEF7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评价是否存在使用虚假材料的情况。</w:t>
            </w:r>
          </w:p>
        </w:tc>
      </w:tr>
      <w:tr w14:paraId="49694CE2">
        <w:tblPrEx>
          <w:tblCellMar>
            <w:top w:w="0" w:type="dxa"/>
            <w:left w:w="108" w:type="dxa"/>
            <w:bottom w:w="0" w:type="dxa"/>
            <w:right w:w="108" w:type="dxa"/>
          </w:tblCellMar>
        </w:tblPrEx>
        <w:trPr>
          <w:trHeight w:val="935" w:hRule="atLeast"/>
          <w:jc w:val="center"/>
        </w:trPr>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CD7BD">
            <w:pPr>
              <w:keepNext w:val="0"/>
              <w:keepLines w:val="0"/>
              <w:pageBreakBefore w:val="0"/>
              <w:kinsoku/>
              <w:wordWrap/>
              <w:overflowPunct/>
              <w:topLinePunct w:val="0"/>
              <w:autoSpaceDE/>
              <w:autoSpaceDN/>
              <w:bidi w:val="0"/>
              <w:adjustRightInd/>
              <w:snapToGrid/>
              <w:spacing w:line="440" w:lineRule="exact"/>
              <w:ind w:firstLine="480" w:firstLineChars="200"/>
              <w:jc w:val="center"/>
              <w:rPr>
                <w:rFonts w:hint="eastAsia" w:ascii="仿宋_GB2312" w:hAnsi="等线" w:eastAsia="仿宋_GB2312" w:cs="仿宋_GB2312"/>
                <w:color w:val="000000"/>
                <w:sz w:val="24"/>
                <w:szCs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66350">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18.房租减免</w:t>
            </w:r>
          </w:p>
        </w:tc>
        <w:tc>
          <w:tcPr>
            <w:tcW w:w="5832" w:type="dxa"/>
            <w:tcBorders>
              <w:top w:val="single" w:color="000000" w:sz="4" w:space="0"/>
              <w:left w:val="single" w:color="000000" w:sz="4" w:space="0"/>
              <w:bottom w:val="single" w:color="000000" w:sz="4" w:space="0"/>
              <w:right w:val="single" w:color="000000" w:sz="4" w:space="0"/>
            </w:tcBorders>
            <w:noWrap w:val="0"/>
            <w:vAlign w:val="center"/>
          </w:tcPr>
          <w:p w14:paraId="0D48D015">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center"/>
              <w:rPr>
                <w:rFonts w:hint="eastAsia"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支持周期内是否对2000平方米内进行房租全免。</w:t>
            </w:r>
          </w:p>
        </w:tc>
      </w:tr>
    </w:tbl>
    <w:p w14:paraId="1D806D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41A3C"/>
    <w:rsid w:val="7D44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ascii="Cambria" w:hAnsi="Cambria" w:eastAsia="宋体" w:cs="Times New Roman"/>
      <w:b/>
      <w:kern w:val="2"/>
      <w:sz w:val="32"/>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2025-04-15T02:02:00Z</dcterms:created>
  <dc:creator>名字不重要</dc:creator>
  <cp:lastModifiedBy>名字不重要</cp:lastModifiedBy>
  <dcterms:modified xsi:type="dcterms:W3CDTF">2025-04-15T02:02:39Z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5F5EE33BB3D84AD8AED3104780771243_11</vt:lpwstr>
  </property>
  <property fmtid="{D5CDD505-2E9C-101B-9397-08002B2CF9AE}" pid="4" name="KSOTemplateDocerSaveRecord">
    <vt:lpwstr>eyJoZGlkIjoiNzdjMzE4MGRjYzlmYzc1ZDA5NmEyZjM0NWU3ZTRmNTUiLCJ1c2VySWQiOiI2ODg0NzY1NzYifQ==</vt:lpwstr>
  </property>
</Properties>
</file>