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left"/>
        <w:textAlignment w:val="auto"/>
        <w:outlineLvl w:val="0"/>
        <w:rPr>
          <w:rFonts w:hint="eastAsia" w:ascii="方正小标宋简体" w:hAnsi="方正小标宋简体" w:eastAsia="方正小标宋简体" w:cs="方正小标宋简体"/>
          <w:sz w:val="44"/>
          <w:szCs w:val="44"/>
          <w:lang w:val="en-US" w:eastAsia="zh-CN"/>
        </w:rPr>
      </w:pPr>
      <w:r>
        <w:rPr>
          <w:rFonts w:hint="eastAsia" w:ascii="黑体" w:hAnsi="黑体" w:eastAsia="黑体" w:cs="黑体"/>
          <w:color w:val="333333"/>
          <w:spacing w:val="15"/>
          <w:kern w:val="0"/>
          <w:sz w:val="32"/>
          <w:szCs w:val="32"/>
          <w:shd w:val="clear" w:color="auto" w:fill="FFFFFF"/>
        </w:rPr>
        <w:t>附件</w:t>
      </w:r>
      <w:r>
        <w:rPr>
          <w:rFonts w:hint="eastAsia" w:ascii="黑体" w:hAnsi="黑体" w:eastAsia="黑体" w:cs="黑体"/>
          <w:color w:val="333333"/>
          <w:spacing w:val="15"/>
          <w:kern w:val="0"/>
          <w:sz w:val="32"/>
          <w:szCs w:val="32"/>
          <w:shd w:val="clear" w:color="auto" w:fill="FFFFFF"/>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0"/>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val="en-US" w:eastAsia="zh-CN"/>
        </w:rPr>
        <w:t>2022年及2023年科学技术奖</w:t>
      </w:r>
      <w:r>
        <w:rPr>
          <w:rFonts w:hint="eastAsia" w:ascii="方正小标宋简体" w:hAnsi="方正小标宋简体" w:eastAsia="方正小标宋简体" w:cs="方正小标宋简体"/>
          <w:sz w:val="44"/>
          <w:szCs w:val="44"/>
        </w:rPr>
        <w:t>专项</w:t>
      </w:r>
      <w:r>
        <w:rPr>
          <w:rFonts w:hint="eastAsia" w:ascii="方正小标宋简体" w:hAnsi="方正小标宋简体" w:eastAsia="方正小标宋简体" w:cs="方正小标宋简体"/>
          <w:sz w:val="44"/>
          <w:szCs w:val="44"/>
          <w:lang w:eastAsia="zh-CN"/>
        </w:rPr>
        <w:t>奖励</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0"/>
        <w:rPr>
          <w:rFonts w:ascii="仿宋_GB2312" w:hAnsi="仿宋_GB2312" w:eastAsia="仿宋_GB2312" w:cs="仿宋_GB2312"/>
          <w:sz w:val="32"/>
          <w:szCs w:val="32"/>
        </w:rPr>
      </w:pPr>
      <w:r>
        <w:rPr>
          <w:rFonts w:hint="eastAsia" w:ascii="方正小标宋简体" w:hAnsi="方正小标宋简体" w:eastAsia="方正小标宋简体" w:cs="方正小标宋简体"/>
          <w:sz w:val="44"/>
          <w:szCs w:val="44"/>
        </w:rPr>
        <w:t>办事指南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pStyle w:val="2"/>
        <w:keepNext w:val="0"/>
        <w:keepLines w:val="0"/>
        <w:pageBreakBefore w:val="0"/>
        <w:widowControl w:val="0"/>
        <w:kinsoku/>
        <w:wordWrap/>
        <w:overflowPunct/>
        <w:topLinePunct w:val="0"/>
        <w:autoSpaceDE/>
        <w:autoSpaceDN/>
        <w:bidi w:val="0"/>
        <w:adjustRightInd/>
        <w:snapToGrid/>
        <w:spacing w:after="0" w:line="560" w:lineRule="exact"/>
        <w:ind w:left="0" w:leftChars="0" w:firstLine="640" w:firstLineChars="200"/>
        <w:textAlignment w:val="auto"/>
        <w:rPr>
          <w:rFonts w:hint="eastAsia" w:ascii="仿宋_GB2312" w:eastAsia="仿宋_GB2312"/>
          <w:color w:val="000000"/>
          <w:sz w:val="32"/>
          <w:szCs w:val="32"/>
          <w:lang w:eastAsia="zh-CN"/>
        </w:rPr>
      </w:pPr>
      <w:r>
        <w:rPr>
          <w:rFonts w:hint="eastAsia" w:ascii="仿宋_GB2312" w:eastAsia="仿宋_GB2312"/>
          <w:color w:val="000000"/>
          <w:sz w:val="32"/>
          <w:szCs w:val="32"/>
          <w:lang w:eastAsia="zh-CN"/>
        </w:rPr>
        <w:t>为落实《北京经济技术开发区关于加快推进国际科技创新中心建设 打造高精尖产业主阵地的若干意见》（以下简称“科创20条”）政策要求</w:t>
      </w:r>
      <w:r>
        <w:rPr>
          <w:rFonts w:hint="eastAsia" w:ascii="仿宋_GB2312" w:hAnsi="仿宋_GB2312" w:eastAsia="仿宋_GB2312" w:cs="仿宋_GB2312"/>
          <w:bCs/>
          <w:color w:val="000000"/>
          <w:kern w:val="0"/>
          <w:sz w:val="32"/>
          <w:szCs w:val="32"/>
        </w:rPr>
        <w:t>。</w:t>
      </w:r>
      <w:r>
        <w:rPr>
          <w:rFonts w:hint="eastAsia" w:ascii="仿宋_GB2312" w:eastAsia="仿宋_GB2312"/>
          <w:color w:val="000000"/>
          <w:sz w:val="32"/>
          <w:szCs w:val="32"/>
          <w:lang w:eastAsia="zh-CN"/>
        </w:rPr>
        <w:t>对于获得国家科学技术奖一等奖、二等奖的分别给予100万元</w:t>
      </w:r>
      <w:r>
        <w:rPr>
          <w:rFonts w:hint="eastAsia" w:ascii="仿宋_GB2312" w:eastAsia="仿宋_GB2312"/>
          <w:color w:val="000000"/>
          <w:sz w:val="32"/>
          <w:szCs w:val="32"/>
          <w:lang w:val="en-US" w:eastAsia="zh-CN"/>
        </w:rPr>
        <w:t>/项</w:t>
      </w:r>
      <w:r>
        <w:rPr>
          <w:rFonts w:hint="eastAsia" w:ascii="仿宋_GB2312" w:eastAsia="仿宋_GB2312"/>
          <w:color w:val="000000"/>
          <w:sz w:val="32"/>
          <w:szCs w:val="32"/>
          <w:lang w:eastAsia="zh-CN"/>
        </w:rPr>
        <w:t>、50万元</w:t>
      </w:r>
      <w:r>
        <w:rPr>
          <w:rFonts w:hint="eastAsia" w:ascii="仿宋_GB2312" w:eastAsia="仿宋_GB2312"/>
          <w:color w:val="000000"/>
          <w:sz w:val="32"/>
          <w:szCs w:val="32"/>
          <w:lang w:val="en-US" w:eastAsia="zh-CN"/>
        </w:rPr>
        <w:t>/项</w:t>
      </w:r>
      <w:r>
        <w:rPr>
          <w:rFonts w:hint="eastAsia" w:ascii="仿宋_GB2312" w:eastAsia="仿宋_GB2312"/>
          <w:color w:val="000000"/>
          <w:sz w:val="32"/>
          <w:szCs w:val="32"/>
          <w:lang w:eastAsia="zh-CN"/>
        </w:rPr>
        <w:t>的奖励，对于获得北京市技术发明奖和科学技术进步奖特等奖、一等奖、二等奖的分别给予100万元</w:t>
      </w:r>
      <w:r>
        <w:rPr>
          <w:rFonts w:hint="eastAsia" w:ascii="仿宋_GB2312" w:eastAsia="仿宋_GB2312"/>
          <w:color w:val="000000"/>
          <w:sz w:val="32"/>
          <w:szCs w:val="32"/>
          <w:lang w:val="en-US" w:eastAsia="zh-CN"/>
        </w:rPr>
        <w:t>/项</w:t>
      </w:r>
      <w:r>
        <w:rPr>
          <w:rFonts w:hint="eastAsia" w:ascii="仿宋_GB2312" w:eastAsia="仿宋_GB2312"/>
          <w:color w:val="000000"/>
          <w:sz w:val="32"/>
          <w:szCs w:val="32"/>
          <w:lang w:eastAsia="zh-CN"/>
        </w:rPr>
        <w:t>、50万元</w:t>
      </w:r>
      <w:r>
        <w:rPr>
          <w:rFonts w:hint="eastAsia" w:ascii="仿宋_GB2312" w:eastAsia="仿宋_GB2312"/>
          <w:color w:val="000000"/>
          <w:sz w:val="32"/>
          <w:szCs w:val="32"/>
          <w:lang w:val="en-US" w:eastAsia="zh-CN"/>
        </w:rPr>
        <w:t>/项</w:t>
      </w:r>
      <w:r>
        <w:rPr>
          <w:rFonts w:hint="eastAsia" w:ascii="仿宋_GB2312" w:eastAsia="仿宋_GB2312"/>
          <w:color w:val="000000"/>
          <w:sz w:val="32"/>
          <w:szCs w:val="32"/>
          <w:lang w:eastAsia="zh-CN"/>
        </w:rPr>
        <w:t>、30万元</w:t>
      </w:r>
      <w:r>
        <w:rPr>
          <w:rFonts w:hint="eastAsia" w:ascii="仿宋_GB2312" w:eastAsia="仿宋_GB2312"/>
          <w:color w:val="000000"/>
          <w:sz w:val="32"/>
          <w:szCs w:val="32"/>
          <w:lang w:val="en-US" w:eastAsia="zh-CN"/>
        </w:rPr>
        <w:t>/项</w:t>
      </w:r>
      <w:r>
        <w:rPr>
          <w:rFonts w:hint="eastAsia" w:ascii="仿宋_GB2312" w:eastAsia="仿宋_GB2312"/>
          <w:color w:val="000000"/>
          <w:sz w:val="32"/>
          <w:szCs w:val="32"/>
          <w:lang w:eastAsia="zh-CN"/>
        </w:rPr>
        <w:t>的奖励。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sz w:val="32"/>
          <w:szCs w:val="32"/>
        </w:rPr>
      </w:pPr>
      <w:r>
        <w:rPr>
          <w:rFonts w:hint="eastAsia" w:ascii="黑体" w:hAnsi="黑体" w:eastAsia="黑体" w:cs="黑体"/>
          <w:sz w:val="32"/>
          <w:szCs w:val="32"/>
        </w:rPr>
        <w:t>二、事项名称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hint="eastAsia" w:ascii="仿宋_GB2312" w:hAnsi="Times New Roman" w:eastAsia="仿宋_GB2312" w:cs="Arial Unicode MS"/>
          <w:color w:val="000000"/>
          <w:kern w:val="2"/>
          <w:sz w:val="32"/>
          <w:szCs w:val="32"/>
          <w:lang w:val="en-US" w:eastAsia="zh-CN" w:bidi="ar-SA"/>
        </w:rPr>
      </w:pPr>
      <w:r>
        <w:rPr>
          <w:rFonts w:hint="eastAsia" w:ascii="仿宋_GB2312" w:hAnsi="Times New Roman" w:eastAsia="仿宋_GB2312" w:cs="Arial Unicode MS"/>
          <w:color w:val="000000"/>
          <w:kern w:val="2"/>
          <w:sz w:val="32"/>
          <w:szCs w:val="32"/>
          <w:lang w:val="en-US" w:eastAsia="zh-CN" w:bidi="ar-SA"/>
        </w:rPr>
        <w:t>2022年及2023年科学技术奖专项奖励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三、支持内容及标准</w:t>
      </w:r>
    </w:p>
    <w:p>
      <w:pPr>
        <w:pStyle w:val="2"/>
        <w:keepNext w:val="0"/>
        <w:keepLines w:val="0"/>
        <w:pageBreakBefore w:val="0"/>
        <w:widowControl w:val="0"/>
        <w:kinsoku/>
        <w:wordWrap/>
        <w:overflowPunct/>
        <w:topLinePunct w:val="0"/>
        <w:autoSpaceDE/>
        <w:autoSpaceDN/>
        <w:bidi w:val="0"/>
        <w:adjustRightInd/>
        <w:snapToGrid/>
        <w:spacing w:after="0" w:line="560" w:lineRule="exact"/>
        <w:ind w:left="0" w:leftChars="0" w:firstLine="640" w:firstLineChars="200"/>
        <w:textAlignment w:val="auto"/>
        <w:rPr>
          <w:rFonts w:hint="eastAsia" w:ascii="仿宋_GB2312" w:eastAsia="仿宋_GB2312"/>
          <w:color w:val="000000"/>
          <w:sz w:val="32"/>
          <w:szCs w:val="32"/>
          <w:lang w:eastAsia="zh-CN"/>
        </w:rPr>
      </w:pPr>
      <w:r>
        <w:rPr>
          <w:rFonts w:hint="eastAsia" w:ascii="仿宋_GB2312" w:eastAsia="仿宋_GB2312"/>
          <w:sz w:val="32"/>
          <w:szCs w:val="32"/>
        </w:rPr>
        <w:t>（一）</w:t>
      </w:r>
      <w:r>
        <w:rPr>
          <w:rFonts w:hint="eastAsia" w:ascii="仿宋_GB2312" w:eastAsia="仿宋_GB2312"/>
          <w:color w:val="000000"/>
          <w:sz w:val="32"/>
          <w:szCs w:val="32"/>
          <w:lang w:eastAsia="zh-CN"/>
        </w:rPr>
        <w:t>支持对象为获得国家级、市级科学技术奖的亦庄新城范围内的企业。</w:t>
      </w:r>
    </w:p>
    <w:p>
      <w:pPr>
        <w:pStyle w:val="2"/>
        <w:keepNext w:val="0"/>
        <w:keepLines w:val="0"/>
        <w:pageBreakBefore w:val="0"/>
        <w:widowControl w:val="0"/>
        <w:kinsoku/>
        <w:wordWrap/>
        <w:overflowPunct/>
        <w:topLinePunct w:val="0"/>
        <w:autoSpaceDE/>
        <w:autoSpaceDN/>
        <w:bidi w:val="0"/>
        <w:adjustRightInd/>
        <w:snapToGrid/>
        <w:spacing w:after="0" w:line="560" w:lineRule="exact"/>
        <w:ind w:left="0" w:leftChars="0" w:firstLine="640" w:firstLineChars="200"/>
        <w:textAlignment w:val="auto"/>
        <w:rPr>
          <w:rFonts w:hint="eastAsia" w:ascii="仿宋_GB2312" w:eastAsia="仿宋_GB2312"/>
          <w:color w:val="000000"/>
          <w:sz w:val="32"/>
          <w:szCs w:val="32"/>
          <w:lang w:eastAsia="zh-CN"/>
        </w:rPr>
      </w:pPr>
      <w:r>
        <w:rPr>
          <w:rFonts w:hint="eastAsia" w:ascii="仿宋_GB2312" w:eastAsia="仿宋_GB2312"/>
          <w:color w:val="000000"/>
          <w:sz w:val="32"/>
          <w:szCs w:val="32"/>
          <w:lang w:eastAsia="zh-CN"/>
        </w:rPr>
        <w:t>（二）支持企业应是获奖顺序中排名第一的单位。</w:t>
      </w:r>
    </w:p>
    <w:p>
      <w:pPr>
        <w:pStyle w:val="2"/>
        <w:keepNext w:val="0"/>
        <w:keepLines w:val="0"/>
        <w:pageBreakBefore w:val="0"/>
        <w:widowControl w:val="0"/>
        <w:kinsoku/>
        <w:wordWrap/>
        <w:overflowPunct/>
        <w:topLinePunct w:val="0"/>
        <w:autoSpaceDE/>
        <w:autoSpaceDN/>
        <w:bidi w:val="0"/>
        <w:adjustRightInd/>
        <w:snapToGrid/>
        <w:spacing w:after="0" w:line="560" w:lineRule="exact"/>
        <w:ind w:left="0" w:leftChars="0" w:firstLine="640" w:firstLineChars="200"/>
        <w:textAlignment w:val="auto"/>
        <w:rPr>
          <w:rFonts w:hint="eastAsia" w:ascii="仿宋_GB2312" w:eastAsia="仿宋_GB2312"/>
          <w:color w:val="000000"/>
          <w:sz w:val="32"/>
          <w:szCs w:val="32"/>
          <w:lang w:eastAsia="zh-CN"/>
        </w:rPr>
      </w:pPr>
      <w:r>
        <w:rPr>
          <w:rFonts w:hint="eastAsia" w:ascii="仿宋_GB2312" w:eastAsia="仿宋_GB2312"/>
          <w:color w:val="000000"/>
          <w:sz w:val="32"/>
          <w:szCs w:val="32"/>
          <w:lang w:eastAsia="zh-CN"/>
        </w:rPr>
        <w:t>（三）支持企业应具备独立法人资格，在亦庄新城范围内注册、纳税、入统，三年内无重大行政处罚记录、企业违建信息记录和刑事犯罪记录，未列入严重失信主体名单。重大行政处罚是指一次性罚款金额或者没收违法所得超过 5 万元（含）、降低资质等级、吊销许可证件、责令停产停业、责令关闭、限制从业等处罚。刑事犯罪记录以人民法院作出的单位刑事犯罪生效裁判文书（中国裁判文书网）作为界定依据。严重违法失信主体名单以信用中国共享的名单作为界定依据支持对象为获得国家级、市级科学技术奖的亦庄新城范围内的企业。</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eastAsia"/>
        </w:rPr>
      </w:pPr>
      <w:r>
        <w:rPr>
          <w:rFonts w:hint="eastAsia" w:ascii="仿宋_GB2312" w:eastAsia="仿宋_GB2312"/>
          <w:sz w:val="32"/>
          <w:szCs w:val="32"/>
        </w:rPr>
        <w:t>（</w:t>
      </w:r>
      <w:r>
        <w:rPr>
          <w:rFonts w:hint="eastAsia" w:ascii="仿宋_GB2312" w:eastAsia="仿宋_GB2312"/>
          <w:sz w:val="32"/>
          <w:szCs w:val="32"/>
          <w:lang w:eastAsia="zh-CN"/>
        </w:rPr>
        <w:t>四</w:t>
      </w:r>
      <w:r>
        <w:rPr>
          <w:rFonts w:hint="eastAsia" w:ascii="仿宋_GB2312" w:eastAsia="仿宋_GB2312"/>
          <w:sz w:val="32"/>
          <w:szCs w:val="32"/>
        </w:rPr>
        <w:t>）</w:t>
      </w:r>
      <w:r>
        <w:rPr>
          <w:rFonts w:hint="eastAsia" w:ascii="仿宋_GB2312" w:hAnsi="Times New Roman" w:eastAsia="仿宋_GB2312" w:cs="Arial Unicode MS"/>
          <w:color w:val="000000"/>
          <w:kern w:val="2"/>
          <w:sz w:val="32"/>
          <w:szCs w:val="32"/>
          <w:lang w:val="en-US" w:eastAsia="zh-CN" w:bidi="ar-SA"/>
        </w:rPr>
        <w:t>对于获得国家科学技术奖一等奖、二等奖的分别给予100万元/项、50万元/项的奖励，对于获得北京市技术发明奖和科学技术进步奖特等奖、一等奖、二等奖的分别给予100万元/项、50万元/项、30万元/项的奖励。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sz w:val="32"/>
          <w:szCs w:val="32"/>
        </w:rPr>
      </w:pPr>
      <w:r>
        <w:rPr>
          <w:rFonts w:hint="eastAsia" w:ascii="黑体" w:hAnsi="黑体" w:eastAsia="黑体" w:cs="黑体"/>
          <w:sz w:val="32"/>
          <w:szCs w:val="32"/>
        </w:rPr>
        <w:t>四、主责部门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b/>
          <w:bCs/>
          <w:sz w:val="32"/>
          <w:szCs w:val="32"/>
        </w:rPr>
      </w:pPr>
      <w:r>
        <w:rPr>
          <w:rFonts w:hint="eastAsia" w:eastAsia="仿宋_GB2312" w:cs="仿宋_GB2312"/>
          <w:sz w:val="32"/>
          <w:szCs w:val="32"/>
        </w:rPr>
        <w:t>经开区科技创新局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sz w:val="32"/>
          <w:szCs w:val="32"/>
        </w:rPr>
      </w:pPr>
      <w:r>
        <w:rPr>
          <w:rFonts w:hint="eastAsia" w:ascii="黑体" w:hAnsi="黑体" w:eastAsia="黑体" w:cs="黑体"/>
          <w:sz w:val="32"/>
          <w:szCs w:val="32"/>
        </w:rPr>
        <w:t>五、联系人及联系方式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eastAsia="仿宋_GB2312"/>
          <w:sz w:val="32"/>
          <w:szCs w:val="32"/>
        </w:rPr>
      </w:pPr>
      <w:r>
        <w:rPr>
          <w:rFonts w:hint="eastAsia" w:ascii="仿宋_GB2312" w:hAnsi="仿宋_GB2312" w:eastAsia="仿宋_GB2312" w:cs="仿宋_GB2312"/>
          <w:sz w:val="32"/>
          <w:szCs w:val="32"/>
        </w:rPr>
        <w:t>经开区科技创新局，联系人：</w:t>
      </w:r>
      <w:r>
        <w:rPr>
          <w:rFonts w:hint="eastAsia" w:ascii="仿宋_GB2312" w:hAnsi="仿宋_GB2312" w:eastAsia="仿宋_GB2312" w:cs="仿宋_GB2312"/>
          <w:sz w:val="32"/>
          <w:szCs w:val="32"/>
          <w:lang w:eastAsia="zh-CN"/>
        </w:rPr>
        <w:t>孙博</w:t>
      </w:r>
      <w:r>
        <w:rPr>
          <w:rFonts w:hint="eastAsia" w:ascii="仿宋_GB2312" w:hAnsi="仿宋_GB2312" w:eastAsia="仿宋_GB2312" w:cs="仿宋_GB2312"/>
          <w:sz w:val="32"/>
          <w:szCs w:val="32"/>
        </w:rPr>
        <w:t>，联系电话：010-87162952，工作日上午9:00—12:00，下午2:00—6:00。</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ascii="黑体" w:hAnsi="黑体" w:eastAsia="黑体" w:cs="黑体"/>
          <w:sz w:val="32"/>
          <w:szCs w:val="32"/>
        </w:rPr>
      </w:pPr>
      <w:r>
        <w:rPr>
          <w:rFonts w:hint="eastAsia" w:ascii="黑体" w:hAnsi="黑体" w:eastAsia="黑体" w:cs="黑体"/>
          <w:sz w:val="32"/>
          <w:szCs w:val="32"/>
        </w:rPr>
        <w:t>六、特别说明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p>
      <w:pPr>
        <w:keepNext w:val="0"/>
        <w:keepLines w:val="0"/>
        <w:pageBreakBefore w:val="0"/>
        <w:widowControl w:val="0"/>
        <w:kinsoku/>
        <w:wordWrap/>
        <w:overflowPunct/>
        <w:topLinePunct w:val="0"/>
        <w:autoSpaceDE/>
        <w:autoSpaceDN/>
        <w:bidi w:val="0"/>
        <w:adjustRightInd/>
        <w:snapToGrid/>
        <w:spacing w:line="560" w:lineRule="exact"/>
        <w:textAlignment w:val="auto"/>
      </w:pPr>
    </w:p>
    <w:p>
      <w:pPr>
        <w:keepNext w:val="0"/>
        <w:keepLines w:val="0"/>
        <w:pageBreakBefore w:val="0"/>
        <w:widowControl w:val="0"/>
        <w:kinsoku/>
        <w:wordWrap/>
        <w:overflowPunct/>
        <w:topLinePunct w:val="0"/>
        <w:autoSpaceDE/>
        <w:autoSpaceDN/>
        <w:bidi w:val="0"/>
        <w:adjustRightInd/>
        <w:snapToGrid/>
        <w:spacing w:line="560" w:lineRule="exact"/>
        <w:textAlignment w:val="auto"/>
      </w:pPr>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503050405090304"/>
    <w:charset w:val="CC"/>
    <w:family w:val="roman"/>
    <w:pitch w:val="default"/>
    <w:sig w:usb0="E0000AFF" w:usb1="00007843" w:usb2="00000001" w:usb3="00000000" w:csb0="400001BF" w:csb1="DFF7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Arial Unicode MS">
    <w:panose1 w:val="020B0604020202020204"/>
    <w:charset w:val="86"/>
    <w:family w:val="roman"/>
    <w:pitch w:val="default"/>
    <w:sig w:usb0="FFFFFFFF" w:usb1="E9FFFFFF" w:usb2="0000003F" w:usb3="00000000" w:csb0="603F01FF" w:csb1="FFFF0000"/>
  </w:font>
  <w:font w:name="方正小标宋简体">
    <w:altName w:val="汉仪书宋二KW"/>
    <w:panose1 w:val="02010601030101010101"/>
    <w:charset w:val="86"/>
    <w:family w:val="auto"/>
    <w:pitch w:val="default"/>
    <w:sig w:usb0="00000000" w:usb1="00000000" w:usb2="00000000" w:usb3="00000000" w:csb0="00040000" w:csb1="00000000"/>
  </w:font>
  <w:font w:name="仿宋_GB2312">
    <w:altName w:val="方正仿宋_GBK"/>
    <w:panose1 w:val="02010609030101010101"/>
    <w:charset w:val="86"/>
    <w:family w:val="modern"/>
    <w:pitch w:val="default"/>
    <w:sig w:usb0="00000000" w:usb1="00000000" w:usb2="00000000" w:usb3="00000000" w:csb0="00040000"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方正仿宋_GBK">
    <w:panose1 w:val="02000000000000000000"/>
    <w:charset w:val="86"/>
    <w:family w:val="auto"/>
    <w:pitch w:val="default"/>
    <w:sig w:usb0="A00002BF" w:usb1="38CF7CFA" w:usb2="00082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1947CF"/>
    <w:rsid w:val="49F9E752"/>
    <w:rsid w:val="4A1947CF"/>
    <w:rsid w:val="56DF7EBF"/>
    <w:rsid w:val="6FFF86E0"/>
    <w:rsid w:val="6FFFF5DA"/>
    <w:rsid w:val="9FCDB4D0"/>
    <w:rsid w:val="DFFC9B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99"/>
    <w:pPr>
      <w:ind w:firstLine="1120" w:firstLineChars="200"/>
    </w:pPr>
    <w:rPr>
      <w:rFonts w:eastAsia="Arial Unicode MS" w:cs="Arial Unicode MS"/>
      <w:color w:val="000000"/>
      <w:szCs w:val="21"/>
    </w:rPr>
  </w:style>
  <w:style w:type="paragraph" w:styleId="3">
    <w:name w:val="Body Text Indent"/>
    <w:basedOn w:val="1"/>
    <w:next w:val="2"/>
    <w:unhideWhenUsed/>
    <w:qFormat/>
    <w:uiPriority w:val="99"/>
    <w:pPr>
      <w:spacing w:after="120"/>
      <w:ind w:left="420" w:left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27</TotalTime>
  <ScaleCrop>false</ScaleCrop>
  <LinksUpToDate>false</LinksUpToDate>
  <CharactersWithSpaces>0</CharactersWithSpaces>
  <Application>WPS Office_6.7.1.8828_F1E327BC-269C-435d-A152-05C5408002CA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2018-07-12T15:11:00Z</dcterms:created>
  <dc:creator>d</dc:creator>
  <cp:lastModifiedBy>二郎</cp:lastModifiedBy>
  <dcterms:modified xsi:type="dcterms:W3CDTF">2024-05-21T09:18:01Z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2052-6.7.1.8828</vt:lpwstr>
  </property>
  <property fmtid="{D5CDD505-2E9C-101B-9397-08002B2CF9AE}" pid="3" name="ICV">
    <vt:lpwstr>A21EA870724F7B3931124766D7E56491</vt:lpwstr>
  </property>
</Properties>
</file>