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outlineLvl w:val="0"/>
        <w:rPr>
          <w:rFonts w:ascii="黑体" w:hAnsi="黑体" w:eastAsia="黑体" w:cs="黑体"/>
          <w:spacing w:val="15"/>
          <w:kern w:val="0"/>
          <w:sz w:val="32"/>
          <w:szCs w:val="32"/>
          <w:shd w:val="clear" w:color="auto" w:fill="FFFFFF"/>
        </w:rPr>
      </w:pPr>
      <w:r>
        <w:rPr>
          <w:rFonts w:hint="eastAsia" w:ascii="黑体" w:hAnsi="黑体" w:eastAsia="黑体" w:cs="黑体"/>
          <w:spacing w:val="15"/>
          <w:kern w:val="0"/>
          <w:sz w:val="32"/>
          <w:szCs w:val="32"/>
          <w:shd w:val="clear" w:color="auto" w:fill="FFFFFF"/>
        </w:rPr>
        <w:t>附件1</w:t>
      </w:r>
    </w:p>
    <w:p>
      <w:pPr>
        <w:spacing w:line="560" w:lineRule="exact"/>
        <w:jc w:val="left"/>
        <w:outlineLvl w:val="0"/>
        <w:rPr>
          <w:rFonts w:ascii="方正小标宋简体" w:hAnsi="方正小标宋简体" w:eastAsia="黑体" w:cs="方正小标宋简体"/>
          <w:sz w:val="44"/>
          <w:szCs w:val="44"/>
        </w:rPr>
      </w:pPr>
    </w:p>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首店开设支持办事指南</w:t>
      </w:r>
    </w:p>
    <w:p>
      <w:pPr>
        <w:spacing w:line="560" w:lineRule="exact"/>
        <w:jc w:val="center"/>
        <w:outlineLvl w:val="0"/>
        <w:rPr>
          <w:rFonts w:ascii="方正小标宋简体" w:hAnsi="方正小标宋简体" w:eastAsia="方正小标宋简体" w:cs="方正小标宋简体"/>
          <w:sz w:val="44"/>
          <w:szCs w:val="44"/>
        </w:rPr>
      </w:pP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《北京经济技术开发区促进商业</w:t>
      </w:r>
      <w:bookmarkStart w:id="2" w:name="_GoBack"/>
      <w:bookmarkEnd w:id="2"/>
      <w:r>
        <w:rPr>
          <w:rFonts w:hint="eastAsia" w:ascii="仿宋_GB2312" w:hAnsi="仿宋_GB2312" w:eastAsia="仿宋_GB2312" w:cs="仿宋_GB2312"/>
          <w:sz w:val="32"/>
          <w:szCs w:val="32"/>
        </w:rPr>
        <w:t>领域发展的若干措施（试行）》（</w:t>
      </w:r>
      <w:r>
        <w:rPr>
          <w:rFonts w:ascii="仿宋_GB2312" w:hAnsi="仿宋_GB2312" w:eastAsia="仿宋_GB2312" w:cs="仿宋_GB2312"/>
          <w:sz w:val="32"/>
          <w:szCs w:val="32"/>
        </w:rPr>
        <w:t>京技管发〔2023〕17号</w:t>
      </w:r>
      <w:r>
        <w:rPr>
          <w:rFonts w:hint="eastAsia" w:ascii="仿宋_GB2312" w:hAnsi="仿宋_GB2312" w:eastAsia="仿宋_GB2312" w:cs="仿宋_GB2312"/>
          <w:sz w:val="32"/>
          <w:szCs w:val="32"/>
        </w:rPr>
        <w:t>）第五条</w:t>
      </w:r>
      <w:r>
        <w:rPr>
          <w:rFonts w:hint="eastAsia" w:ascii="仿宋_GB2312" w:hAnsi="仿宋_GB2312" w:eastAsia="仿宋_GB2312" w:cs="仿宋_GB2312"/>
          <w:bCs/>
          <w:kern w:val="0"/>
          <w:sz w:val="32"/>
          <w:szCs w:val="32"/>
        </w:rPr>
        <w:t>支持项目：</w:t>
      </w:r>
      <w:r>
        <w:rPr>
          <w:rFonts w:hint="eastAsia" w:ascii="仿宋_GB2312" w:hAnsi="仿宋_GB2312" w:eastAsia="仿宋_GB2312" w:cs="仿宋_GB2312"/>
          <w:sz w:val="32"/>
          <w:szCs w:val="32"/>
        </w:rPr>
        <w:t>首店开设支持。</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二、事项名称</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首店开设支持</w:t>
      </w:r>
      <w:r>
        <w:rPr>
          <w:rFonts w:hint="eastAsia" w:ascii="仿宋_GB2312" w:hAnsi="仿宋_GB2312" w:eastAsia="仿宋_GB2312" w:cs="仿宋_GB2312"/>
          <w:sz w:val="32"/>
          <w:szCs w:val="32"/>
          <w:lang w:eastAsia="zh-CN"/>
        </w:rPr>
        <w:t>。</w:t>
      </w:r>
    </w:p>
    <w:p>
      <w:pPr>
        <w:spacing w:line="560" w:lineRule="exact"/>
        <w:ind w:firstLine="640" w:firstLineChars="200"/>
        <w:outlineLvl w:val="0"/>
        <w:rPr>
          <w:rFonts w:hint="eastAsia" w:ascii="黑体" w:hAnsi="黑体" w:eastAsia="黑体" w:cs="黑体"/>
          <w:bCs/>
          <w:color w:val="000000"/>
          <w:kern w:val="0"/>
          <w:sz w:val="32"/>
          <w:szCs w:val="32"/>
          <w:lang w:eastAsia="zh-CN"/>
        </w:rPr>
      </w:pPr>
      <w:r>
        <w:rPr>
          <w:rFonts w:hint="eastAsia" w:ascii="黑体" w:hAnsi="黑体" w:eastAsia="黑体" w:cs="黑体"/>
          <w:bCs/>
          <w:color w:val="000000"/>
          <w:kern w:val="0"/>
          <w:sz w:val="32"/>
          <w:szCs w:val="32"/>
        </w:rPr>
        <w:t>三、支持</w:t>
      </w:r>
      <w:r>
        <w:rPr>
          <w:rFonts w:hint="eastAsia" w:ascii="黑体" w:hAnsi="黑体" w:eastAsia="黑体" w:cs="黑体"/>
          <w:bCs/>
          <w:color w:val="000000"/>
          <w:kern w:val="0"/>
          <w:sz w:val="32"/>
          <w:szCs w:val="32"/>
          <w:lang w:eastAsia="zh-CN"/>
        </w:rPr>
        <w:t>条件</w:t>
      </w:r>
    </w:p>
    <w:p>
      <w:pPr>
        <w:pStyle w:val="15"/>
        <w:numPr>
          <w:ilvl w:val="0"/>
          <w:numId w:val="1"/>
        </w:numPr>
        <w:spacing w:line="560" w:lineRule="exact"/>
        <w:ind w:left="0" w:firstLine="640"/>
        <w:jc w:val="left"/>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支持主体应</w:t>
      </w:r>
      <w:r>
        <w:rPr>
          <w:rFonts w:hint="eastAsia" w:ascii="仿宋_GB2312" w:hAnsi="仿宋_GB2312" w:eastAsia="仿宋_GB2312" w:cs="仿宋_GB2312"/>
          <w:sz w:val="32"/>
          <w:szCs w:val="32"/>
        </w:rPr>
        <w:t>在亦庄新城（范围为</w:t>
      </w:r>
      <w:r>
        <w:rPr>
          <w:rFonts w:ascii="仿宋_GB2312" w:hAnsi="仿宋_GB2312" w:eastAsia="仿宋_GB2312" w:cs="仿宋_GB2312"/>
          <w:sz w:val="32"/>
          <w:szCs w:val="32"/>
        </w:rPr>
        <w:t>225平方公里</w:t>
      </w:r>
      <w:r>
        <w:rPr>
          <w:rFonts w:hint="eastAsia" w:ascii="仿宋_GB2312" w:hAnsi="仿宋_GB2312" w:eastAsia="仿宋_GB2312" w:cs="仿宋_GB2312"/>
          <w:sz w:val="32"/>
          <w:szCs w:val="32"/>
        </w:rPr>
        <w:t>）注册、纳税并进行统计登记，从事商贸流通业经营、服务、管理的企业、机构、经济组织等单位,近3年无重大行政处罚记录和刑事犯罪记录，未列入严重违法失信主体名单</w:t>
      </w:r>
      <w:r>
        <w:rPr>
          <w:rFonts w:hint="eastAsia" w:ascii="仿宋_GB2312" w:hAnsi="仿宋_GB2312" w:eastAsia="仿宋_GB2312" w:cs="仿宋_GB2312"/>
          <w:sz w:val="32"/>
          <w:szCs w:val="32"/>
          <w:lang w:eastAsia="zh-CN"/>
        </w:rPr>
        <w:t>。（“近</w:t>
      </w:r>
      <w:r>
        <w:rPr>
          <w:rFonts w:hint="eastAsia" w:ascii="仿宋_GB2312" w:hAnsi="仿宋_GB2312" w:eastAsia="仿宋_GB2312" w:cs="仿宋_GB2312"/>
          <w:sz w:val="32"/>
          <w:szCs w:val="32"/>
          <w:lang w:val="en-US" w:eastAsia="zh-CN"/>
        </w:rPr>
        <w:t>3年</w:t>
      </w:r>
      <w:r>
        <w:rPr>
          <w:rFonts w:hint="eastAsia" w:ascii="仿宋_GB2312" w:hAnsi="仿宋_GB2312" w:eastAsia="仿宋_GB2312" w:cs="仿宋_GB2312"/>
          <w:sz w:val="32"/>
          <w:szCs w:val="32"/>
          <w:lang w:eastAsia="zh-CN"/>
        </w:rPr>
        <w:t>”指</w:t>
      </w:r>
      <w:r>
        <w:rPr>
          <w:rFonts w:hint="eastAsia" w:ascii="仿宋_GB2312" w:hAnsi="仿宋" w:eastAsia="仿宋_GB2312"/>
          <w:color w:val="000000"/>
          <w:spacing w:val="-6"/>
          <w:sz w:val="32"/>
          <w:szCs w:val="32"/>
          <w:highlight w:val="none"/>
        </w:rPr>
        <w:t>202</w:t>
      </w:r>
      <w:r>
        <w:rPr>
          <w:rFonts w:hint="eastAsia" w:ascii="仿宋_GB2312" w:hAnsi="仿宋" w:eastAsia="仿宋_GB2312"/>
          <w:color w:val="000000"/>
          <w:spacing w:val="-6"/>
          <w:sz w:val="32"/>
          <w:szCs w:val="32"/>
          <w:highlight w:val="none"/>
          <w:lang w:val="en-US" w:eastAsia="zh-CN"/>
        </w:rPr>
        <w:t>1</w:t>
      </w:r>
      <w:r>
        <w:rPr>
          <w:rFonts w:hint="eastAsia" w:ascii="仿宋_GB2312" w:hAnsi="仿宋" w:eastAsia="仿宋_GB2312"/>
          <w:color w:val="000000"/>
          <w:spacing w:val="-6"/>
          <w:sz w:val="32"/>
          <w:szCs w:val="32"/>
          <w:highlight w:val="none"/>
        </w:rPr>
        <w:t>年</w:t>
      </w:r>
      <w:r>
        <w:rPr>
          <w:rFonts w:hint="eastAsia" w:ascii="仿宋_GB2312" w:hAnsi="仿宋" w:eastAsia="仿宋_GB2312"/>
          <w:color w:val="000000"/>
          <w:spacing w:val="-6"/>
          <w:sz w:val="32"/>
          <w:szCs w:val="32"/>
          <w:highlight w:val="none"/>
          <w:lang w:val="en-US" w:eastAsia="zh-CN"/>
        </w:rPr>
        <w:t>1</w:t>
      </w:r>
      <w:r>
        <w:rPr>
          <w:rFonts w:hint="eastAsia" w:ascii="仿宋_GB2312" w:hAnsi="仿宋" w:eastAsia="仿宋_GB2312"/>
          <w:color w:val="000000"/>
          <w:spacing w:val="-6"/>
          <w:sz w:val="32"/>
          <w:szCs w:val="32"/>
          <w:highlight w:val="none"/>
        </w:rPr>
        <w:t>月</w:t>
      </w:r>
      <w:r>
        <w:rPr>
          <w:rFonts w:hint="eastAsia" w:ascii="仿宋_GB2312" w:hAnsi="仿宋" w:eastAsia="仿宋_GB2312"/>
          <w:color w:val="000000"/>
          <w:spacing w:val="-6"/>
          <w:sz w:val="32"/>
          <w:szCs w:val="32"/>
          <w:highlight w:val="none"/>
          <w:lang w:val="en-US" w:eastAsia="zh-CN"/>
        </w:rPr>
        <w:t>1</w:t>
      </w:r>
      <w:r>
        <w:rPr>
          <w:rFonts w:hint="eastAsia" w:ascii="仿宋_GB2312" w:hAnsi="仿宋" w:eastAsia="仿宋_GB2312"/>
          <w:color w:val="000000"/>
          <w:spacing w:val="-6"/>
          <w:sz w:val="32"/>
          <w:szCs w:val="32"/>
          <w:highlight w:val="none"/>
        </w:rPr>
        <w:t>日-2023年</w:t>
      </w:r>
      <w:r>
        <w:rPr>
          <w:rFonts w:hint="eastAsia" w:ascii="仿宋_GB2312" w:hAnsi="仿宋" w:eastAsia="仿宋_GB2312"/>
          <w:color w:val="000000"/>
          <w:spacing w:val="-6"/>
          <w:sz w:val="32"/>
          <w:szCs w:val="32"/>
          <w:highlight w:val="none"/>
          <w:lang w:val="en-US" w:eastAsia="zh-CN"/>
        </w:rPr>
        <w:t>12</w:t>
      </w:r>
      <w:r>
        <w:rPr>
          <w:rFonts w:hint="eastAsia" w:ascii="仿宋_GB2312" w:hAnsi="仿宋" w:eastAsia="仿宋_GB2312"/>
          <w:color w:val="000000"/>
          <w:spacing w:val="-6"/>
          <w:sz w:val="32"/>
          <w:szCs w:val="32"/>
          <w:highlight w:val="none"/>
        </w:rPr>
        <w:t>月</w:t>
      </w:r>
      <w:r>
        <w:rPr>
          <w:rFonts w:hint="eastAsia" w:ascii="仿宋_GB2312" w:hAnsi="仿宋" w:eastAsia="仿宋_GB2312"/>
          <w:color w:val="000000"/>
          <w:spacing w:val="-6"/>
          <w:sz w:val="32"/>
          <w:szCs w:val="32"/>
          <w:highlight w:val="none"/>
          <w:lang w:val="en-US" w:eastAsia="zh-CN"/>
        </w:rPr>
        <w:t>31</w:t>
      </w:r>
      <w:r>
        <w:rPr>
          <w:rFonts w:hint="eastAsia" w:ascii="仿宋_GB2312" w:hAnsi="仿宋" w:eastAsia="仿宋_GB2312"/>
          <w:color w:val="000000"/>
          <w:spacing w:val="-6"/>
          <w:sz w:val="32"/>
          <w:szCs w:val="32"/>
          <w:highlight w:val="none"/>
        </w:rPr>
        <w:t>日</w:t>
      </w:r>
      <w:r>
        <w:rPr>
          <w:rFonts w:hint="eastAsia" w:ascii="仿宋_GB2312" w:hAnsi="仿宋_GB2312" w:eastAsia="仿宋_GB2312" w:cs="仿宋_GB2312"/>
          <w:sz w:val="32"/>
          <w:szCs w:val="32"/>
          <w:lang w:eastAsia="zh-CN"/>
        </w:rPr>
        <w:t>）</w:t>
      </w:r>
    </w:p>
    <w:p>
      <w:pPr>
        <w:spacing w:line="560" w:lineRule="exact"/>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（二）支持项目应为</w:t>
      </w:r>
      <w:r>
        <w:rPr>
          <w:rFonts w:hint="eastAsia" w:ascii="仿宋_GB2312" w:hAnsi="仿宋_GB2312" w:eastAsia="仿宋_GB2312" w:cs="仿宋_GB2312"/>
          <w:sz w:val="32"/>
          <w:szCs w:val="32"/>
        </w:rPr>
        <w:t>经市级认定为首店并获得市级首店政策资金支持的亚洲首店、中国中国（内地）首店、北京首店、旗舰店、创新概念店</w:t>
      </w:r>
      <w:r>
        <w:rPr>
          <w:rFonts w:hint="eastAsia" w:ascii="仿宋_GB2312" w:hAnsi="仿宋_GB2312" w:eastAsia="仿宋_GB2312" w:cs="仿宋_GB2312"/>
          <w:sz w:val="32"/>
          <w:szCs w:val="32"/>
          <w:lang w:eastAsia="zh-CN"/>
        </w:rPr>
        <w:t>。</w:t>
      </w:r>
    </w:p>
    <w:p>
      <w:pPr>
        <w:numPr>
          <w:ilvl w:val="0"/>
          <w:numId w:val="2"/>
        </w:numPr>
        <w:spacing w:line="560" w:lineRule="exact"/>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支持主体应</w:t>
      </w:r>
      <w:r>
        <w:rPr>
          <w:rFonts w:hint="eastAsia" w:ascii="仿宋_GB2312" w:hAnsi="仿宋_GB2312" w:eastAsia="仿宋_GB2312" w:cs="仿宋_GB2312"/>
          <w:sz w:val="32"/>
          <w:szCs w:val="32"/>
        </w:rPr>
        <w:t>在经开区入统（企业在经开区开店后入统或在经开区入统后在经开区开店均符合）且达到规模以上并纳入经开区统计联网直报平台</w:t>
      </w:r>
      <w:r>
        <w:rPr>
          <w:rFonts w:hint="eastAsia" w:ascii="仿宋_GB2312" w:hAnsi="仿宋_GB2312" w:eastAsia="仿宋_GB2312" w:cs="仿宋_GB2312"/>
          <w:sz w:val="32"/>
          <w:szCs w:val="32"/>
          <w:lang w:eastAsia="zh-CN"/>
        </w:rPr>
        <w:t>。</w:t>
      </w:r>
    </w:p>
    <w:p>
      <w:pPr>
        <w:pStyle w:val="15"/>
        <w:spacing w:line="560" w:lineRule="exact"/>
        <w:ind w:firstLine="640"/>
        <w:jc w:val="left"/>
        <w:rPr>
          <w:rFonts w:hint="eastAsia" w:ascii="仿宋_GB2312" w:hAnsi="仿宋_GB2312" w:eastAsia="仿宋_GB2312" w:cs="仿宋_GB2312"/>
          <w:sz w:val="32"/>
          <w:szCs w:val="32"/>
        </w:rPr>
      </w:pPr>
      <w:r>
        <w:rPr>
          <w:rFonts w:hint="eastAsia" w:ascii="仿宋_GB2312" w:hAnsi="楷体" w:eastAsia="仿宋_GB2312" w:cs="仿宋_GB2312"/>
          <w:sz w:val="32"/>
          <w:szCs w:val="32"/>
        </w:rPr>
        <w:t>（</w:t>
      </w:r>
      <w:r>
        <w:rPr>
          <w:rFonts w:hint="eastAsia" w:ascii="仿宋_GB2312" w:hAnsi="楷体" w:eastAsia="仿宋_GB2312" w:cs="仿宋_GB2312"/>
          <w:sz w:val="32"/>
          <w:szCs w:val="32"/>
          <w:lang w:eastAsia="zh-CN"/>
        </w:rPr>
        <w:t>四</w:t>
      </w:r>
      <w:r>
        <w:rPr>
          <w:rFonts w:hint="eastAsia" w:ascii="仿宋_GB2312" w:hAnsi="楷体" w:eastAsia="仿宋_GB2312" w:cs="仿宋_GB2312"/>
          <w:sz w:val="32"/>
          <w:szCs w:val="32"/>
        </w:rPr>
        <w:t>）</w:t>
      </w:r>
      <w:r>
        <w:rPr>
          <w:rFonts w:hint="eastAsia" w:ascii="仿宋_GB2312" w:hAnsi="仿宋_GB2312" w:eastAsia="仿宋_GB2312" w:cs="仿宋_GB2312"/>
          <w:sz w:val="32"/>
          <w:szCs w:val="32"/>
        </w:rPr>
        <w:t>有下列情形的不予支持：列入《北京市新增产业的禁止和限制目录》禁止类和限制类范围的；纳入全市联合惩戒“黑名单”的；纳入北京市商务领域不良信用记录名单，受到“不予支持”信用惩戒的。</w:t>
      </w:r>
    </w:p>
    <w:p>
      <w:pPr>
        <w:numPr>
          <w:ilvl w:val="255"/>
          <w:numId w:val="0"/>
        </w:numPr>
        <w:spacing w:line="560" w:lineRule="exact"/>
        <w:ind w:firstLine="603" w:firstLineChars="196"/>
        <w:jc w:val="left"/>
        <w:rPr>
          <w:rFonts w:hint="eastAsia" w:ascii="仿宋_GB2312" w:hAnsi="仿宋_GB2312" w:eastAsia="仿宋_GB2312" w:cs="仿宋_GB2312"/>
          <w:sz w:val="32"/>
          <w:szCs w:val="32"/>
        </w:rPr>
      </w:pPr>
      <w:r>
        <w:rPr>
          <w:rFonts w:hint="eastAsia" w:ascii="仿宋_GB2312" w:hAnsi="仿宋" w:eastAsia="仿宋_GB2312"/>
          <w:color w:val="000000"/>
          <w:spacing w:val="-6"/>
          <w:sz w:val="32"/>
          <w:szCs w:val="32"/>
          <w:highlight w:val="none"/>
        </w:rPr>
        <w:t>（</w:t>
      </w:r>
      <w:r>
        <w:rPr>
          <w:rFonts w:hint="eastAsia" w:ascii="仿宋_GB2312" w:hAnsi="仿宋" w:eastAsia="仿宋_GB2312"/>
          <w:color w:val="000000"/>
          <w:spacing w:val="-6"/>
          <w:sz w:val="32"/>
          <w:szCs w:val="32"/>
          <w:highlight w:val="none"/>
          <w:lang w:eastAsia="zh-CN"/>
        </w:rPr>
        <w:t>五</w:t>
      </w:r>
      <w:r>
        <w:rPr>
          <w:rFonts w:hint="eastAsia" w:ascii="仿宋_GB2312" w:hAnsi="仿宋" w:eastAsia="仿宋_GB2312"/>
          <w:color w:val="000000"/>
          <w:spacing w:val="-6"/>
          <w:sz w:val="32"/>
          <w:szCs w:val="32"/>
          <w:highlight w:val="none"/>
        </w:rPr>
        <w:t>）本政策属于事后奖励，支持项目</w:t>
      </w:r>
      <w:r>
        <w:rPr>
          <w:rFonts w:hint="eastAsia" w:ascii="仿宋_GB2312" w:hAnsi="华文仿宋" w:eastAsia="仿宋_GB2312"/>
          <w:color w:val="000000"/>
          <w:sz w:val="32"/>
          <w:szCs w:val="32"/>
          <w:highlight w:val="none"/>
          <w:lang w:eastAsia="zh-CN"/>
        </w:rPr>
        <w:t>应在北京市商务局</w:t>
      </w:r>
      <w:r>
        <w:rPr>
          <w:rFonts w:ascii="仿宋_GB2312" w:hAnsi="华文仿宋" w:eastAsia="仿宋_GB2312"/>
          <w:color w:val="000000"/>
          <w:sz w:val="32"/>
          <w:szCs w:val="32"/>
          <w:highlight w:val="none"/>
        </w:rPr>
        <w:t>2023年</w:t>
      </w:r>
      <w:r>
        <w:rPr>
          <w:rFonts w:hint="eastAsia" w:ascii="仿宋_GB2312" w:hAnsi="华文仿宋" w:eastAsia="仿宋_GB2312"/>
          <w:color w:val="000000"/>
          <w:sz w:val="32"/>
          <w:szCs w:val="32"/>
          <w:highlight w:val="none"/>
        </w:rPr>
        <w:t>1</w:t>
      </w:r>
      <w:r>
        <w:rPr>
          <w:rFonts w:ascii="仿宋_GB2312" w:hAnsi="华文仿宋" w:eastAsia="仿宋_GB2312"/>
          <w:color w:val="000000"/>
          <w:sz w:val="32"/>
          <w:szCs w:val="32"/>
          <w:highlight w:val="none"/>
        </w:rPr>
        <w:t>月1日</w:t>
      </w:r>
      <w:r>
        <w:rPr>
          <w:rFonts w:hint="eastAsia" w:ascii="仿宋_GB2312" w:hAnsi="华文仿宋" w:eastAsia="仿宋_GB2312"/>
          <w:color w:val="000000"/>
          <w:sz w:val="32"/>
          <w:szCs w:val="32"/>
          <w:highlight w:val="none"/>
        </w:rPr>
        <w:t>-202</w:t>
      </w:r>
      <w:r>
        <w:rPr>
          <w:rFonts w:ascii="仿宋_GB2312" w:hAnsi="华文仿宋" w:eastAsia="仿宋_GB2312"/>
          <w:color w:val="000000"/>
          <w:sz w:val="32"/>
          <w:szCs w:val="32"/>
          <w:highlight w:val="none"/>
        </w:rPr>
        <w:t>3</w:t>
      </w:r>
      <w:r>
        <w:rPr>
          <w:rFonts w:hint="eastAsia" w:ascii="仿宋_GB2312" w:hAnsi="华文仿宋" w:eastAsia="仿宋_GB2312"/>
          <w:color w:val="000000"/>
          <w:sz w:val="32"/>
          <w:szCs w:val="32"/>
          <w:highlight w:val="none"/>
        </w:rPr>
        <w:t>年12月</w:t>
      </w:r>
      <w:r>
        <w:rPr>
          <w:rFonts w:ascii="仿宋_GB2312" w:hAnsi="华文仿宋" w:eastAsia="仿宋_GB2312"/>
          <w:color w:val="000000"/>
          <w:sz w:val="32"/>
          <w:szCs w:val="32"/>
          <w:highlight w:val="none"/>
        </w:rPr>
        <w:t>31</w:t>
      </w:r>
      <w:r>
        <w:rPr>
          <w:rFonts w:hint="eastAsia" w:ascii="仿宋_GB2312" w:hAnsi="华文仿宋" w:eastAsia="仿宋_GB2312"/>
          <w:color w:val="000000"/>
          <w:sz w:val="32"/>
          <w:szCs w:val="32"/>
          <w:highlight w:val="none"/>
        </w:rPr>
        <w:t>日</w:t>
      </w:r>
      <w:r>
        <w:rPr>
          <w:rFonts w:hint="eastAsia" w:ascii="仿宋_GB2312" w:hAnsi="华文仿宋" w:eastAsia="仿宋_GB2312"/>
          <w:color w:val="000000"/>
          <w:sz w:val="32"/>
          <w:szCs w:val="32"/>
          <w:highlight w:val="none"/>
          <w:lang w:eastAsia="zh-CN"/>
        </w:rPr>
        <w:t>期间</w:t>
      </w:r>
      <w:r>
        <w:rPr>
          <w:rFonts w:hint="eastAsia" w:ascii="仿宋_GB2312" w:hAnsi="华文仿宋" w:eastAsia="仿宋_GB2312"/>
          <w:color w:val="000000"/>
          <w:sz w:val="32"/>
          <w:szCs w:val="32"/>
          <w:highlight w:val="none"/>
        </w:rPr>
        <w:t>公布的</w:t>
      </w:r>
      <w:r>
        <w:rPr>
          <w:rFonts w:hint="eastAsia" w:ascii="仿宋_GB2312" w:hAnsi="华文仿宋" w:eastAsia="仿宋_GB2312"/>
          <w:color w:val="000000"/>
          <w:sz w:val="32"/>
          <w:szCs w:val="32"/>
          <w:highlight w:val="none"/>
          <w:lang w:val="en-US" w:eastAsia="zh-CN"/>
        </w:rPr>
        <w:t>鼓励发展商业品牌首店首发项目名单中</w:t>
      </w:r>
      <w:r>
        <w:rPr>
          <w:rFonts w:ascii="仿宋_GB2312" w:hAnsi="华文仿宋" w:eastAsia="仿宋_GB2312"/>
          <w:color w:val="000000"/>
          <w:sz w:val="32"/>
          <w:szCs w:val="32"/>
          <w:highlight w:val="none"/>
        </w:rPr>
        <w:t>。</w:t>
      </w:r>
    </w:p>
    <w:p>
      <w:pPr>
        <w:spacing w:line="560" w:lineRule="exact"/>
        <w:ind w:firstLine="640" w:firstLineChars="200"/>
        <w:outlineLvl w:val="0"/>
        <w:rPr>
          <w:rFonts w:hint="eastAsia" w:ascii="黑体" w:hAnsi="黑体" w:eastAsia="黑体" w:cs="黑体"/>
          <w:bCs/>
          <w:color w:val="000000"/>
          <w:kern w:val="0"/>
          <w:sz w:val="32"/>
          <w:szCs w:val="32"/>
          <w:lang w:eastAsia="zh-CN"/>
        </w:rPr>
      </w:pPr>
      <w:r>
        <w:rPr>
          <w:rFonts w:hint="eastAsia" w:ascii="黑体" w:hAnsi="黑体" w:eastAsia="黑体" w:cs="黑体"/>
          <w:bCs/>
          <w:color w:val="000000"/>
          <w:kern w:val="0"/>
          <w:sz w:val="32"/>
          <w:szCs w:val="32"/>
        </w:rPr>
        <w:t>四、</w:t>
      </w:r>
      <w:r>
        <w:rPr>
          <w:rFonts w:hint="eastAsia" w:ascii="黑体" w:hAnsi="黑体" w:eastAsia="黑体" w:cs="黑体"/>
          <w:bCs/>
          <w:color w:val="000000"/>
          <w:kern w:val="0"/>
          <w:sz w:val="32"/>
          <w:szCs w:val="32"/>
          <w:lang w:eastAsia="zh-CN"/>
        </w:rPr>
        <w:t>支持内容及标准</w:t>
      </w:r>
    </w:p>
    <w:p>
      <w:pPr>
        <w:pStyle w:val="15"/>
        <w:ind w:firstLine="640"/>
        <w:rPr>
          <w:rFonts w:ascii="仿宋_GB2312" w:hAnsi="仿宋_GB2312" w:eastAsia="仿宋_GB2312" w:cs="仿宋_GB2312"/>
          <w:sz w:val="32"/>
          <w:szCs w:val="32"/>
        </w:rPr>
      </w:pPr>
      <w:r>
        <w:rPr>
          <w:rFonts w:hint="eastAsia" w:ascii="仿宋_GB2312" w:hAnsi="楷体" w:eastAsia="仿宋_GB2312" w:cs="仿宋_GB2312"/>
          <w:sz w:val="32"/>
          <w:szCs w:val="32"/>
          <w:lang w:eastAsia="zh-CN"/>
        </w:rPr>
        <w:t>符合支持条件的，</w:t>
      </w:r>
      <w:r>
        <w:rPr>
          <w:rFonts w:hint="eastAsia" w:ascii="仿宋_GB2312" w:hAnsi="仿宋_GB2312" w:eastAsia="仿宋_GB2312" w:cs="仿宋_GB2312"/>
          <w:sz w:val="32"/>
          <w:szCs w:val="32"/>
        </w:rPr>
        <w:t>根据市级支持额度，按照1：0.5比例予以资金支持，零售领域单个首店最高支持250万元，餐饮领域单个首店最高支持25万元。</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五、申报材料及要求</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企业无需提交申报材料。</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六、办事流程</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（一）收集支持项目清单：</w:t>
      </w:r>
      <w:r>
        <w:rPr>
          <w:rFonts w:hint="eastAsia" w:eastAsia="仿宋_GB2312" w:cs="仿宋_GB2312"/>
          <w:sz w:val="32"/>
          <w:szCs w:val="32"/>
        </w:rPr>
        <w:t>经开区商务金融局依据支持内容及标准，</w:t>
      </w:r>
      <w:r>
        <w:rPr>
          <w:rFonts w:hint="eastAsia" w:ascii="仿宋_GB2312" w:hAnsi="等线" w:eastAsia="仿宋_GB2312" w:cs="Times New Roman"/>
          <w:sz w:val="32"/>
          <w:szCs w:val="32"/>
        </w:rPr>
        <w:t>通过北京市</w:t>
      </w:r>
      <w:r>
        <w:rPr>
          <w:rFonts w:hint="eastAsia" w:ascii="仿宋_GB2312" w:hAnsi="等线" w:eastAsia="仿宋_GB2312" w:cs="Times New Roman"/>
          <w:sz w:val="32"/>
          <w:szCs w:val="32"/>
          <w:lang w:eastAsia="zh-CN"/>
        </w:rPr>
        <w:t>商务</w:t>
      </w:r>
      <w:r>
        <w:rPr>
          <w:rFonts w:hint="eastAsia" w:ascii="仿宋_GB2312" w:hAnsi="等线" w:eastAsia="仿宋_GB2312" w:cs="Times New Roman"/>
          <w:sz w:val="32"/>
          <w:szCs w:val="32"/>
        </w:rPr>
        <w:t>局网站查询</w:t>
      </w:r>
      <w:r>
        <w:rPr>
          <w:rFonts w:ascii="仿宋_GB2312" w:hAnsi="华文仿宋" w:eastAsia="仿宋_GB2312"/>
          <w:color w:val="000000"/>
          <w:sz w:val="32"/>
          <w:szCs w:val="32"/>
        </w:rPr>
        <w:t>2023年</w:t>
      </w:r>
      <w:r>
        <w:rPr>
          <w:rFonts w:hint="eastAsia" w:ascii="仿宋_GB2312" w:hAnsi="华文仿宋" w:eastAsia="仿宋_GB2312"/>
          <w:color w:val="000000"/>
          <w:sz w:val="32"/>
          <w:szCs w:val="32"/>
        </w:rPr>
        <w:t>1</w:t>
      </w:r>
      <w:r>
        <w:rPr>
          <w:rFonts w:ascii="仿宋_GB2312" w:hAnsi="华文仿宋" w:eastAsia="仿宋_GB2312"/>
          <w:color w:val="000000"/>
          <w:sz w:val="32"/>
          <w:szCs w:val="32"/>
        </w:rPr>
        <w:t>月1日</w:t>
      </w:r>
      <w:r>
        <w:rPr>
          <w:rFonts w:hint="eastAsia" w:ascii="仿宋_GB2312" w:hAnsi="华文仿宋" w:eastAsia="仿宋_GB2312"/>
          <w:color w:val="000000"/>
          <w:sz w:val="32"/>
          <w:szCs w:val="32"/>
        </w:rPr>
        <w:t>-202</w:t>
      </w:r>
      <w:r>
        <w:rPr>
          <w:rFonts w:ascii="仿宋_GB2312" w:hAnsi="华文仿宋" w:eastAsia="仿宋_GB2312"/>
          <w:color w:val="000000"/>
          <w:sz w:val="32"/>
          <w:szCs w:val="32"/>
        </w:rPr>
        <w:t>3</w:t>
      </w:r>
      <w:r>
        <w:rPr>
          <w:rFonts w:hint="eastAsia" w:ascii="仿宋_GB2312" w:hAnsi="华文仿宋" w:eastAsia="仿宋_GB2312"/>
          <w:color w:val="000000"/>
          <w:sz w:val="32"/>
          <w:szCs w:val="32"/>
        </w:rPr>
        <w:t>年12月</w:t>
      </w:r>
      <w:r>
        <w:rPr>
          <w:rFonts w:ascii="仿宋_GB2312" w:hAnsi="华文仿宋" w:eastAsia="仿宋_GB2312"/>
          <w:color w:val="000000"/>
          <w:sz w:val="32"/>
          <w:szCs w:val="32"/>
        </w:rPr>
        <w:t>31</w:t>
      </w:r>
      <w:r>
        <w:rPr>
          <w:rFonts w:hint="eastAsia" w:ascii="仿宋_GB2312" w:hAnsi="华文仿宋" w:eastAsia="仿宋_GB2312"/>
          <w:color w:val="000000"/>
          <w:sz w:val="32"/>
          <w:szCs w:val="32"/>
        </w:rPr>
        <w:t>日期间公布的</w:t>
      </w:r>
      <w:r>
        <w:rPr>
          <w:rFonts w:hint="eastAsia" w:ascii="仿宋_GB2312" w:hAnsi="华文仿宋" w:eastAsia="仿宋_GB2312"/>
          <w:color w:val="000000"/>
          <w:sz w:val="32"/>
          <w:szCs w:val="32"/>
          <w:highlight w:val="none"/>
          <w:lang w:val="en-US" w:eastAsia="zh-CN"/>
        </w:rPr>
        <w:t>鼓励发展商业品牌首店首发项目</w:t>
      </w:r>
      <w:r>
        <w:rPr>
          <w:rFonts w:hint="eastAsia" w:eastAsia="仿宋_GB2312" w:cs="仿宋_GB2312"/>
          <w:sz w:val="32"/>
          <w:szCs w:val="32"/>
        </w:rPr>
        <w:t>，形成初步项目清单。</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（二）政策符合性审查：</w:t>
      </w:r>
      <w:r>
        <w:rPr>
          <w:rFonts w:hint="eastAsia" w:eastAsia="仿宋_GB2312" w:cs="仿宋_GB2312"/>
          <w:sz w:val="32"/>
          <w:szCs w:val="32"/>
        </w:rPr>
        <w:t>经开区商务金融局会同相关主管部门，根据措施要求以及经开区管委会政策兑现相关规定，对清单中的项目进行审查。</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（三）确定支持结果：</w:t>
      </w:r>
      <w:r>
        <w:rPr>
          <w:rFonts w:hint="eastAsia" w:ascii="仿宋_GB2312" w:hAnsi="仿宋_GB2312" w:eastAsia="仿宋_GB2312" w:cs="仿宋_GB2312"/>
          <w:color w:val="000000"/>
          <w:sz w:val="32"/>
          <w:szCs w:val="32"/>
          <w:highlight w:val="none"/>
        </w:rPr>
        <w:t>经开区</w:t>
      </w:r>
      <w:r>
        <w:rPr>
          <w:rFonts w:hint="eastAsia" w:ascii="仿宋_GB2312" w:hAnsi="仿宋_GB2312" w:eastAsia="仿宋_GB2312" w:cs="仿宋_GB2312"/>
          <w:color w:val="000000"/>
          <w:sz w:val="32"/>
          <w:szCs w:val="32"/>
          <w:highlight w:val="none"/>
          <w:lang w:eastAsia="zh-CN"/>
        </w:rPr>
        <w:t>商务金融</w:t>
      </w:r>
      <w:r>
        <w:rPr>
          <w:rFonts w:hint="eastAsia" w:ascii="仿宋_GB2312" w:hAnsi="仿宋_GB2312" w:eastAsia="仿宋_GB2312" w:cs="仿宋_GB2312"/>
          <w:color w:val="000000"/>
          <w:sz w:val="32"/>
          <w:szCs w:val="32"/>
          <w:highlight w:val="none"/>
        </w:rPr>
        <w:t>局</w:t>
      </w:r>
      <w:r>
        <w:rPr>
          <w:rFonts w:hint="eastAsia" w:ascii="仿宋_GB2312" w:hAnsi="仿宋_GB2312" w:eastAsia="仿宋_GB2312" w:cs="仿宋_GB2312"/>
          <w:color w:val="000000"/>
          <w:kern w:val="2"/>
          <w:sz w:val="32"/>
          <w:szCs w:val="32"/>
          <w:highlight w:val="none"/>
        </w:rPr>
        <w:t>对审核通过的申报主体拟定兑现扶持奖励金额</w:t>
      </w:r>
      <w:r>
        <w:rPr>
          <w:rFonts w:hint="eastAsia" w:ascii="仿宋_GB2312" w:hAnsi="仿宋_GB2312" w:eastAsia="仿宋_GB2312" w:cs="仿宋_GB2312"/>
          <w:color w:val="000000"/>
          <w:sz w:val="32"/>
          <w:szCs w:val="32"/>
        </w:rPr>
        <w:t>。</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（四）公示：</w:t>
      </w:r>
      <w:r>
        <w:rPr>
          <w:rFonts w:hint="eastAsia" w:eastAsia="仿宋_GB2312" w:cs="仿宋_GB2312"/>
          <w:sz w:val="32"/>
          <w:szCs w:val="32"/>
        </w:rPr>
        <w:t>经开区商务金融局通过政策兑现综合服务平台对审核通过的支持主体进行公示。</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（五）确认账户信息：</w:t>
      </w:r>
      <w:r>
        <w:rPr>
          <w:rFonts w:hint="eastAsia" w:ascii="仿宋_GB2312" w:hAnsi="仿宋_GB2312" w:eastAsia="仿宋_GB2312" w:cs="仿宋_GB2312"/>
          <w:color w:val="000000"/>
          <w:sz w:val="32"/>
          <w:szCs w:val="32"/>
        </w:rPr>
        <w:t>经公示无异议的</w:t>
      </w:r>
      <w:r>
        <w:rPr>
          <w:rFonts w:hint="eastAsia" w:eastAsia="仿宋_GB2312" w:cs="仿宋_GB2312"/>
          <w:sz w:val="32"/>
          <w:szCs w:val="32"/>
        </w:rPr>
        <w:t>项目，通知企业上传承诺书及银行账户信息的盖章彩色扫描件。</w:t>
      </w:r>
    </w:p>
    <w:p>
      <w:pPr>
        <w:pStyle w:val="8"/>
        <w:shd w:val="clear" w:color="auto" w:fill="FFFFFF"/>
        <w:spacing w:beforeAutospacing="0" w:afterAutospacing="0" w:line="560" w:lineRule="exact"/>
        <w:ind w:firstLine="642" w:firstLineChars="200"/>
        <w:rPr>
          <w:rFonts w:eastAsia="仿宋_GB2312" w:cs="仿宋_GB2312"/>
          <w:szCs w:val="32"/>
        </w:rPr>
      </w:pPr>
      <w:r>
        <w:rPr>
          <w:rFonts w:hint="eastAsia" w:ascii="仿宋_GB2312" w:hAnsi="仿宋_GB2312" w:eastAsia="仿宋_GB2312" w:cs="仿宋_GB2312"/>
          <w:b/>
          <w:bCs/>
          <w:color w:val="000000"/>
          <w:szCs w:val="32"/>
        </w:rPr>
        <w:t>（六）资金拨付</w:t>
      </w:r>
      <w:r>
        <w:rPr>
          <w:rFonts w:hint="eastAsia" w:ascii="仿宋_GB2312" w:hAnsi="仿宋_GB2312" w:eastAsia="仿宋_GB2312" w:cs="仿宋_GB2312"/>
          <w:color w:val="000000"/>
          <w:szCs w:val="32"/>
        </w:rPr>
        <w:t>：确认无误的，完成资金拨付工作。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经开区商务金融局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八、联系人及联系方式</w:t>
      </w:r>
    </w:p>
    <w:p>
      <w:pPr>
        <w:spacing w:line="560" w:lineRule="exact"/>
        <w:ind w:firstLine="629"/>
        <w:rPr>
          <w:rFonts w:ascii="仿宋_GB2312" w:hAnsi="仿宋_GB2312" w:eastAsia="仿宋_GB2312" w:cs="仿宋_GB2312"/>
          <w:sz w:val="32"/>
          <w:highlight w:val="none"/>
        </w:rPr>
      </w:pPr>
      <w:bookmarkStart w:id="0" w:name="_Hlk153491882"/>
      <w:r>
        <w:rPr>
          <w:rFonts w:hint="eastAsia" w:ascii="仿宋_GB2312" w:hAnsi="仿宋_GB2312" w:eastAsia="仿宋_GB2312" w:cs="仿宋_GB2312"/>
          <w:sz w:val="32"/>
          <w:highlight w:val="none"/>
        </w:rPr>
        <w:t>政策咨询：</w:t>
      </w:r>
    </w:p>
    <w:p>
      <w:pPr>
        <w:spacing w:line="560" w:lineRule="exact"/>
        <w:ind w:firstLine="640" w:firstLineChars="200"/>
        <w:rPr>
          <w:rFonts w:eastAsia="仿宋_GB2312"/>
          <w:sz w:val="32"/>
          <w:szCs w:val="32"/>
          <w:highlight w:val="none"/>
        </w:rPr>
      </w:pPr>
      <w:r>
        <w:rPr>
          <w:rFonts w:hint="eastAsia" w:eastAsia="仿宋_GB2312"/>
          <w:sz w:val="32"/>
          <w:szCs w:val="32"/>
          <w:highlight w:val="none"/>
        </w:rPr>
        <w:t>经开区政务服务中心“政策申报”窗口，联系电话：</w:t>
      </w:r>
      <w:r>
        <w:rPr>
          <w:rFonts w:hint="eastAsia" w:ascii="仿宋_GB2312" w:hAnsi="仿宋_GB2312" w:eastAsia="仿宋_GB2312" w:cs="仿宋_GB2312"/>
          <w:sz w:val="32"/>
          <w:szCs w:val="32"/>
          <w:highlight w:val="none"/>
        </w:rPr>
        <w:t>010-67857687</w:t>
      </w:r>
      <w:r>
        <w:rPr>
          <w:rFonts w:hint="eastAsia" w:eastAsia="仿宋_GB2312"/>
          <w:sz w:val="32"/>
          <w:szCs w:val="32"/>
          <w:highlight w:val="none"/>
        </w:rPr>
        <w:t>；</w:t>
      </w:r>
      <w:r>
        <w:rPr>
          <w:rFonts w:hint="eastAsia" w:ascii="仿宋_GB2312" w:hAnsi="仿宋_GB2312" w:eastAsia="仿宋_GB2312" w:cs="仿宋_GB2312"/>
          <w:sz w:val="32"/>
          <w:szCs w:val="32"/>
          <w:highlight w:val="none"/>
        </w:rPr>
        <w:t>010-67857878转4；工作日上午9:00—12:00，下午1:30—5:00。</w:t>
      </w:r>
    </w:p>
    <w:p>
      <w:pPr>
        <w:spacing w:line="560" w:lineRule="exact"/>
        <w:ind w:firstLine="640" w:firstLineChars="200"/>
        <w:rPr>
          <w:rFonts w:eastAsia="仿宋_GB2312"/>
          <w:sz w:val="32"/>
          <w:szCs w:val="32"/>
          <w:highlight w:val="none"/>
        </w:rPr>
      </w:pPr>
      <w:r>
        <w:rPr>
          <w:rFonts w:hint="eastAsia" w:eastAsia="仿宋_GB2312"/>
          <w:sz w:val="32"/>
          <w:szCs w:val="32"/>
          <w:highlight w:val="none"/>
        </w:rPr>
        <w:t>经开区</w:t>
      </w:r>
      <w:r>
        <w:rPr>
          <w:rFonts w:hint="eastAsia" w:eastAsia="仿宋_GB2312"/>
          <w:sz w:val="32"/>
          <w:szCs w:val="32"/>
          <w:highlight w:val="none"/>
          <w:lang w:eastAsia="zh-CN"/>
        </w:rPr>
        <w:t>商务金融</w:t>
      </w:r>
      <w:r>
        <w:rPr>
          <w:rFonts w:hint="eastAsia" w:eastAsia="仿宋_GB2312"/>
          <w:sz w:val="32"/>
          <w:szCs w:val="32"/>
          <w:highlight w:val="none"/>
        </w:rPr>
        <w:t>局</w:t>
      </w:r>
      <w:r>
        <w:rPr>
          <w:rFonts w:hint="eastAsia" w:ascii="仿宋_GB2312" w:hAnsi="仿宋_GB2312" w:eastAsia="仿宋_GB2312" w:cs="仿宋_GB2312"/>
          <w:sz w:val="32"/>
          <w:szCs w:val="32"/>
          <w:highlight w:val="none"/>
        </w:rPr>
        <w:t>，联系电话：010-</w:t>
      </w:r>
      <w:r>
        <w:rPr>
          <w:rFonts w:hint="eastAsia" w:ascii="仿宋_GB2312" w:hAnsi="仿宋_GB2312" w:eastAsia="仿宋_GB2312" w:cs="仿宋_GB2312"/>
          <w:sz w:val="32"/>
          <w:szCs w:val="32"/>
          <w:highlight w:val="none"/>
          <w:lang w:val="en-US" w:eastAsia="zh-CN"/>
        </w:rPr>
        <w:t>87162372</w:t>
      </w:r>
      <w:r>
        <w:rPr>
          <w:rFonts w:hint="eastAsia" w:ascii="仿宋_GB2312" w:hAnsi="仿宋_GB2312" w:eastAsia="仿宋_GB2312" w:cs="仿宋_GB2312"/>
          <w:sz w:val="32"/>
          <w:szCs w:val="32"/>
          <w:highlight w:val="none"/>
        </w:rPr>
        <w:t>，工作日上午9:00—12:00，下午2:00—6:00。</w:t>
      </w:r>
    </w:p>
    <w:p>
      <w:pPr>
        <w:spacing w:line="560" w:lineRule="exact"/>
        <w:ind w:firstLine="629"/>
        <w:rPr>
          <w:rFonts w:ascii="仿宋_GB2312" w:hAnsi="仿宋_GB2312" w:eastAsia="仿宋_GB2312" w:cs="仿宋_GB2312"/>
          <w:sz w:val="32"/>
          <w:highlight w:val="none"/>
        </w:rPr>
      </w:pPr>
      <w:r>
        <w:rPr>
          <w:rFonts w:hint="eastAsia" w:ascii="仿宋_GB2312" w:hAnsi="仿宋_GB2312" w:eastAsia="仿宋_GB2312" w:cs="仿宋_GB2312"/>
          <w:sz w:val="32"/>
          <w:highlight w:val="none"/>
        </w:rPr>
        <w:t>技术支持：</w:t>
      </w:r>
    </w:p>
    <w:p>
      <w:pPr>
        <w:spacing w:line="560" w:lineRule="exact"/>
        <w:ind w:firstLine="640" w:firstLineChars="200"/>
        <w:rPr>
          <w:rFonts w:eastAsia="仿宋_GB2312"/>
          <w:sz w:val="32"/>
          <w:szCs w:val="32"/>
          <w:highlight w:val="none"/>
        </w:rPr>
      </w:pPr>
      <w:r>
        <w:rPr>
          <w:rFonts w:hint="eastAsia" w:eastAsia="仿宋_GB2312"/>
          <w:sz w:val="32"/>
          <w:szCs w:val="32"/>
          <w:highlight w:val="none"/>
        </w:rPr>
        <w:t>联系电话</w:t>
      </w:r>
      <w:r>
        <w:rPr>
          <w:rFonts w:hint="eastAsia" w:ascii="仿宋_GB2312" w:hAnsi="仿宋_GB2312" w:eastAsia="仿宋_GB2312" w:cs="仿宋_GB2312"/>
          <w:sz w:val="32"/>
          <w:szCs w:val="32"/>
          <w:highlight w:val="none"/>
        </w:rPr>
        <w:t>：010-67857638，工作日上午9:00—12:00，下午2:00—6:00。</w:t>
      </w:r>
    </w:p>
    <w:bookmarkEnd w:id="0"/>
    <w:p>
      <w:pPr>
        <w:spacing w:line="560" w:lineRule="exact"/>
        <w:ind w:firstLine="640" w:firstLineChars="200"/>
        <w:outlineLvl w:val="0"/>
        <w:rPr>
          <w:rFonts w:ascii="仿宋_GB2312" w:hAnsi="仿宋_GB2312" w:eastAsia="仿宋_GB2312" w:cs="仿宋_GB2312"/>
          <w:sz w:val="32"/>
          <w:szCs w:val="32"/>
          <w:highlight w:val="none"/>
        </w:rPr>
      </w:pPr>
      <w:bookmarkStart w:id="1" w:name="_Hlk153491814"/>
      <w:r>
        <w:rPr>
          <w:rFonts w:hint="eastAsia" w:ascii="黑体" w:hAnsi="黑体" w:eastAsia="黑体" w:cs="黑体"/>
          <w:sz w:val="32"/>
          <w:szCs w:val="32"/>
          <w:highlight w:val="none"/>
        </w:rPr>
        <w:t>九、收费标准</w:t>
      </w:r>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不收费</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十、特别说明</w:t>
      </w:r>
    </w:p>
    <w:p>
      <w:pPr>
        <w:spacing w:line="560" w:lineRule="exact"/>
        <w:ind w:firstLine="640" w:firstLineChars="200"/>
        <w:jc w:val="left"/>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无</w:t>
      </w:r>
    </w:p>
    <w:bookmarkEnd w:id="1"/>
    <w:p>
      <w:pPr>
        <w:spacing w:line="560" w:lineRule="exact"/>
        <w:ind w:firstLine="640" w:firstLineChars="200"/>
        <w:jc w:val="left"/>
        <w:rPr>
          <w:rFonts w:ascii="仿宋_GB2312" w:eastAsia="仿宋_GB2312"/>
          <w:sz w:val="32"/>
          <w:szCs w:val="32"/>
        </w:rPr>
      </w:pPr>
    </w:p>
    <w:sectPr>
      <w:pgSz w:w="11906" w:h="16838"/>
      <w:pgMar w:top="1440" w:right="1440" w:bottom="144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等线">
    <w:altName w:val="汉仪中宋简"/>
    <w:panose1 w:val="02010600030101010101"/>
    <w:charset w:val="86"/>
    <w:family w:val="auto"/>
    <w:pitch w:val="default"/>
    <w:sig w:usb0="00000000" w:usb1="00000000" w:usb2="00000016" w:usb3="00000000" w:csb0="0004000F" w:csb1="00000000"/>
  </w:font>
  <w:font w:name="汉仪中宋简">
    <w:panose1 w:val="02010600000101010101"/>
    <w:charset w:val="86"/>
    <w:family w:val="auto"/>
    <w:pitch w:val="default"/>
    <w:sig w:usb0="00000001" w:usb1="080E0800" w:usb2="00000002" w:usb3="00000000" w:csb0="00040000" w:csb1="00000000"/>
  </w:font>
  <w:font w:name="等线">
    <w:altName w:val="仿宋_GB2312"/>
    <w:panose1 w:val="00000000000000000000"/>
    <w:charset w:val="86"/>
    <w:family w:val="auto"/>
    <w:pitch w:val="default"/>
    <w:sig w:usb0="00000000" w:usb1="00000000" w:usb2="00000000" w:usb3="00000000" w:csb0="00000000" w:csb1="00000000"/>
  </w:font>
  <w:font w:name="等线">
    <w:altName w:val="仿宋_GB2312"/>
    <w:panose1 w:val="00000000000000000000"/>
    <w:charset w:val="00"/>
    <w:family w:val="auto"/>
    <w:pitch w:val="default"/>
    <w:sig w:usb0="00000000" w:usb1="00000000" w:usb2="00000000" w:usb3="00000000" w:csb0="00000000" w:csb1="00000000"/>
  </w:font>
  <w:font w:name="等线 Light">
    <w:altName w:val="汉仪中宋简"/>
    <w:panose1 w:val="02010600030101010101"/>
    <w:charset w:val="86"/>
    <w:family w:val="auto"/>
    <w:pitch w:val="default"/>
    <w:sig w:usb0="00000000" w:usb1="00000000" w:usb2="00000016" w:usb3="00000000" w:csb0="0004000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华文仿宋">
    <w:altName w:val="汉仪仿宋简"/>
    <w:panose1 w:val="02010600040101010101"/>
    <w:charset w:val="86"/>
    <w:family w:val="auto"/>
    <w:pitch w:val="default"/>
    <w:sig w:usb0="00000000" w:usb1="00000000" w:usb2="00000000" w:usb3="00000000" w:csb0="0004009F" w:csb1="DFD70000"/>
  </w:font>
  <w:font w:name="汉仪仿宋简">
    <w:panose1 w:val="02010600000101010101"/>
    <w:charset w:val="86"/>
    <w:family w:val="auto"/>
    <w:pitch w:val="default"/>
    <w:sig w:usb0="00000001" w:usb1="080E0800" w:usb2="00000002" w:usb3="00000000" w:csb0="00040000" w:csb1="00000000"/>
  </w:font>
  <w:font w:name="Arial">
    <w:altName w:val="DejaVu Sans"/>
    <w:panose1 w:val="00000000000000000000"/>
    <w:charset w:val="00"/>
    <w:family w:val="auto"/>
    <w:pitch w:val="default"/>
    <w:sig w:usb0="00000000" w:usb1="00000000" w:usb2="00000000" w:usb3="00000000" w:csb0="00000000" w:csb1="00000000"/>
  </w:font>
  <w:font w:name="等线 Light">
    <w:altName w:val="仿宋_GB2312"/>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74726F6"/>
    <w:multiLevelType w:val="singleLevel"/>
    <w:tmpl w:val="F74726F6"/>
    <w:lvl w:ilvl="0" w:tentative="0">
      <w:start w:val="3"/>
      <w:numFmt w:val="chineseCounting"/>
      <w:suff w:val="nothing"/>
      <w:lvlText w:val="（%1）"/>
      <w:lvlJc w:val="left"/>
      <w:rPr>
        <w:rFonts w:hint="eastAsia"/>
      </w:rPr>
    </w:lvl>
  </w:abstractNum>
  <w:abstractNum w:abstractNumId="1">
    <w:nsid w:val="4BF6696E"/>
    <w:multiLevelType w:val="multilevel"/>
    <w:tmpl w:val="4BF6696E"/>
    <w:lvl w:ilvl="0" w:tentative="0">
      <w:start w:val="1"/>
      <w:numFmt w:val="japaneseCounting"/>
      <w:lvlText w:val="（%1）"/>
      <w:lvlJc w:val="left"/>
      <w:pPr>
        <w:ind w:left="720" w:hanging="720"/>
      </w:pPr>
      <w:rPr>
        <w:rFonts w:hint="eastAsia" w:ascii="仿宋_GB2312" w:hAnsi="仿宋" w:eastAsia="仿宋_GB2312"/>
        <w:lang w:val="en-US"/>
      </w:rPr>
    </w:lvl>
    <w:lvl w:ilvl="1" w:tentative="0">
      <w:start w:val="1"/>
      <w:numFmt w:val="decimal"/>
      <w:lvlText w:val="%2."/>
      <w:lvlJc w:val="left"/>
      <w:pPr>
        <w:ind w:left="927"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6F4"/>
    <w:rsid w:val="00001E3F"/>
    <w:rsid w:val="00024950"/>
    <w:rsid w:val="00051D33"/>
    <w:rsid w:val="00074F9C"/>
    <w:rsid w:val="0008509A"/>
    <w:rsid w:val="00087005"/>
    <w:rsid w:val="00097BE2"/>
    <w:rsid w:val="00105CCF"/>
    <w:rsid w:val="001240CA"/>
    <w:rsid w:val="00141348"/>
    <w:rsid w:val="00170DDD"/>
    <w:rsid w:val="00171B67"/>
    <w:rsid w:val="00177097"/>
    <w:rsid w:val="00191ADE"/>
    <w:rsid w:val="001A1C31"/>
    <w:rsid w:val="00200271"/>
    <w:rsid w:val="00242834"/>
    <w:rsid w:val="002804C5"/>
    <w:rsid w:val="002857AF"/>
    <w:rsid w:val="00294456"/>
    <w:rsid w:val="002C4863"/>
    <w:rsid w:val="002D5036"/>
    <w:rsid w:val="002D7957"/>
    <w:rsid w:val="002E3B92"/>
    <w:rsid w:val="002E457F"/>
    <w:rsid w:val="00300C55"/>
    <w:rsid w:val="003375CA"/>
    <w:rsid w:val="003E5300"/>
    <w:rsid w:val="003F5352"/>
    <w:rsid w:val="00440E02"/>
    <w:rsid w:val="00445B7F"/>
    <w:rsid w:val="0046579E"/>
    <w:rsid w:val="00484469"/>
    <w:rsid w:val="004B2E90"/>
    <w:rsid w:val="004B3159"/>
    <w:rsid w:val="004B69F0"/>
    <w:rsid w:val="004C4B5A"/>
    <w:rsid w:val="00503393"/>
    <w:rsid w:val="0053084E"/>
    <w:rsid w:val="00565D37"/>
    <w:rsid w:val="00570B21"/>
    <w:rsid w:val="005800CC"/>
    <w:rsid w:val="005B1189"/>
    <w:rsid w:val="005B7C6E"/>
    <w:rsid w:val="005C0EA1"/>
    <w:rsid w:val="005C5B29"/>
    <w:rsid w:val="005D52E9"/>
    <w:rsid w:val="005E3FA1"/>
    <w:rsid w:val="005E457D"/>
    <w:rsid w:val="005F2FDB"/>
    <w:rsid w:val="005F5364"/>
    <w:rsid w:val="00617507"/>
    <w:rsid w:val="00623E16"/>
    <w:rsid w:val="00636FDE"/>
    <w:rsid w:val="006915CF"/>
    <w:rsid w:val="006A757A"/>
    <w:rsid w:val="006D096C"/>
    <w:rsid w:val="007058B2"/>
    <w:rsid w:val="007522A9"/>
    <w:rsid w:val="00795588"/>
    <w:rsid w:val="0079648A"/>
    <w:rsid w:val="007D1066"/>
    <w:rsid w:val="007D31CE"/>
    <w:rsid w:val="007F138D"/>
    <w:rsid w:val="0081195C"/>
    <w:rsid w:val="00814853"/>
    <w:rsid w:val="00817509"/>
    <w:rsid w:val="00851271"/>
    <w:rsid w:val="00863C2B"/>
    <w:rsid w:val="008871BB"/>
    <w:rsid w:val="008906F4"/>
    <w:rsid w:val="00891E37"/>
    <w:rsid w:val="008A0FE4"/>
    <w:rsid w:val="008D3858"/>
    <w:rsid w:val="008E6F4D"/>
    <w:rsid w:val="00943AFF"/>
    <w:rsid w:val="00956F0D"/>
    <w:rsid w:val="00957CE9"/>
    <w:rsid w:val="009963A5"/>
    <w:rsid w:val="009C470F"/>
    <w:rsid w:val="00A1040E"/>
    <w:rsid w:val="00A17682"/>
    <w:rsid w:val="00A232F3"/>
    <w:rsid w:val="00A5123D"/>
    <w:rsid w:val="00A5769A"/>
    <w:rsid w:val="00A646CA"/>
    <w:rsid w:val="00A7485D"/>
    <w:rsid w:val="00B50495"/>
    <w:rsid w:val="00B65953"/>
    <w:rsid w:val="00BA27BD"/>
    <w:rsid w:val="00BB1C98"/>
    <w:rsid w:val="00C02078"/>
    <w:rsid w:val="00C1398D"/>
    <w:rsid w:val="00C46AB2"/>
    <w:rsid w:val="00CA535E"/>
    <w:rsid w:val="00CB345C"/>
    <w:rsid w:val="00CB4A5D"/>
    <w:rsid w:val="00CC7D6D"/>
    <w:rsid w:val="00CD14AB"/>
    <w:rsid w:val="00CF3DBE"/>
    <w:rsid w:val="00D03D1E"/>
    <w:rsid w:val="00D441B6"/>
    <w:rsid w:val="00D47BB7"/>
    <w:rsid w:val="00D61C41"/>
    <w:rsid w:val="00D64A65"/>
    <w:rsid w:val="00D72476"/>
    <w:rsid w:val="00DA5E4C"/>
    <w:rsid w:val="00DD0472"/>
    <w:rsid w:val="00E62D15"/>
    <w:rsid w:val="00E83FDB"/>
    <w:rsid w:val="00E84723"/>
    <w:rsid w:val="00EB414F"/>
    <w:rsid w:val="00EF658A"/>
    <w:rsid w:val="00EF7CE7"/>
    <w:rsid w:val="00F0779D"/>
    <w:rsid w:val="00F1220C"/>
    <w:rsid w:val="00F3613B"/>
    <w:rsid w:val="00F53B27"/>
    <w:rsid w:val="00F66C7A"/>
    <w:rsid w:val="00FB08B7"/>
    <w:rsid w:val="00FB3B03"/>
    <w:rsid w:val="00FD364C"/>
    <w:rsid w:val="00FF060E"/>
    <w:rsid w:val="00FF6BBD"/>
    <w:rsid w:val="04FB51B6"/>
    <w:rsid w:val="077B3976"/>
    <w:rsid w:val="0BFF8AF0"/>
    <w:rsid w:val="2FB69E8E"/>
    <w:rsid w:val="3F5763DA"/>
    <w:rsid w:val="3FFC45A9"/>
    <w:rsid w:val="47FFF81F"/>
    <w:rsid w:val="5AF78EAB"/>
    <w:rsid w:val="61CF8E14"/>
    <w:rsid w:val="71B5FD2C"/>
    <w:rsid w:val="73D7975A"/>
    <w:rsid w:val="78D3EE72"/>
    <w:rsid w:val="7ABE58F8"/>
    <w:rsid w:val="7FE71797"/>
    <w:rsid w:val="8377261C"/>
    <w:rsid w:val="8B6E7736"/>
    <w:rsid w:val="9CFFB057"/>
    <w:rsid w:val="9D7FC6EB"/>
    <w:rsid w:val="BEF703B3"/>
    <w:rsid w:val="BF57E2DE"/>
    <w:rsid w:val="D4DB376A"/>
    <w:rsid w:val="DBFEA893"/>
    <w:rsid w:val="DD9DFEE5"/>
    <w:rsid w:val="DEFF7CDC"/>
    <w:rsid w:val="E4CF83DF"/>
    <w:rsid w:val="E7EF9C68"/>
    <w:rsid w:val="F6BB282F"/>
    <w:rsid w:val="FBBB286F"/>
    <w:rsid w:val="FBE7DE65"/>
    <w:rsid w:val="FEFF8061"/>
    <w:rsid w:val="FFBF97A9"/>
    <w:rsid w:val="FFF652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0"/>
    <w:qFormat/>
    <w:uiPriority w:val="9"/>
    <w:pPr>
      <w:keepNext/>
      <w:keepLines/>
      <w:spacing w:before="340" w:after="330" w:line="578" w:lineRule="auto"/>
      <w:outlineLvl w:val="0"/>
    </w:pPr>
    <w:rPr>
      <w:rFonts w:eastAsia="黑体"/>
      <w:b/>
      <w:bCs/>
      <w:kern w:val="44"/>
      <w:sz w:val="32"/>
      <w:szCs w:val="44"/>
    </w:rPr>
  </w:style>
  <w:style w:type="paragraph" w:styleId="3">
    <w:name w:val="heading 2"/>
    <w:basedOn w:val="1"/>
    <w:next w:val="1"/>
    <w:link w:val="22"/>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Body Text"/>
    <w:basedOn w:val="1"/>
    <w:next w:val="5"/>
    <w:link w:val="19"/>
    <w:qFormat/>
    <w:uiPriority w:val="0"/>
    <w:pPr>
      <w:spacing w:after="140" w:line="276" w:lineRule="auto"/>
    </w:pPr>
    <w:rPr>
      <w:rFonts w:ascii="Calibri" w:hAnsi="Calibri" w:eastAsia="宋体" w:cs="Times New Roman"/>
      <w:szCs w:val="24"/>
    </w:rPr>
  </w:style>
  <w:style w:type="paragraph" w:customStyle="1" w:styleId="5">
    <w:name w:val="toc 11"/>
    <w:next w:val="1"/>
    <w:qFormat/>
    <w:uiPriority w:val="0"/>
    <w:pPr>
      <w:wordWrap w:val="0"/>
      <w:jc w:val="both"/>
    </w:pPr>
    <w:rPr>
      <w:rFonts w:ascii="Times New Roman" w:hAnsi="Times New Roman" w:eastAsia="宋体" w:cs="Times New Roman"/>
      <w:kern w:val="0"/>
      <w:sz w:val="21"/>
      <w:szCs w:val="22"/>
      <w:lang w:val="en-US" w:eastAsia="zh-CN" w:bidi="ar-SA"/>
    </w:rPr>
  </w:style>
  <w:style w:type="paragraph" w:styleId="6">
    <w:name w:val="footer"/>
    <w:basedOn w:val="1"/>
    <w:link w:val="14"/>
    <w:unhideWhenUsed/>
    <w:qFormat/>
    <w:uiPriority w:val="99"/>
    <w:pPr>
      <w:tabs>
        <w:tab w:val="center" w:pos="4513"/>
        <w:tab w:val="right" w:pos="9026"/>
      </w:tabs>
      <w:snapToGrid w:val="0"/>
      <w:jc w:val="left"/>
    </w:pPr>
    <w:rPr>
      <w:sz w:val="18"/>
      <w:szCs w:val="18"/>
    </w:rPr>
  </w:style>
  <w:style w:type="paragraph" w:styleId="7">
    <w:name w:val="header"/>
    <w:basedOn w:val="1"/>
    <w:link w:val="13"/>
    <w:unhideWhenUsed/>
    <w:qFormat/>
    <w:uiPriority w:val="0"/>
    <w:pPr>
      <w:pBdr>
        <w:bottom w:val="single" w:color="auto" w:sz="6" w:space="1"/>
      </w:pBdr>
      <w:tabs>
        <w:tab w:val="center" w:pos="4513"/>
        <w:tab w:val="right" w:pos="9026"/>
      </w:tabs>
      <w:snapToGrid w:val="0"/>
      <w:jc w:val="center"/>
    </w:pPr>
    <w:rPr>
      <w:sz w:val="18"/>
      <w:szCs w:val="18"/>
    </w:rPr>
  </w:style>
  <w:style w:type="paragraph" w:styleId="8">
    <w:name w:val="Normal (Web)"/>
    <w:basedOn w:val="1"/>
    <w:unhideWhenUsed/>
    <w:qFormat/>
    <w:uiPriority w:val="0"/>
    <w:pPr>
      <w:spacing w:before="100" w:beforeAutospacing="1" w:after="100" w:afterAutospacing="1"/>
    </w:pPr>
    <w:rPr>
      <w:rFonts w:ascii="Times New Roman" w:hAnsi="Times New Roman" w:eastAsia="宋体" w:cs="Times New Roman"/>
      <w:sz w:val="32"/>
    </w:rPr>
  </w:style>
  <w:style w:type="character" w:styleId="11">
    <w:name w:val="Strong"/>
    <w:basedOn w:val="10"/>
    <w:qFormat/>
    <w:uiPriority w:val="22"/>
    <w:rPr>
      <w:b/>
      <w:bCs/>
    </w:rPr>
  </w:style>
  <w:style w:type="character" w:styleId="12">
    <w:name w:val="Hyperlink"/>
    <w:basedOn w:val="10"/>
    <w:unhideWhenUsed/>
    <w:qFormat/>
    <w:uiPriority w:val="99"/>
    <w:rPr>
      <w:color w:val="0563C1" w:themeColor="hyperlink"/>
      <w:u w:val="single"/>
      <w14:textFill>
        <w14:solidFill>
          <w14:schemeClr w14:val="hlink"/>
        </w14:solidFill>
      </w14:textFill>
    </w:rPr>
  </w:style>
  <w:style w:type="character" w:customStyle="1" w:styleId="13">
    <w:name w:val="页眉 字符"/>
    <w:basedOn w:val="10"/>
    <w:link w:val="7"/>
    <w:qFormat/>
    <w:uiPriority w:val="0"/>
    <w:rPr>
      <w:sz w:val="18"/>
      <w:szCs w:val="18"/>
    </w:rPr>
  </w:style>
  <w:style w:type="character" w:customStyle="1" w:styleId="14">
    <w:name w:val="页脚 字符"/>
    <w:basedOn w:val="10"/>
    <w:link w:val="6"/>
    <w:qFormat/>
    <w:uiPriority w:val="99"/>
    <w:rPr>
      <w:sz w:val="18"/>
      <w:szCs w:val="18"/>
    </w:rPr>
  </w:style>
  <w:style w:type="paragraph" w:styleId="15">
    <w:name w:val="List Paragraph"/>
    <w:basedOn w:val="1"/>
    <w:qFormat/>
    <w:uiPriority w:val="34"/>
    <w:pPr>
      <w:ind w:firstLine="420" w:firstLineChars="200"/>
    </w:pPr>
  </w:style>
  <w:style w:type="character" w:customStyle="1" w:styleId="16">
    <w:name w:val="Unresolved Mention"/>
    <w:basedOn w:val="10"/>
    <w:semiHidden/>
    <w:unhideWhenUsed/>
    <w:qFormat/>
    <w:uiPriority w:val="99"/>
    <w:rPr>
      <w:color w:val="605E5C"/>
      <w:shd w:val="clear" w:color="auto" w:fill="E1DFDD"/>
    </w:rPr>
  </w:style>
  <w:style w:type="character" w:customStyle="1" w:styleId="17">
    <w:name w:val="font61"/>
    <w:basedOn w:val="10"/>
    <w:qFormat/>
    <w:uiPriority w:val="0"/>
    <w:rPr>
      <w:rFonts w:hint="eastAsia" w:ascii="宋体" w:hAnsi="宋体" w:eastAsia="宋体" w:cs="宋体"/>
      <w:color w:val="000000"/>
      <w:sz w:val="24"/>
      <w:szCs w:val="24"/>
      <w:u w:val="none"/>
    </w:rPr>
  </w:style>
  <w:style w:type="character" w:customStyle="1" w:styleId="18">
    <w:name w:val="font31"/>
    <w:basedOn w:val="10"/>
    <w:qFormat/>
    <w:uiPriority w:val="0"/>
    <w:rPr>
      <w:rFonts w:hint="default" w:ascii="Times New Roman" w:hAnsi="Times New Roman" w:cs="Times New Roman"/>
      <w:color w:val="000000"/>
      <w:sz w:val="24"/>
      <w:szCs w:val="24"/>
      <w:u w:val="none"/>
    </w:rPr>
  </w:style>
  <w:style w:type="character" w:customStyle="1" w:styleId="19">
    <w:name w:val="正文文本 字符"/>
    <w:basedOn w:val="10"/>
    <w:link w:val="4"/>
    <w:qFormat/>
    <w:uiPriority w:val="0"/>
    <w:rPr>
      <w:rFonts w:ascii="Calibri" w:hAnsi="Calibri" w:eastAsia="宋体" w:cs="Times New Roman"/>
      <w:szCs w:val="24"/>
    </w:rPr>
  </w:style>
  <w:style w:type="character" w:customStyle="1" w:styleId="20">
    <w:name w:val="标题 1 字符"/>
    <w:basedOn w:val="10"/>
    <w:link w:val="2"/>
    <w:qFormat/>
    <w:uiPriority w:val="9"/>
    <w:rPr>
      <w:rFonts w:eastAsia="黑体"/>
      <w:b/>
      <w:bCs/>
      <w:kern w:val="44"/>
      <w:sz w:val="32"/>
      <w:szCs w:val="44"/>
    </w:rPr>
  </w:style>
  <w:style w:type="paragraph" w:styleId="2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标题 2 字符"/>
    <w:basedOn w:val="10"/>
    <w:link w:val="3"/>
    <w:qFormat/>
    <w:uiPriority w:val="9"/>
    <w:rPr>
      <w:rFonts w:asciiTheme="majorHAnsi" w:hAnsiTheme="majorHAnsi" w:eastAsiaTheme="majorEastAsia" w:cstheme="majorBidi"/>
      <w:b/>
      <w:bCs/>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182</Words>
  <Characters>1043</Characters>
  <Lines>8</Lines>
  <Paragraphs>2</Paragraphs>
  <TotalTime>10</TotalTime>
  <ScaleCrop>false</ScaleCrop>
  <LinksUpToDate>false</LinksUpToDate>
  <CharactersWithSpaces>1223</CharactersWithSpaces>
  <Application>WPS Office_11.8.2.11764_F1E327BC-269C-435d-A152-05C5408002CA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2024-02-18T22:29:00Z</dcterms:created>
  <dc:creator>Connie Ye/CHN</dc:creator>
  <cp:lastModifiedBy>bda</cp:lastModifiedBy>
  <dcterms:modified xsi:type="dcterms:W3CDTF">2024-02-26T16:18:37Z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2052-11.8.2.11764</vt:lpwstr>
  </property>
  <property fmtid="{D5CDD505-2E9C-101B-9397-08002B2CF9AE}" pid="3" name="ICV">
    <vt:lpwstr>495883D4B49A4313470AD3656451C5B9</vt:lpwstr>
  </property>
</Properties>
</file>