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仿宋_GB2312" w:hAnsi="仿宋_GB2312" w:eastAsia="黑体" w:cs="仿宋_GB2312"/>
          <w:b/>
          <w:bCs/>
          <w:sz w:val="32"/>
          <w:szCs w:val="32"/>
        </w:rPr>
      </w:pPr>
      <w:bookmarkStart w:id="0" w:name="_Toc126151261"/>
      <w:bookmarkStart w:id="1" w:name="_Toc129097069"/>
      <w:bookmarkStart w:id="2" w:name="_Toc126153478"/>
      <w:bookmarkStart w:id="3" w:name="_Toc18923"/>
      <w:r>
        <w:rPr>
          <w:rFonts w:hint="eastAsia" w:ascii="黑体" w:hAnsi="黑体" w:eastAsia="黑体" w:cs="黑体"/>
          <w:color w:val="333333"/>
          <w:spacing w:val="15"/>
          <w:kern w:val="0"/>
          <w:sz w:val="32"/>
          <w:szCs w:val="32"/>
          <w:shd w:val="clear" w:color="auto" w:fill="FFFFFF"/>
        </w:rPr>
        <w:t>附件2</w:t>
      </w: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新能源供热项目办事指南</w:t>
      </w:r>
    </w:p>
    <w:p>
      <w:pPr>
        <w:keepNext w:val="0"/>
        <w:keepLines w:val="0"/>
        <w:pageBreakBefore w:val="0"/>
        <w:kinsoku/>
        <w:wordWrap/>
        <w:overflowPunct/>
        <w:topLinePunct w:val="0"/>
        <w:autoSpaceDE/>
        <w:autoSpaceDN/>
        <w:bidi w:val="0"/>
        <w:adjustRightInd/>
        <w:snapToGrid/>
        <w:spacing w:line="540" w:lineRule="exact"/>
        <w:jc w:val="left"/>
        <w:textAlignment w:val="auto"/>
        <w:rPr>
          <w:rFonts w:ascii="仿宋_GB2312" w:hAnsi="仿宋_GB2312" w:eastAsia="仿宋_GB2312" w:cs="仿宋_GB2312"/>
          <w:sz w:val="32"/>
          <w:szCs w:val="32"/>
        </w:rPr>
      </w:pP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黑体" w:hAnsi="黑体" w:eastAsia="黑体" w:cs="黑体"/>
          <w:color w:val="000000"/>
          <w:kern w:val="0"/>
          <w:sz w:val="32"/>
          <w:szCs w:val="32"/>
        </w:rPr>
      </w:pPr>
      <w:r>
        <w:rPr>
          <w:rFonts w:hint="eastAsia" w:ascii="黑体" w:hAnsi="黑体" w:eastAsia="黑体" w:cs="黑体"/>
          <w:sz w:val="32"/>
          <w:szCs w:val="32"/>
        </w:rPr>
        <w:t>一、政策依据</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bCs/>
          <w:color w:val="0000FF"/>
          <w:kern w:val="0"/>
          <w:sz w:val="32"/>
          <w:szCs w:val="32"/>
        </w:rPr>
      </w:pPr>
      <w:r>
        <w:rPr>
          <w:rFonts w:hint="eastAsia" w:ascii="仿宋_GB2312" w:hAnsi="仿宋_GB2312" w:eastAsia="仿宋_GB2312" w:cs="仿宋_GB2312"/>
          <w:bCs/>
          <w:color w:val="000000"/>
          <w:kern w:val="0"/>
          <w:sz w:val="32"/>
          <w:szCs w:val="32"/>
        </w:rPr>
        <w:t>《北京经济技术开发区促进绿色低碳高质量发展资金奖励办法》（京技管发</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2023</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31号）</w:t>
      </w:r>
      <w:r>
        <w:rPr>
          <w:rFonts w:hint="eastAsia" w:ascii="仿宋_GB2312" w:hAnsi="仿宋_GB2312" w:eastAsia="仿宋_GB2312" w:cs="仿宋_GB2312"/>
          <w:bCs/>
          <w:kern w:val="0"/>
          <w:sz w:val="32"/>
          <w:szCs w:val="32"/>
        </w:rPr>
        <w:t>第十八条支持项目：</w:t>
      </w:r>
      <w:r>
        <w:rPr>
          <w:rFonts w:hint="eastAsia" w:ascii="仿宋_GB2312" w:hAnsi="仿宋_GB2312" w:eastAsia="仿宋_GB2312" w:cs="仿宋_GB2312"/>
          <w:b/>
          <w:kern w:val="0"/>
          <w:sz w:val="32"/>
          <w:szCs w:val="32"/>
        </w:rPr>
        <w:t>新能源供热项目</w:t>
      </w:r>
      <w:r>
        <w:rPr>
          <w:rFonts w:hint="eastAsia" w:ascii="仿宋_GB2312" w:hAnsi="仿宋_GB2312" w:eastAsia="仿宋_GB2312" w:cs="仿宋_GB2312"/>
          <w:bCs/>
          <w:kern w:val="0"/>
          <w:sz w:val="32"/>
          <w:szCs w:val="32"/>
        </w:rPr>
        <w:t>。该项目为节能降碳类支持方向。</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黑体" w:hAnsi="黑体" w:eastAsia="黑体" w:cs="黑体"/>
          <w:sz w:val="32"/>
          <w:szCs w:val="32"/>
        </w:rPr>
      </w:pPr>
      <w:r>
        <w:rPr>
          <w:rFonts w:hint="eastAsia" w:ascii="黑体" w:hAnsi="黑体" w:eastAsia="黑体" w:cs="黑体"/>
          <w:sz w:val="32"/>
          <w:szCs w:val="32"/>
        </w:rPr>
        <w:t>二、申报事项</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新能源供热项目</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（一）申报主体应在亦庄新城225平方公里范围内依法注册、纳税、入统。</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（二）近三年无重大行政处罚记录、刑事犯罪记录，未被列入严重违法失信主体名单，未发生重大生产安全事故和突发环境事件。</w:t>
      </w:r>
      <w:r>
        <w:rPr>
          <w:rFonts w:hint="eastAsia" w:ascii="仿宋_GB2312" w:hAnsi="仿宋" w:eastAsia="仿宋_GB2312"/>
          <w:color w:val="000000"/>
          <w:spacing w:val="-6"/>
          <w:sz w:val="32"/>
          <w:szCs w:val="32"/>
        </w:rPr>
        <w:t>（“近三年”指2020年11月24日-2023年11月24日）</w:t>
      </w:r>
      <w:bookmarkStart w:id="4" w:name="_GoBack"/>
      <w:bookmarkEnd w:id="4"/>
    </w:p>
    <w:p>
      <w:pPr>
        <w:keepNext w:val="0"/>
        <w:keepLines w:val="0"/>
        <w:pageBreakBefore w:val="0"/>
        <w:kinsoku/>
        <w:wordWrap/>
        <w:overflowPunct/>
        <w:topLinePunct w:val="0"/>
        <w:autoSpaceDE/>
        <w:autoSpaceDN/>
        <w:bidi w:val="0"/>
        <w:adjustRightInd/>
        <w:snapToGrid/>
        <w:spacing w:line="540" w:lineRule="exact"/>
        <w:ind w:firstLine="627" w:firstLineChars="196"/>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（三）同一单位同一项目符合本政策规定的多个支持方向及经开区其他专项支持政策的，按照从高从优不重复的原则申请支持。</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（四）本政策属于事后奖励，申报项目工程进度原则上须已实施完成。原则上市级主管部门对项目资金申请报告的批复时间为2021年11月1日起。</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（五）以下项目不列入支持范围：</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1.未获得节能审查意见的数据中心项目；</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2.使用政府财政资金投资建设的项目。</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ascii="仿宋_GB2312" w:hAnsi="仿宋" w:eastAsia="仿宋_GB2312"/>
          <w:color w:val="000000"/>
          <w:sz w:val="32"/>
          <w:szCs w:val="32"/>
        </w:rPr>
        <w:t xml:space="preserve">对获得市级补助的新能源供热项目，政策按照项目投资额的10%进行配套奖励，新能源供热技术类型包括：浅层地源热泵（不含水源热泵），中深层水热型地热，中深层井下换热型地热，再生水源热泵，污水源热泵，城市和工业余热利用（鼓励优先应用低碳热泵技术），绿电蓄热，绿氢供热等新能源供热系统。 </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黑体" w:hAnsi="黑体" w:eastAsia="黑体" w:cs="黑体"/>
          <w:sz w:val="32"/>
          <w:szCs w:val="32"/>
        </w:rPr>
      </w:pPr>
      <w:r>
        <w:rPr>
          <w:rFonts w:hint="eastAsia" w:ascii="黑体" w:hAnsi="黑体" w:eastAsia="黑体" w:cs="黑体"/>
          <w:sz w:val="32"/>
          <w:szCs w:val="32"/>
        </w:rPr>
        <w:t>五、申报材料及要求</w:t>
      </w:r>
    </w:p>
    <w:p>
      <w:pPr>
        <w:keepNext w:val="0"/>
        <w:keepLines w:val="0"/>
        <w:pageBreakBefore w:val="0"/>
        <w:kinsoku/>
        <w:wordWrap/>
        <w:overflowPunct/>
        <w:topLinePunct w:val="0"/>
        <w:autoSpaceDE/>
        <w:autoSpaceDN/>
        <w:bidi w:val="0"/>
        <w:adjustRightInd/>
        <w:snapToGrid/>
        <w:spacing w:line="540" w:lineRule="exact"/>
        <w:ind w:firstLine="664" w:firstLineChars="200"/>
        <w:jc w:val="left"/>
        <w:textAlignment w:val="auto"/>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（一）申报材料</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1.北京经济技术开发区新能源供热项目奖励申报表，在线填写；</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3.承诺书，下载模板填写，签字、加盖公章，彩色扫描上传</w:t>
      </w:r>
      <w:r>
        <w:rPr>
          <w:rFonts w:hint="eastAsia" w:ascii="仿宋_GB2312" w:hAnsi="仿宋_GB2312" w:eastAsia="仿宋_GB2312" w:cs="仿宋_GB2312"/>
          <w:spacing w:val="6"/>
          <w:sz w:val="32"/>
          <w:szCs w:val="32"/>
        </w:rPr>
        <w:t>；</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4.银行账户信息，下载模板填写，加盖公章，彩色扫描上传</w:t>
      </w:r>
      <w:r>
        <w:rPr>
          <w:rFonts w:hint="eastAsia" w:ascii="仿宋_GB2312" w:hAnsi="仿宋_GB2312" w:eastAsia="仿宋_GB2312" w:cs="仿宋_GB2312"/>
          <w:spacing w:val="6"/>
          <w:sz w:val="32"/>
          <w:szCs w:val="32"/>
        </w:rPr>
        <w:t>；</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5.北京市发展和改革委关于项目补贴的批复文件，原件彩色扫描上传。</w:t>
      </w:r>
    </w:p>
    <w:p>
      <w:pPr>
        <w:keepNext w:val="0"/>
        <w:keepLines w:val="0"/>
        <w:pageBreakBefore w:val="0"/>
        <w:kinsoku/>
        <w:wordWrap/>
        <w:overflowPunct/>
        <w:topLinePunct w:val="0"/>
        <w:autoSpaceDE/>
        <w:autoSpaceDN/>
        <w:bidi w:val="0"/>
        <w:adjustRightInd/>
        <w:snapToGrid/>
        <w:spacing w:line="540" w:lineRule="exact"/>
        <w:ind w:firstLine="664" w:firstLineChars="200"/>
        <w:jc w:val="left"/>
        <w:textAlignment w:val="auto"/>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（二）打印纸质材料要求</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w:t>
      </w:r>
      <w:r>
        <w:rPr>
          <w:rFonts w:ascii="仿宋_GB2312" w:hAnsi="仿宋_GB2312" w:eastAsia="仿宋_GB2312" w:cs="仿宋_GB2312"/>
          <w:sz w:val="32"/>
          <w:szCs w:val="32"/>
        </w:rPr>
        <w:t>两</w:t>
      </w:r>
      <w:r>
        <w:rPr>
          <w:rFonts w:hint="eastAsia" w:ascii="仿宋_GB2312" w:hAnsi="仿宋_GB2312" w:eastAsia="仿宋_GB2312" w:cs="仿宋_GB2312"/>
          <w:sz w:val="32"/>
          <w:szCs w:val="32"/>
        </w:rPr>
        <w:t>份有序装订（整本首页、骑缝盖章），其中银行账户信息无需装订，加盖公章，一并递交至受理窗口。</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黑体" w:hAnsi="黑体" w:eastAsia="黑体" w:cs="黑体"/>
          <w:sz w:val="32"/>
          <w:szCs w:val="32"/>
        </w:rPr>
      </w:pPr>
      <w:r>
        <w:rPr>
          <w:rFonts w:hint="eastAsia" w:ascii="黑体" w:hAnsi="黑体" w:eastAsia="黑体" w:cs="黑体"/>
          <w:sz w:val="32"/>
          <w:szCs w:val="32"/>
        </w:rPr>
        <w:t>六、办理程序</w:t>
      </w:r>
    </w:p>
    <w:p>
      <w:pPr>
        <w:pStyle w:val="11"/>
        <w:keepNext w:val="0"/>
        <w:keepLines w:val="0"/>
        <w:pageBreakBefore w:val="0"/>
        <w:widowControl/>
        <w:numPr>
          <w:ilvl w:val="255"/>
          <w:numId w:val="0"/>
        </w:numPr>
        <w:shd w:val="clear" w:color="auto" w:fill="FFFFFF"/>
        <w:kinsoku/>
        <w:wordWrap/>
        <w:overflowPunct/>
        <w:topLinePunct w:val="0"/>
        <w:autoSpaceDE/>
        <w:autoSpaceDN/>
        <w:bidi w:val="0"/>
        <w:adjustRightInd/>
        <w:snapToGrid/>
        <w:spacing w:beforeAutospacing="0" w:afterAutospacing="0" w:line="540" w:lineRule="exact"/>
        <w:ind w:firstLine="640" w:firstLineChars="200"/>
        <w:jc w:val="left"/>
        <w:textAlignment w:val="auto"/>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或使用360浏览器的极速模式登录网址：zcdx.kfqgw.beijing.gov.cn</w:t>
      </w:r>
      <w:r>
        <w:rPr>
          <w:rFonts w:hint="eastAsia" w:ascii="仿宋_GB2312" w:hAnsi="仿宋_GB2312" w:eastAsia="仿宋_GB2312" w:cs="仿宋_GB2312"/>
          <w:color w:val="000000"/>
          <w:sz w:val="32"/>
          <w:szCs w:val="32"/>
        </w:rPr>
        <w:t>，注册登录后进行项目申报。如未在规定时间内提交申报材料的，视为自动放弃。</w:t>
      </w:r>
    </w:p>
    <w:p>
      <w:pPr>
        <w:pStyle w:val="11"/>
        <w:keepNext w:val="0"/>
        <w:keepLines w:val="0"/>
        <w:pageBreakBefore w:val="0"/>
        <w:widowControl/>
        <w:numPr>
          <w:ilvl w:val="255"/>
          <w:numId w:val="0"/>
        </w:numPr>
        <w:shd w:val="clear" w:color="auto" w:fill="FFFFFF"/>
        <w:kinsoku/>
        <w:wordWrap/>
        <w:overflowPunct/>
        <w:topLinePunct w:val="0"/>
        <w:autoSpaceDE/>
        <w:autoSpaceDN/>
        <w:bidi w:val="0"/>
        <w:adjustRightInd/>
        <w:snapToGrid/>
        <w:spacing w:beforeAutospacing="0" w:afterAutospacing="0" w:line="540" w:lineRule="exact"/>
        <w:ind w:firstLine="640" w:firstLineChars="200"/>
        <w:jc w:val="left"/>
        <w:textAlignment w:val="auto"/>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11"/>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40" w:lineRule="exact"/>
        <w:ind w:firstLine="640" w:firstLineChars="200"/>
        <w:jc w:val="left"/>
        <w:textAlignment w:val="auto"/>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经济发展局</w:t>
      </w:r>
      <w:r>
        <w:rPr>
          <w:rFonts w:hint="eastAsia" w:ascii="仿宋_GB2312" w:hAnsi="仿宋_GB2312" w:eastAsia="仿宋_GB2312" w:cs="仿宋_GB2312"/>
          <w:color w:val="000000"/>
          <w:kern w:val="2"/>
          <w:sz w:val="32"/>
          <w:szCs w:val="32"/>
        </w:rPr>
        <w:t>对申报材料进行实质审核。</w:t>
      </w:r>
    </w:p>
    <w:p>
      <w:pPr>
        <w:pStyle w:val="11"/>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40" w:lineRule="exact"/>
        <w:ind w:firstLine="640" w:firstLineChars="200"/>
        <w:jc w:val="left"/>
        <w:textAlignment w:val="auto"/>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11"/>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40" w:lineRule="exact"/>
        <w:ind w:firstLine="640" w:firstLineChars="200"/>
        <w:jc w:val="left"/>
        <w:textAlignment w:val="auto"/>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（五）</w:t>
      </w:r>
      <w:r>
        <w:rPr>
          <w:rFonts w:hint="eastAsia" w:ascii="仿宋_GB2312" w:hAnsi="仿宋_GB2312" w:eastAsia="仿宋_GB2312" w:cs="仿宋_GB2312"/>
          <w:b/>
          <w:bCs/>
          <w:kern w:val="2"/>
          <w:sz w:val="32"/>
          <w:szCs w:val="32"/>
        </w:rPr>
        <w:t>专家评审：</w:t>
      </w:r>
      <w:r>
        <w:rPr>
          <w:rFonts w:hint="eastAsia" w:ascii="仿宋_GB2312" w:hAnsi="仿宋_GB2312" w:eastAsia="仿宋_GB2312" w:cs="仿宋_GB2312"/>
          <w:kern w:val="2"/>
          <w:sz w:val="32"/>
          <w:szCs w:val="32"/>
        </w:rPr>
        <w:t>经开区经济发展局组织专家线下对申报材料进行评审，同时勘察现场，评审后将结果上传到系统。</w:t>
      </w:r>
    </w:p>
    <w:p>
      <w:pPr>
        <w:pStyle w:val="11"/>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40" w:lineRule="exact"/>
        <w:ind w:firstLine="640" w:firstLineChars="200"/>
        <w:jc w:val="left"/>
        <w:textAlignment w:val="auto"/>
        <w:rPr>
          <w:rFonts w:ascii="仿宋_GB2312" w:hAnsi="仿宋_GB2312" w:eastAsia="仿宋_GB2312" w:cs="仿宋_GB2312"/>
          <w:color w:val="000000"/>
          <w:kern w:val="2"/>
          <w:sz w:val="32"/>
          <w:szCs w:val="32"/>
        </w:rPr>
      </w:pPr>
      <w:r>
        <w:rPr>
          <w:rFonts w:hint="eastAsia" w:ascii="仿宋_GB2312" w:hAnsi="仿宋_GB2312" w:eastAsia="仿宋_GB2312" w:cs="仿宋_GB2312"/>
          <w:kern w:val="2"/>
          <w:sz w:val="32"/>
          <w:szCs w:val="32"/>
        </w:rPr>
        <w:t>（六）</w:t>
      </w:r>
      <w:r>
        <w:rPr>
          <w:rFonts w:hint="eastAsia" w:ascii="仿宋_GB2312" w:hAnsi="仿宋_GB2312" w:eastAsia="仿宋_GB2312" w:cs="仿宋_GB2312"/>
          <w:b/>
          <w:bCs/>
          <w:kern w:val="2"/>
          <w:sz w:val="32"/>
          <w:szCs w:val="32"/>
        </w:rPr>
        <w:t>确定支持结果</w:t>
      </w:r>
      <w:r>
        <w:rPr>
          <w:rFonts w:hint="eastAsia" w:ascii="仿宋_GB2312" w:hAnsi="仿宋_GB2312" w:eastAsia="仿宋_GB2312" w:cs="仿宋_GB2312"/>
          <w:kern w:val="2"/>
          <w:sz w:val="32"/>
          <w:szCs w:val="32"/>
        </w:rPr>
        <w:t>：经开区经济发展局</w:t>
      </w:r>
      <w:r>
        <w:rPr>
          <w:rFonts w:hint="eastAsia" w:ascii="仿宋_GB2312" w:hAnsi="仿宋_GB2312" w:eastAsia="仿宋_GB2312" w:cs="仿宋_GB2312"/>
          <w:color w:val="000000"/>
          <w:sz w:val="32"/>
          <w:szCs w:val="32"/>
        </w:rPr>
        <w:t>对审核通过的申报主体拟定兑现支持奖励金额</w:t>
      </w:r>
      <w:r>
        <w:rPr>
          <w:rFonts w:hint="eastAsia" w:ascii="仿宋_GB2312" w:hAnsi="仿宋_GB2312" w:eastAsia="仿宋_GB2312" w:cs="仿宋_GB2312"/>
          <w:color w:val="000000"/>
          <w:kern w:val="2"/>
          <w:sz w:val="32"/>
          <w:szCs w:val="32"/>
        </w:rPr>
        <w:t>。</w:t>
      </w:r>
    </w:p>
    <w:p>
      <w:pPr>
        <w:pStyle w:val="11"/>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40" w:lineRule="exact"/>
        <w:ind w:firstLine="640" w:firstLineChars="200"/>
        <w:jc w:val="left"/>
        <w:textAlignment w:val="auto"/>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：经开区经济发展局通过政策兑现综合服务平台对审核通过的申报主体进行公示。</w:t>
      </w:r>
    </w:p>
    <w:p>
      <w:pPr>
        <w:pStyle w:val="11"/>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40" w:lineRule="exact"/>
        <w:ind w:firstLine="640" w:firstLineChars="200"/>
        <w:jc w:val="left"/>
        <w:textAlignment w:val="auto"/>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：经公示无异议的，经开区财务结算中心完成资金拨付工作。</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黑体" w:hAnsi="黑体" w:eastAsia="黑体" w:cs="黑体"/>
          <w:sz w:val="32"/>
          <w:szCs w:val="32"/>
        </w:rPr>
      </w:pPr>
      <w:r>
        <w:rPr>
          <w:rFonts w:hint="eastAsia" w:ascii="黑体" w:hAnsi="黑体" w:eastAsia="黑体" w:cs="黑体"/>
          <w:sz w:val="32"/>
          <w:szCs w:val="32"/>
        </w:rPr>
        <w:t>七、主责部门</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b/>
          <w:bCs/>
          <w:sz w:val="32"/>
          <w:szCs w:val="32"/>
        </w:rPr>
      </w:pPr>
      <w:r>
        <w:rPr>
          <w:rFonts w:hint="eastAsia" w:ascii="仿宋_GB2312" w:hAnsi="黑体" w:eastAsia="仿宋_GB2312"/>
          <w:color w:val="000000"/>
          <w:sz w:val="32"/>
          <w:szCs w:val="32"/>
        </w:rPr>
        <w:t>经开区经济发展局</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黑体" w:hAnsi="黑体" w:eastAsia="黑体" w:cs="黑体"/>
          <w:sz w:val="32"/>
          <w:szCs w:val="32"/>
        </w:rPr>
      </w:pPr>
      <w:r>
        <w:rPr>
          <w:rFonts w:hint="eastAsia" w:ascii="黑体" w:hAnsi="黑体" w:eastAsia="黑体" w:cs="黑体"/>
          <w:sz w:val="32"/>
          <w:szCs w:val="32"/>
        </w:rPr>
        <w:t>八、受理窗口</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黑体" w:hAnsi="黑体" w:eastAsia="黑体" w:cs="黑体"/>
          <w:sz w:val="32"/>
          <w:szCs w:val="32"/>
        </w:rPr>
      </w:pPr>
      <w:r>
        <w:rPr>
          <w:rFonts w:hint="eastAsia" w:ascii="黑体" w:hAnsi="黑体" w:eastAsia="黑体" w:cs="黑体"/>
          <w:sz w:val="32"/>
          <w:szCs w:val="32"/>
        </w:rPr>
        <w:t>九、申报时间</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2024年4月16日至202</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年4月30日</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黑体" w:hAnsi="黑体" w:eastAsia="黑体" w:cs="黑体"/>
          <w:sz w:val="32"/>
          <w:szCs w:val="32"/>
        </w:rPr>
      </w:pPr>
      <w:r>
        <w:rPr>
          <w:rFonts w:hint="eastAsia" w:ascii="黑体" w:hAnsi="黑体" w:eastAsia="黑体" w:cs="黑体"/>
          <w:sz w:val="32"/>
          <w:szCs w:val="32"/>
        </w:rPr>
        <w:t>十、联系人及联系方式</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政策咨询</w:t>
      </w:r>
      <w:r>
        <w:rPr>
          <w:rFonts w:hint="eastAsia" w:ascii="仿宋_GB2312" w:hAnsi="仿宋_GB2312" w:eastAsia="仿宋_GB2312" w:cs="仿宋_GB2312"/>
          <w:sz w:val="32"/>
          <w:szCs w:val="32"/>
          <w:lang w:eastAsia="zh-CN"/>
        </w:rPr>
        <w:t>：</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eastAsia="仿宋_GB2312"/>
          <w:sz w:val="32"/>
          <w:szCs w:val="32"/>
        </w:rPr>
      </w:pPr>
      <w:r>
        <w:rPr>
          <w:rFonts w:hint="eastAsia" w:eastAsia="仿宋_GB2312"/>
          <w:sz w:val="32"/>
          <w:szCs w:val="32"/>
        </w:rPr>
        <w:t>经开区经济发展局</w:t>
      </w:r>
      <w:r>
        <w:rPr>
          <w:rFonts w:hint="eastAsia" w:ascii="仿宋_GB2312" w:hAnsi="仿宋_GB2312" w:eastAsia="仿宋_GB2312" w:cs="仿宋_GB2312"/>
          <w:sz w:val="32"/>
          <w:szCs w:val="32"/>
        </w:rPr>
        <w:t>，联系电话：010-67882073，工作日上午9:00—12:00，下午2:00—6:00。</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hint="eastAsia" w:eastAsia="仿宋_GB2312"/>
          <w:sz w:val="32"/>
          <w:szCs w:val="32"/>
          <w:lang w:eastAsia="zh-CN"/>
        </w:rPr>
      </w:pPr>
      <w:r>
        <w:rPr>
          <w:rFonts w:hint="eastAsia" w:eastAsia="仿宋_GB2312"/>
          <w:sz w:val="32"/>
          <w:szCs w:val="32"/>
        </w:rPr>
        <w:t>技术支持</w:t>
      </w:r>
      <w:r>
        <w:rPr>
          <w:rFonts w:hint="eastAsia" w:eastAsia="仿宋_GB2312"/>
          <w:sz w:val="32"/>
          <w:szCs w:val="32"/>
          <w:lang w:eastAsia="zh-CN"/>
        </w:rPr>
        <w:t>：</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ascii="黑体" w:hAnsi="黑体" w:eastAsia="黑体" w:cs="黑体"/>
          <w:sz w:val="32"/>
          <w:szCs w:val="32"/>
        </w:rPr>
        <w:t>十一、收费标准</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黑体" w:hAnsi="黑体" w:eastAsia="黑体" w:cs="黑体"/>
          <w:sz w:val="32"/>
          <w:szCs w:val="32"/>
        </w:rPr>
      </w:pPr>
      <w:r>
        <w:rPr>
          <w:rFonts w:hint="eastAsia" w:ascii="黑体" w:hAnsi="黑体" w:eastAsia="黑体" w:cs="黑体"/>
          <w:sz w:val="32"/>
          <w:szCs w:val="32"/>
        </w:rPr>
        <w:t>十二、特别说明</w:t>
      </w:r>
    </w:p>
    <w:p>
      <w:pPr>
        <w:keepNext w:val="0"/>
        <w:keepLines w:val="0"/>
        <w:pageBreakBefore w:val="0"/>
        <w:kinsoku/>
        <w:wordWrap/>
        <w:overflowPunct/>
        <w:topLinePunct w:val="0"/>
        <w:autoSpaceDE/>
        <w:autoSpaceDN/>
        <w:bidi w:val="0"/>
        <w:adjustRightInd/>
        <w:snapToGrid/>
        <w:spacing w:line="540" w:lineRule="exact"/>
        <w:ind w:firstLine="640" w:firstLineChars="200"/>
        <w:jc w:val="left"/>
        <w:textAlignment w:val="auto"/>
        <w:rPr>
          <w:rFonts w:ascii="仿宋_GB2312" w:hAnsi="仿宋_GB2312" w:eastAsia="仿宋_GB2312" w:cs="仿宋_GB2312"/>
          <w:sz w:val="32"/>
          <w:szCs w:val="32"/>
        </w:rPr>
      </w:pPr>
      <w:r>
        <w:rPr>
          <w:rFonts w:hint="eastAsia" w:ascii="楷体_GB2312" w:hAnsi="楷体" w:eastAsia="楷体_GB2312"/>
          <w:sz w:val="32"/>
        </w:rPr>
        <w:t>（一）</w:t>
      </w:r>
      <w:r>
        <w:rPr>
          <w:rFonts w:hint="eastAsia" w:ascii="仿宋_GB2312" w:hAnsi="仿宋_GB2312" w:eastAsia="仿宋_GB2312" w:cs="仿宋_GB2312"/>
          <w:sz w:val="32"/>
          <w:szCs w:val="32"/>
        </w:rPr>
        <w:t>本政策奖励范围不包含空气源热泵，如项目涉及空气源热泵，该部分投资将在项目总投资额中予以核减。</w:t>
      </w:r>
    </w:p>
    <w:p>
      <w:pPr>
        <w:keepNext w:val="0"/>
        <w:keepLines w:val="0"/>
        <w:pageBreakBefore w:val="0"/>
        <w:kinsoku/>
        <w:wordWrap/>
        <w:overflowPunct/>
        <w:topLinePunct w:val="0"/>
        <w:autoSpaceDE/>
        <w:autoSpaceDN/>
        <w:bidi w:val="0"/>
        <w:adjustRightInd/>
        <w:snapToGrid/>
        <w:spacing w:line="540" w:lineRule="exact"/>
        <w:jc w:val="left"/>
        <w:textAlignment w:val="auto"/>
      </w:pPr>
      <w:r>
        <w:rPr>
          <w:rFonts w:hint="eastAsia"/>
        </w:rPr>
        <w:t xml:space="preserve">  </w:t>
      </w:r>
      <w:r>
        <w:rPr>
          <w:rFonts w:hint="eastAsia" w:ascii="仿宋_GB2312" w:hAnsi="仿宋_GB2312" w:eastAsia="仿宋_GB2312" w:cs="仿宋_GB2312"/>
          <w:sz w:val="32"/>
          <w:szCs w:val="32"/>
        </w:rPr>
        <w:t xml:space="preserve">  </w:t>
      </w:r>
      <w:r>
        <w:rPr>
          <w:rFonts w:hint="eastAsia" w:ascii="楷体_GB2312" w:hAnsi="楷体" w:eastAsia="楷体_GB2312"/>
          <w:sz w:val="32"/>
        </w:rPr>
        <w:t>（二）</w:t>
      </w:r>
      <w:r>
        <w:rPr>
          <w:rFonts w:hint="eastAsia" w:ascii="仿宋_GB2312" w:hAnsi="仿宋_GB2312" w:eastAsia="仿宋_GB2312" w:cs="仿宋_GB2312"/>
          <w:sz w:val="32"/>
          <w:szCs w:val="32"/>
        </w:rPr>
        <w:t>对于公示期满前申报主体发生重大行政处罚、刑事犯罪，被列入严重违法失信主体名单，发生重大生产安全事故和突发环境事件的项目不予支持。</w:t>
      </w:r>
    </w:p>
    <w:bookmarkEnd w:id="0"/>
    <w:bookmarkEnd w:id="1"/>
    <w:bookmarkEnd w:id="2"/>
    <w:bookmarkEnd w:id="3"/>
    <w:p>
      <w:pPr>
        <w:keepNext w:val="0"/>
        <w:keepLines w:val="0"/>
        <w:pageBreakBefore w:val="0"/>
        <w:kinsoku/>
        <w:wordWrap/>
        <w:overflowPunct/>
        <w:topLinePunct w:val="0"/>
        <w:autoSpaceDE/>
        <w:autoSpaceDN/>
        <w:bidi w:val="0"/>
        <w:adjustRightInd/>
        <w:snapToGrid/>
        <w:spacing w:line="540" w:lineRule="exact"/>
        <w:jc w:val="left"/>
        <w:textAlignment w:val="auto"/>
        <w:outlineLvl w:val="0"/>
        <w:rPr>
          <w:rFonts w:ascii="黑体" w:hAnsi="黑体" w:eastAsia="黑体"/>
          <w:color w:val="000000"/>
          <w:sz w:val="44"/>
          <w:szCs w:val="44"/>
        </w:rPr>
      </w:pPr>
    </w:p>
    <w:sectPr>
      <w:footerReference r:id="rId3" w:type="default"/>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Cambria">
    <w:altName w:val="Noto Sans Syriac Eastern"/>
    <w:panose1 w:val="02040503050406030204"/>
    <w:charset w:val="00"/>
    <w:family w:val="roman"/>
    <w:pitch w:val="default"/>
    <w:sig w:usb0="00000000" w:usb1="00000000" w:usb2="02000000" w:usb3="00000000" w:csb0="0000019F" w:csb1="00000000"/>
  </w:font>
  <w:font w:name="Noto Sans Syriac Eastern">
    <w:panose1 w:val="02040503050306020203"/>
    <w:charset w:val="86"/>
    <w:family w:val="auto"/>
    <w:pitch w:val="default"/>
    <w:sig w:usb0="00000000" w:usb1="00000000" w:usb2="00000080" w:usb3="00000000" w:csb0="203E0161" w:csb1="D7FF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方正楷体_GBK">
    <w:panose1 w:val="02000000000000000000"/>
    <w:charset w:val="86"/>
    <w:family w:val="auto"/>
    <w:pitch w:val="default"/>
    <w:sig w:usb0="00000001" w:usb1="08000000" w:usb2="00000000" w:usb3="00000000" w:csb0="00040000" w:csb1="00000000"/>
  </w:font>
  <w:font w:name="隶书">
    <w:panose1 w:val="00000000000000000000"/>
    <w:charset w:val="00"/>
    <w:family w:val="auto"/>
    <w:pitch w:val="default"/>
    <w:sig w:usb0="00000000" w:usb1="00000000" w:usb2="00000000" w:usb3="00000000" w:csb0="0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95302738"/>
    </w:sdtPr>
    <w:sdtContent>
      <w:p>
        <w:pPr>
          <w:pStyle w:val="9"/>
          <w:jc w:val="center"/>
        </w:pPr>
        <w:r>
          <w:rPr>
            <w:rFonts w:ascii="宋体" w:hAnsi="宋体"/>
            <w:sz w:val="24"/>
            <w:szCs w:val="24"/>
          </w:rPr>
          <w:fldChar w:fldCharType="begin"/>
        </w:r>
        <w:r>
          <w:rPr>
            <w:rFonts w:ascii="宋体" w:hAnsi="宋体"/>
            <w:sz w:val="24"/>
            <w:szCs w:val="24"/>
          </w:rPr>
          <w:instrText xml:space="preserve">PAGE   \* MERGEFORMAT</w:instrText>
        </w:r>
        <w:r>
          <w:rPr>
            <w:rFonts w:ascii="宋体" w:hAnsi="宋体"/>
            <w:sz w:val="24"/>
            <w:szCs w:val="24"/>
          </w:rPr>
          <w:fldChar w:fldCharType="separate"/>
        </w:r>
        <w:r>
          <w:rPr>
            <w:rFonts w:ascii="宋体" w:hAnsi="宋体"/>
            <w:sz w:val="24"/>
            <w:szCs w:val="24"/>
            <w:lang w:val="zh-CN"/>
          </w:rPr>
          <w:t>2</w:t>
        </w:r>
        <w:r>
          <w:rPr>
            <w:rFonts w:ascii="宋体" w:hAnsi="宋体"/>
            <w:sz w:val="24"/>
            <w:szCs w:val="24"/>
          </w:rPr>
          <w:fldChar w:fldCharType="end"/>
        </w:r>
      </w:p>
    </w:sdtContent>
  </w:sdt>
  <w:p>
    <w:pPr>
      <w:pStyle w:val="9"/>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ZlN2NlNmJkOTcyMGNlM2M2NTkxZWZhZjhjMWVkZjEifQ=="/>
  </w:docVars>
  <w:rsids>
    <w:rsidRoot w:val="00602224"/>
    <w:rsid w:val="001F3A00"/>
    <w:rsid w:val="002646A8"/>
    <w:rsid w:val="002F03C6"/>
    <w:rsid w:val="003031F0"/>
    <w:rsid w:val="004A1596"/>
    <w:rsid w:val="004E1E5A"/>
    <w:rsid w:val="00602224"/>
    <w:rsid w:val="00620F70"/>
    <w:rsid w:val="0062479C"/>
    <w:rsid w:val="006C2563"/>
    <w:rsid w:val="006E047E"/>
    <w:rsid w:val="00702BC0"/>
    <w:rsid w:val="009F0204"/>
    <w:rsid w:val="00B352C1"/>
    <w:rsid w:val="00BA017D"/>
    <w:rsid w:val="00C310D1"/>
    <w:rsid w:val="00CC425A"/>
    <w:rsid w:val="00F244E7"/>
    <w:rsid w:val="00FC216A"/>
    <w:rsid w:val="00FD374A"/>
    <w:rsid w:val="00FF419E"/>
    <w:rsid w:val="02003325"/>
    <w:rsid w:val="027701A2"/>
    <w:rsid w:val="049D6678"/>
    <w:rsid w:val="055720EA"/>
    <w:rsid w:val="05701363"/>
    <w:rsid w:val="05D21D0E"/>
    <w:rsid w:val="06EC54E4"/>
    <w:rsid w:val="088F62D0"/>
    <w:rsid w:val="08A2799E"/>
    <w:rsid w:val="0D0C02E5"/>
    <w:rsid w:val="1183680A"/>
    <w:rsid w:val="11A15AE1"/>
    <w:rsid w:val="14AC167F"/>
    <w:rsid w:val="16EC139E"/>
    <w:rsid w:val="18C74901"/>
    <w:rsid w:val="1AE25B8C"/>
    <w:rsid w:val="1C053D5E"/>
    <w:rsid w:val="1C84373B"/>
    <w:rsid w:val="20093926"/>
    <w:rsid w:val="24946176"/>
    <w:rsid w:val="27B02F57"/>
    <w:rsid w:val="2C6A1831"/>
    <w:rsid w:val="2E5D564A"/>
    <w:rsid w:val="30714270"/>
    <w:rsid w:val="31E11E84"/>
    <w:rsid w:val="325154C6"/>
    <w:rsid w:val="359F76AC"/>
    <w:rsid w:val="35B53FBD"/>
    <w:rsid w:val="36903C19"/>
    <w:rsid w:val="36E050F9"/>
    <w:rsid w:val="36F23C47"/>
    <w:rsid w:val="37D449E8"/>
    <w:rsid w:val="384E3268"/>
    <w:rsid w:val="385143A2"/>
    <w:rsid w:val="390B4DD7"/>
    <w:rsid w:val="3DAB57E6"/>
    <w:rsid w:val="3F016A58"/>
    <w:rsid w:val="40660DE4"/>
    <w:rsid w:val="40D16CFC"/>
    <w:rsid w:val="42A761FE"/>
    <w:rsid w:val="430474A1"/>
    <w:rsid w:val="435C10B4"/>
    <w:rsid w:val="48C96382"/>
    <w:rsid w:val="4944368C"/>
    <w:rsid w:val="49F2635D"/>
    <w:rsid w:val="4BC4671E"/>
    <w:rsid w:val="513D1DBF"/>
    <w:rsid w:val="516627E1"/>
    <w:rsid w:val="52E46243"/>
    <w:rsid w:val="549B0E14"/>
    <w:rsid w:val="54B83439"/>
    <w:rsid w:val="561817EF"/>
    <w:rsid w:val="57F34F0B"/>
    <w:rsid w:val="59E7069D"/>
    <w:rsid w:val="5A036004"/>
    <w:rsid w:val="5A384AD6"/>
    <w:rsid w:val="5AE25C32"/>
    <w:rsid w:val="5BB5250C"/>
    <w:rsid w:val="5BB9144E"/>
    <w:rsid w:val="616D3BE9"/>
    <w:rsid w:val="61BB243B"/>
    <w:rsid w:val="62A9336B"/>
    <w:rsid w:val="63CD67F3"/>
    <w:rsid w:val="63DA0F0F"/>
    <w:rsid w:val="642D2821"/>
    <w:rsid w:val="64D21C66"/>
    <w:rsid w:val="66227A45"/>
    <w:rsid w:val="68AC6419"/>
    <w:rsid w:val="6A334C78"/>
    <w:rsid w:val="6C7B6AC8"/>
    <w:rsid w:val="6CDB4DE3"/>
    <w:rsid w:val="6D5F69B8"/>
    <w:rsid w:val="6E150157"/>
    <w:rsid w:val="6F154FDE"/>
    <w:rsid w:val="6F8312B7"/>
    <w:rsid w:val="715565BA"/>
    <w:rsid w:val="72E871D6"/>
    <w:rsid w:val="783B5CD5"/>
    <w:rsid w:val="7A83519C"/>
    <w:rsid w:val="7B6A5853"/>
    <w:rsid w:val="7DB87774"/>
    <w:rsid w:val="7DE57E47"/>
    <w:rsid w:val="7E240940"/>
    <w:rsid w:val="7ECB797B"/>
    <w:rsid w:val="7F0843B7"/>
    <w:rsid w:val="D7EDB81D"/>
    <w:rsid w:val="FF799B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line="560" w:lineRule="exact"/>
      <w:ind w:firstLine="629"/>
      <w:outlineLvl w:val="0"/>
    </w:pPr>
    <w:rPr>
      <w:rFonts w:eastAsia="黑体"/>
      <w:b/>
      <w:kern w:val="44"/>
    </w:rPr>
  </w:style>
  <w:style w:type="paragraph" w:styleId="3">
    <w:name w:val="heading 2"/>
    <w:basedOn w:val="1"/>
    <w:next w:val="1"/>
    <w:semiHidden/>
    <w:unhideWhenUsed/>
    <w:qFormat/>
    <w:uiPriority w:val="0"/>
    <w:pPr>
      <w:keepNext/>
      <w:keepLines/>
      <w:spacing w:line="560" w:lineRule="exact"/>
      <w:outlineLvl w:val="1"/>
    </w:pPr>
    <w:rPr>
      <w:rFonts w:ascii="Arial" w:hAnsi="Arial" w:eastAsia="楷体_GB2312"/>
    </w:rPr>
  </w:style>
  <w:style w:type="paragraph" w:styleId="4">
    <w:name w:val="heading 3"/>
    <w:basedOn w:val="1"/>
    <w:next w:val="1"/>
    <w:link w:val="15"/>
    <w:semiHidden/>
    <w:unhideWhenUsed/>
    <w:qFormat/>
    <w:uiPriority w:val="0"/>
    <w:pPr>
      <w:keepNext/>
      <w:keepLines/>
      <w:spacing w:line="560" w:lineRule="exact"/>
      <w:outlineLvl w:val="2"/>
    </w:pPr>
  </w:style>
  <w:style w:type="paragraph" w:styleId="5">
    <w:name w:val="heading 4"/>
    <w:basedOn w:val="1"/>
    <w:next w:val="1"/>
    <w:link w:val="16"/>
    <w:semiHidden/>
    <w:unhideWhenUsed/>
    <w:qFormat/>
    <w:uiPriority w:val="0"/>
    <w:pPr>
      <w:keepNext/>
      <w:keepLines/>
      <w:spacing w:line="560" w:lineRule="exact"/>
      <w:outlineLvl w:val="3"/>
    </w:pPr>
    <w:rPr>
      <w:rFonts w:ascii="Cambria" w:hAnsi="Cambria" w:eastAsia="仿宋_GB2312" w:cstheme="minorBidi"/>
      <w:b/>
      <w:bCs/>
      <w:sz w:val="32"/>
      <w:szCs w:val="28"/>
    </w:rPr>
  </w:style>
  <w:style w:type="paragraph" w:styleId="6">
    <w:name w:val="heading 5"/>
    <w:basedOn w:val="1"/>
    <w:next w:val="1"/>
    <w:semiHidden/>
    <w:unhideWhenUsed/>
    <w:qFormat/>
    <w:uiPriority w:val="0"/>
    <w:pPr>
      <w:keepNext/>
      <w:keepLines/>
      <w:spacing w:line="560" w:lineRule="exact"/>
      <w:outlineLvl w:val="4"/>
    </w:pPr>
    <w:rPr>
      <w:rFonts w:eastAsia="仿宋_GB2312"/>
      <w:b/>
      <w:sz w:val="32"/>
      <w:szCs w:val="22"/>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7">
    <w:name w:val="annotation text"/>
    <w:basedOn w:val="1"/>
    <w:qFormat/>
    <w:uiPriority w:val="0"/>
    <w:pPr>
      <w:jc w:val="left"/>
    </w:pPr>
  </w:style>
  <w:style w:type="paragraph" w:styleId="8">
    <w:name w:val="Body Text"/>
    <w:basedOn w:val="1"/>
    <w:qFormat/>
    <w:uiPriority w:val="1"/>
    <w:rPr>
      <w:rFonts w:ascii="仿宋_GB2312" w:hAnsi="仿宋_GB2312" w:eastAsia="仿宋_GB2312" w:cs="仿宋_GB2312"/>
      <w:sz w:val="32"/>
      <w:szCs w:val="32"/>
    </w:rPr>
  </w:style>
  <w:style w:type="paragraph" w:styleId="9">
    <w:name w:val="footer"/>
    <w:basedOn w:val="1"/>
    <w:link w:val="18"/>
    <w:qFormat/>
    <w:uiPriority w:val="99"/>
    <w:pPr>
      <w:tabs>
        <w:tab w:val="center" w:pos="4153"/>
        <w:tab w:val="right" w:pos="8306"/>
      </w:tabs>
      <w:snapToGrid w:val="0"/>
      <w:jc w:val="left"/>
    </w:pPr>
    <w:rPr>
      <w:sz w:val="18"/>
      <w:szCs w:val="18"/>
    </w:rPr>
  </w:style>
  <w:style w:type="paragraph" w:styleId="10">
    <w:name w:val="header"/>
    <w:basedOn w:val="1"/>
    <w:link w:val="17"/>
    <w:qFormat/>
    <w:uiPriority w:val="0"/>
    <w:pPr>
      <w:tabs>
        <w:tab w:val="center" w:pos="4153"/>
        <w:tab w:val="right" w:pos="8306"/>
      </w:tabs>
      <w:snapToGrid w:val="0"/>
      <w:jc w:val="center"/>
    </w:pPr>
    <w:rPr>
      <w:sz w:val="18"/>
      <w:szCs w:val="18"/>
    </w:rPr>
  </w:style>
  <w:style w:type="paragraph" w:styleId="11">
    <w:name w:val="Normal (Web)"/>
    <w:basedOn w:val="1"/>
    <w:qFormat/>
    <w:uiPriority w:val="0"/>
    <w:pPr>
      <w:spacing w:beforeAutospacing="1" w:afterAutospacing="1"/>
      <w:jc w:val="left"/>
    </w:pPr>
    <w:rPr>
      <w:kern w:val="0"/>
      <w:sz w:val="24"/>
    </w:rPr>
  </w:style>
  <w:style w:type="table" w:customStyle="1" w:styleId="14">
    <w:name w:val="网格型1"/>
    <w:basedOn w:val="12"/>
    <w:qFormat/>
    <w:uiPriority w:val="59"/>
    <w:rPr>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customStyle="1" w:styleId="15">
    <w:name w:val="标题 3 字符"/>
    <w:link w:val="4"/>
    <w:qFormat/>
    <w:uiPriority w:val="0"/>
  </w:style>
  <w:style w:type="character" w:customStyle="1" w:styleId="16">
    <w:name w:val="标题 4 字符"/>
    <w:link w:val="5"/>
    <w:qFormat/>
    <w:uiPriority w:val="0"/>
    <w:rPr>
      <w:rFonts w:ascii="Cambria" w:hAnsi="Cambria" w:eastAsia="仿宋_GB2312" w:cstheme="minorBidi"/>
      <w:b/>
      <w:bCs/>
      <w:sz w:val="32"/>
      <w:szCs w:val="28"/>
    </w:rPr>
  </w:style>
  <w:style w:type="character" w:customStyle="1" w:styleId="17">
    <w:name w:val="页眉 字符"/>
    <w:basedOn w:val="13"/>
    <w:link w:val="10"/>
    <w:qFormat/>
    <w:uiPriority w:val="0"/>
    <w:rPr>
      <w:rFonts w:ascii="Times New Roman" w:hAnsi="Times New Roman" w:eastAsia="宋体" w:cs="Times New Roman"/>
      <w:kern w:val="2"/>
      <w:sz w:val="18"/>
      <w:szCs w:val="18"/>
    </w:rPr>
  </w:style>
  <w:style w:type="character" w:customStyle="1" w:styleId="18">
    <w:name w:val="页脚 字符"/>
    <w:basedOn w:val="13"/>
    <w:link w:val="9"/>
    <w:qFormat/>
    <w:uiPriority w:val="99"/>
    <w:rPr>
      <w:rFonts w:ascii="Times New Roman" w:hAnsi="Times New Roman" w:eastAsia="宋体" w:cs="Times New Roman"/>
      <w:kern w:val="2"/>
      <w:sz w:val="18"/>
      <w:szCs w:val="18"/>
    </w:rPr>
  </w:style>
  <w:style w:type="paragraph" w:styleId="19">
    <w:name w:val="List Paragraph"/>
    <w:basedOn w:val="1"/>
    <w:unhideWhenUsed/>
    <w:qFormat/>
    <w:uiPriority w:val="99"/>
    <w:pPr>
      <w:ind w:firstLine="420" w:firstLineChars="200"/>
    </w:pPr>
  </w:style>
  <w:style w:type="paragraph" w:customStyle="1" w:styleId="20">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259</Words>
  <Characters>1479</Characters>
  <Lines>12</Lines>
  <Paragraphs>3</Paragraphs>
  <TotalTime>0</TotalTime>
  <ScaleCrop>false</ScaleCrop>
  <LinksUpToDate>false</LinksUpToDate>
  <CharactersWithSpaces>1735</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2023-12-11T14:49:00Z</dcterms:created>
  <dc:creator>办公用</dc:creator>
  <cp:lastModifiedBy>BDA</cp:lastModifiedBy>
  <dcterms:modified xsi:type="dcterms:W3CDTF">2024-04-12T14:52:22Z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F58E64C4F1114006869CEE38F1AFD32A_13</vt:lpwstr>
  </property>
</Properties>
</file>