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黑体" w:cs="仿宋_GB2312"/>
          <w:b/>
          <w:bCs/>
          <w:sz w:val="32"/>
          <w:szCs w:val="32"/>
        </w:rPr>
      </w:pPr>
      <w:bookmarkStart w:id="0" w:name="_Toc126151261"/>
      <w:bookmarkStart w:id="1" w:name="_Toc126153478"/>
      <w:bookmarkStart w:id="2" w:name="_Toc129097069"/>
      <w:bookmarkStart w:id="3" w:name="_Toc18923"/>
      <w:r>
        <w:rPr>
          <w:rFonts w:hint="eastAsia" w:ascii="黑体" w:hAnsi="黑体" w:eastAsia="黑体" w:cs="黑体"/>
          <w:color w:val="333333"/>
          <w:spacing w:val="15"/>
          <w:kern w:val="0"/>
          <w:sz w:val="32"/>
          <w:szCs w:val="32"/>
          <w:shd w:val="clear" w:color="auto" w:fill="FFFFFF"/>
        </w:rPr>
        <w:t>附件1</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分布式光伏发电类项目办事指南</w:t>
      </w:r>
    </w:p>
    <w:p>
      <w:pPr>
        <w:spacing w:line="560" w:lineRule="exact"/>
        <w:rPr>
          <w:rFonts w:ascii="仿宋_GB2312" w:hAnsi="仿宋_GB2312" w:eastAsia="仿宋_GB2312" w:cs="仿宋_GB2312"/>
          <w:sz w:val="32"/>
          <w:szCs w:val="32"/>
        </w:rPr>
      </w:pPr>
    </w:p>
    <w:p>
      <w:pPr>
        <w:spacing w:line="560" w:lineRule="exact"/>
        <w:ind w:firstLine="640" w:firstLineChars="20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第十七条支持项目：</w:t>
      </w:r>
      <w:r>
        <w:rPr>
          <w:rFonts w:hint="eastAsia" w:ascii="仿宋_GB2312" w:hAnsi="仿宋_GB2312" w:eastAsia="仿宋_GB2312" w:cs="仿宋_GB2312"/>
          <w:b/>
          <w:kern w:val="0"/>
          <w:sz w:val="32"/>
          <w:szCs w:val="32"/>
        </w:rPr>
        <w:t>分布式光伏发电类项目</w:t>
      </w:r>
      <w:r>
        <w:rPr>
          <w:rFonts w:hint="eastAsia" w:ascii="仿宋_GB2312" w:hAnsi="仿宋_GB2312" w:eastAsia="仿宋_GB2312" w:cs="仿宋_GB2312"/>
          <w:bCs/>
          <w:kern w:val="0"/>
          <w:sz w:val="32"/>
          <w:szCs w:val="32"/>
        </w:rPr>
        <w:t>。该项目为节能降碳类支持方向。</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eastAsia="仿宋_GB2312"/>
          <w:sz w:val="32"/>
        </w:rPr>
      </w:pPr>
      <w:bookmarkStart w:id="4" w:name="_Hlk123250362"/>
      <w:r>
        <w:rPr>
          <w:rFonts w:hint="eastAsia" w:eastAsia="仿宋_GB2312"/>
          <w:sz w:val="32"/>
        </w:rPr>
        <w:t>分布式光伏发电类项目</w:t>
      </w:r>
      <w:bookmarkEnd w:id="4"/>
    </w:p>
    <w:p>
      <w:pPr>
        <w:spacing w:line="560" w:lineRule="exact"/>
        <w:ind w:firstLine="640" w:firstLineChars="20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（一）申报主体应在亦庄新城225平方公里范围内依法注册、纳税、入统。</w:t>
      </w:r>
    </w:p>
    <w:p>
      <w:pPr>
        <w:spacing w:line="56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（二）近三年无重大行政处罚记录、刑事犯罪记录，未被列入严重违法失信主体名单，未发生重大生产安全事故和突发环境事件。</w:t>
      </w:r>
      <w:r>
        <w:rPr>
          <w:rFonts w:hint="eastAsia" w:ascii="仿宋_GB2312" w:hAnsi="仿宋" w:eastAsia="仿宋_GB2312"/>
          <w:color w:val="000000"/>
          <w:spacing w:val="-6"/>
          <w:sz w:val="32"/>
          <w:szCs w:val="32"/>
        </w:rPr>
        <w:t>（“近三年”指2020年11月24日-2023年11月24日）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（三）同一单位同一项目符合本政策规定的多个支持方向及经开区其他专项支持政策的，按照从高从优不重复的原则申请支持。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（四）本政策属于事后奖励，申报项目工程进度原则上须已实施完成，并已完成并网验收工作。原则上并网时间为202</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年1月1日起，且光伏项目未获得过经开区绿色发展资金支持。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（五）以下项目不列入支持范围：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1.未获得节能审查意见的数据中心项目；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2.使用政府财政资金投资建设的项目。</w:t>
      </w:r>
    </w:p>
    <w:p>
      <w:pPr>
        <w:spacing w:line="560" w:lineRule="exact"/>
        <w:ind w:firstLine="640" w:firstLineChars="20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对分布式光伏发电项目，按照装机容量给予每千瓦800元的一次性奖励。若项目为第三方投资，项目投资方和场地业主方分开申请，各享受奖励资金的50%；若场地业主方为财政预算拨款单位，由项目投资方申请，项目投资方享受全额奖励资金。</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1.北京经济技术开发区分布式光伏</w:t>
      </w:r>
      <w:r>
        <w:rPr>
          <w:rFonts w:hint="eastAsia" w:ascii="仿宋_GB2312" w:hAnsi="仿宋_GB2312" w:eastAsia="仿宋_GB2312" w:cs="仿宋_GB2312"/>
          <w:sz w:val="32"/>
          <w:szCs w:val="32"/>
          <w:lang w:eastAsia="zh-CN"/>
        </w:rPr>
        <w:t>发电类</w:t>
      </w:r>
      <w:bookmarkStart w:id="9" w:name="_GoBack"/>
      <w:bookmarkEnd w:id="9"/>
      <w:r>
        <w:rPr>
          <w:rFonts w:hint="eastAsia" w:ascii="仿宋_GB2312" w:hAnsi="仿宋_GB2312" w:eastAsia="仿宋_GB2312" w:cs="仿宋_GB2312"/>
          <w:sz w:val="32"/>
          <w:szCs w:val="32"/>
        </w:rPr>
        <w:t>项目奖励申报表，在线填写；</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4.银行账户信息，下载模板填写，若项目为第三方投资，业主和投资方均需填报，加盖公章，彩色扫描上传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5.电力公司出具的并网验收意见，原件彩色扫描上传；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w:t>
      </w:r>
      <w:r>
        <w:rPr>
          <w:rFonts w:ascii="仿宋_GB2312" w:hAnsi="仿宋_GB2312" w:eastAsia="仿宋_GB2312" w:cs="仿宋_GB2312"/>
          <w:sz w:val="32"/>
          <w:szCs w:val="32"/>
        </w:rPr>
        <w:t>两</w:t>
      </w:r>
      <w:r>
        <w:rPr>
          <w:rFonts w:hint="eastAsia" w:ascii="仿宋_GB2312" w:hAnsi="仿宋_GB2312" w:eastAsia="仿宋_GB2312" w:cs="仿宋_GB2312"/>
          <w:sz w:val="32"/>
          <w:szCs w:val="32"/>
        </w:rPr>
        <w:t>份有序装订（整本首页、骑缝盖章），其中银行账户信息无需装订，加盖公章，一并递交至受理窗口。</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六、办理程序</w:t>
      </w:r>
    </w:p>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，注册登录后进行项目申报。如未在规定时间内提交申报材料的，视为自动放弃。</w:t>
      </w:r>
    </w:p>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经济发展局</w:t>
      </w:r>
      <w:r>
        <w:rPr>
          <w:rFonts w:hint="eastAsia" w:ascii="仿宋_GB2312" w:hAnsi="仿宋_GB2312" w:eastAsia="仿宋_GB2312" w:cs="仿宋_GB2312"/>
          <w:color w:val="000000"/>
          <w:kern w:val="2"/>
          <w:sz w:val="32"/>
          <w:szCs w:val="32"/>
        </w:rPr>
        <w:t>对申报材料进行实质审核。</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经开区经济发展局组织专家线下对申报材料进行评审，同时勘察现场，评审后将结果上传到系统。</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bookmarkStart w:id="5" w:name="_Hlk153750393"/>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：经开区经济发展局</w:t>
      </w:r>
      <w:r>
        <w:rPr>
          <w:rFonts w:hint="eastAsia" w:ascii="仿宋_GB2312" w:hAnsi="仿宋_GB2312" w:eastAsia="仿宋_GB2312" w:cs="仿宋_GB2312"/>
          <w:color w:val="000000"/>
          <w:sz w:val="32"/>
          <w:szCs w:val="32"/>
        </w:rPr>
        <w:t>对审核通过的申报主体拟定兑现支持奖励金额</w:t>
      </w:r>
      <w:r>
        <w:rPr>
          <w:rFonts w:hint="eastAsia" w:ascii="仿宋_GB2312" w:hAnsi="仿宋_GB2312" w:eastAsia="仿宋_GB2312" w:cs="仿宋_GB2312"/>
          <w:color w:val="000000"/>
          <w:kern w:val="2"/>
          <w:sz w:val="32"/>
          <w:szCs w:val="32"/>
        </w:rPr>
        <w:t>。</w:t>
      </w:r>
    </w:p>
    <w:bookmarkEnd w:id="5"/>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：经开区经济发展局通过政策兑现综合服务平台对审核通过的申报主体进行公示。</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ascii="仿宋_GB2312" w:hAnsi="黑体" w:eastAsia="仿宋_GB2312"/>
          <w:color w:val="000000"/>
          <w:sz w:val="32"/>
          <w:szCs w:val="32"/>
        </w:rPr>
        <w:t>经开区经济发展局</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2024年4月16日至202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年4月30日</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bookmarkStart w:id="6" w:name="_Hlk153481575"/>
      <w:bookmarkStart w:id="7" w:name="_Hlk153750265"/>
      <w:r>
        <w:rPr>
          <w:rFonts w:hint="eastAsia" w:eastAsia="仿宋_GB2312"/>
          <w:sz w:val="32"/>
          <w:szCs w:val="32"/>
        </w:rPr>
        <w:t>政策咨询：</w:t>
      </w:r>
    </w:p>
    <w:bookmarkEnd w:id="6"/>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经开区经济发展局</w:t>
      </w:r>
      <w:r>
        <w:rPr>
          <w:rFonts w:hint="eastAsia" w:ascii="仿宋_GB2312" w:hAnsi="仿宋_GB2312" w:eastAsia="仿宋_GB2312" w:cs="仿宋_GB2312"/>
          <w:sz w:val="32"/>
          <w:szCs w:val="32"/>
        </w:rPr>
        <w:t>，联系电话：010-67882073，工作日上午9:00—12:00，下午2:00—6:00。</w:t>
      </w:r>
    </w:p>
    <w:p>
      <w:pPr>
        <w:spacing w:line="560" w:lineRule="exact"/>
        <w:ind w:firstLine="640" w:firstLineChars="200"/>
        <w:rPr>
          <w:rFonts w:ascii="仿宋_GB2312" w:hAnsi="仿宋_GB2312" w:eastAsia="仿宋_GB2312" w:cs="仿宋_GB2312"/>
          <w:sz w:val="32"/>
          <w:szCs w:val="32"/>
        </w:rPr>
      </w:pPr>
      <w:bookmarkStart w:id="8" w:name="_Hlk153481583"/>
      <w:r>
        <w:rPr>
          <w:rFonts w:hint="eastAsia" w:ascii="仿宋_GB2312" w:hAnsi="仿宋_GB2312" w:eastAsia="仿宋_GB2312" w:cs="仿宋_GB2312"/>
          <w:sz w:val="32"/>
          <w:szCs w:val="32"/>
        </w:rPr>
        <w:t>技术支持：</w:t>
      </w:r>
    </w:p>
    <w:bookmarkEnd w:id="8"/>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bookmarkEnd w:id="7"/>
    <w:p>
      <w:pPr>
        <w:spacing w:line="5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十二、特别说明</w:t>
      </w:r>
    </w:p>
    <w:bookmarkEnd w:id="0"/>
    <w:bookmarkEnd w:id="1"/>
    <w:bookmarkEnd w:id="2"/>
    <w:bookmarkEnd w:id="3"/>
    <w:p>
      <w:pPr>
        <w:spacing w:line="560" w:lineRule="exact"/>
        <w:ind w:firstLine="640" w:firstLineChars="200"/>
        <w:jc w:val="left"/>
        <w:outlineLvl w:val="0"/>
        <w:rPr>
          <w:rFonts w:ascii="黑体" w:hAnsi="黑体" w:eastAsia="黑体"/>
          <w:color w:val="000000"/>
          <w:sz w:val="44"/>
          <w:szCs w:val="44"/>
        </w:rPr>
      </w:pPr>
      <w:r>
        <w:rPr>
          <w:rFonts w:hint="eastAsia" w:ascii="仿宋_GB2312" w:hAnsi="仿宋_GB2312" w:eastAsia="仿宋_GB2312" w:cs="仿宋_GB2312"/>
          <w:sz w:val="32"/>
          <w:szCs w:val="32"/>
        </w:rPr>
        <w:t>对于公示期满前申报主体发生重大行政处罚、刑事犯罪，被列入严重违法失信主体名单，发生重大生产安全事故和突发环境事件的项目不予支持。</w:t>
      </w:r>
    </w:p>
    <w:sectPr>
      <w:footerReference r:id="rId5" w:type="default"/>
      <w:pgSz w:w="11906" w:h="16838"/>
      <w:pgMar w:top="2098" w:right="1474" w:bottom="1985" w:left="1588"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altName w:val="Noto Sans Syriac Eastern"/>
    <w:panose1 w:val="02040503050406030204"/>
    <w:charset w:val="00"/>
    <w:family w:val="roman"/>
    <w:pitch w:val="default"/>
    <w:sig w:usb0="00000000" w:usb1="00000000" w:usb2="02000000" w:usb3="00000000" w:csb0="0000019F" w:csb1="00000000"/>
  </w:font>
  <w:font w:name="Noto Sans Syriac Eastern">
    <w:panose1 w:val="02040503050306020203"/>
    <w:charset w:val="86"/>
    <w:family w:val="auto"/>
    <w:pitch w:val="default"/>
    <w:sig w:usb0="00000000" w:usb1="00000000" w:usb2="00000080" w:usb3="00000000" w:csb0="203E0161" w:csb1="D7FF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隶书">
    <w:panose1 w:val="00000000000000000000"/>
    <w:charset w:val="00"/>
    <w:family w:val="auto"/>
    <w:pitch w:val="default"/>
    <w:sig w:usb0="00000000" w:usb1="00000000" w:usb2="00000000" w:usb3="00000000" w:csb0="0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6160318"/>
    </w:sdtPr>
    <w:sdtEndPr>
      <w:rPr>
        <w:rFonts w:ascii="宋体" w:hAnsi="宋体"/>
        <w:sz w:val="24"/>
        <w:szCs w:val="24"/>
      </w:rPr>
    </w:sdtEndPr>
    <w:sdtContent>
      <w:p>
        <w:pPr>
          <w:pStyle w:val="9"/>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ZlN2NlNmJkOTcyMGNlM2M2NTkxZWZhZjhjMWVkZjEifQ=="/>
  </w:docVars>
  <w:rsids>
    <w:rsidRoot w:val="003E0707"/>
    <w:rsid w:val="000A480F"/>
    <w:rsid w:val="00166ABE"/>
    <w:rsid w:val="0028606D"/>
    <w:rsid w:val="002D3943"/>
    <w:rsid w:val="00370B81"/>
    <w:rsid w:val="003D288B"/>
    <w:rsid w:val="003E0707"/>
    <w:rsid w:val="00470B5D"/>
    <w:rsid w:val="00512B7D"/>
    <w:rsid w:val="00526810"/>
    <w:rsid w:val="005E39C0"/>
    <w:rsid w:val="007A50EB"/>
    <w:rsid w:val="00846BD0"/>
    <w:rsid w:val="008622AC"/>
    <w:rsid w:val="00922907"/>
    <w:rsid w:val="00A815CD"/>
    <w:rsid w:val="00A909CA"/>
    <w:rsid w:val="00AB432F"/>
    <w:rsid w:val="00BE5B92"/>
    <w:rsid w:val="00C06E15"/>
    <w:rsid w:val="00CC425A"/>
    <w:rsid w:val="00D002C6"/>
    <w:rsid w:val="00D3075B"/>
    <w:rsid w:val="02003325"/>
    <w:rsid w:val="04006E57"/>
    <w:rsid w:val="054E1D64"/>
    <w:rsid w:val="05701363"/>
    <w:rsid w:val="05834481"/>
    <w:rsid w:val="05D21D0E"/>
    <w:rsid w:val="07526779"/>
    <w:rsid w:val="08035667"/>
    <w:rsid w:val="088F62D0"/>
    <w:rsid w:val="08A2799E"/>
    <w:rsid w:val="0B736ADD"/>
    <w:rsid w:val="1183680A"/>
    <w:rsid w:val="11E6040B"/>
    <w:rsid w:val="13120EAE"/>
    <w:rsid w:val="15497DE2"/>
    <w:rsid w:val="18437AD7"/>
    <w:rsid w:val="18C74901"/>
    <w:rsid w:val="1AE25B8C"/>
    <w:rsid w:val="1C84373B"/>
    <w:rsid w:val="20093926"/>
    <w:rsid w:val="212D0559"/>
    <w:rsid w:val="213C39C1"/>
    <w:rsid w:val="218F506B"/>
    <w:rsid w:val="24946176"/>
    <w:rsid w:val="257560CA"/>
    <w:rsid w:val="279847F2"/>
    <w:rsid w:val="284A767C"/>
    <w:rsid w:val="291E7624"/>
    <w:rsid w:val="29DC5D81"/>
    <w:rsid w:val="2BC075A8"/>
    <w:rsid w:val="2C6A1831"/>
    <w:rsid w:val="31FC59F9"/>
    <w:rsid w:val="359F76AC"/>
    <w:rsid w:val="35B53FBD"/>
    <w:rsid w:val="36903C19"/>
    <w:rsid w:val="36E050F9"/>
    <w:rsid w:val="36F23C47"/>
    <w:rsid w:val="37D449E8"/>
    <w:rsid w:val="384E3268"/>
    <w:rsid w:val="385143A2"/>
    <w:rsid w:val="38EC4880"/>
    <w:rsid w:val="3DAB57E6"/>
    <w:rsid w:val="3F016A58"/>
    <w:rsid w:val="3F717513"/>
    <w:rsid w:val="40660DE4"/>
    <w:rsid w:val="40D16CFC"/>
    <w:rsid w:val="41007081"/>
    <w:rsid w:val="42A761FE"/>
    <w:rsid w:val="49F2635D"/>
    <w:rsid w:val="4BA75C73"/>
    <w:rsid w:val="4BC4671E"/>
    <w:rsid w:val="513D1DBF"/>
    <w:rsid w:val="516627E1"/>
    <w:rsid w:val="52E46243"/>
    <w:rsid w:val="549B0E14"/>
    <w:rsid w:val="561817EF"/>
    <w:rsid w:val="59466F88"/>
    <w:rsid w:val="5AE25C32"/>
    <w:rsid w:val="5BB5250C"/>
    <w:rsid w:val="60403AFE"/>
    <w:rsid w:val="616D3BE9"/>
    <w:rsid w:val="61BB243B"/>
    <w:rsid w:val="63CD67F3"/>
    <w:rsid w:val="642D2821"/>
    <w:rsid w:val="65A724C2"/>
    <w:rsid w:val="68AC6419"/>
    <w:rsid w:val="6C7B6AC8"/>
    <w:rsid w:val="6D5F69B8"/>
    <w:rsid w:val="6F154FDE"/>
    <w:rsid w:val="6F8312B7"/>
    <w:rsid w:val="768D6DE7"/>
    <w:rsid w:val="7A83519C"/>
    <w:rsid w:val="7B6A5853"/>
    <w:rsid w:val="7DB87774"/>
    <w:rsid w:val="7F0843B7"/>
    <w:rsid w:val="F76F178E"/>
    <w:rsid w:val="FB6BA914"/>
    <w:rsid w:val="FBFFA4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560" w:lineRule="exact"/>
      <w:ind w:firstLine="629"/>
      <w:outlineLvl w:val="0"/>
    </w:pPr>
    <w:rPr>
      <w:rFonts w:eastAsia="黑体"/>
      <w:b/>
      <w:kern w:val="44"/>
    </w:rPr>
  </w:style>
  <w:style w:type="paragraph" w:styleId="3">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4">
    <w:name w:val="heading 3"/>
    <w:basedOn w:val="1"/>
    <w:next w:val="1"/>
    <w:link w:val="17"/>
    <w:semiHidden/>
    <w:unhideWhenUsed/>
    <w:qFormat/>
    <w:uiPriority w:val="0"/>
    <w:pPr>
      <w:keepNext/>
      <w:keepLines/>
      <w:spacing w:line="560" w:lineRule="exact"/>
      <w:outlineLvl w:val="2"/>
    </w:pPr>
  </w:style>
  <w:style w:type="paragraph" w:styleId="5">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link w:val="21"/>
    <w:qFormat/>
    <w:uiPriority w:val="0"/>
    <w:pPr>
      <w:jc w:val="left"/>
    </w:pPr>
  </w:style>
  <w:style w:type="paragraph" w:styleId="8">
    <w:name w:val="Body Text"/>
    <w:basedOn w:val="1"/>
    <w:qFormat/>
    <w:uiPriority w:val="1"/>
    <w:rPr>
      <w:rFonts w:ascii="仿宋_GB2312" w:hAnsi="仿宋_GB2312" w:eastAsia="仿宋_GB2312" w:cs="仿宋_GB2312"/>
      <w:sz w:val="32"/>
      <w:szCs w:val="32"/>
    </w:rPr>
  </w:style>
  <w:style w:type="paragraph" w:styleId="9">
    <w:name w:val="footer"/>
    <w:basedOn w:val="1"/>
    <w:link w:val="19"/>
    <w:qFormat/>
    <w:uiPriority w:val="99"/>
    <w:pPr>
      <w:tabs>
        <w:tab w:val="center" w:pos="4153"/>
        <w:tab w:val="right" w:pos="8306"/>
      </w:tabs>
      <w:snapToGrid w:val="0"/>
      <w:jc w:val="left"/>
    </w:pPr>
    <w:rPr>
      <w:sz w:val="18"/>
      <w:szCs w:val="18"/>
    </w:rPr>
  </w:style>
  <w:style w:type="paragraph" w:styleId="10">
    <w:name w:val="header"/>
    <w:basedOn w:val="1"/>
    <w:link w:val="18"/>
    <w:qFormat/>
    <w:uiPriority w:val="0"/>
    <w:pP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paragraph" w:styleId="12">
    <w:name w:val="annotation subject"/>
    <w:basedOn w:val="7"/>
    <w:next w:val="7"/>
    <w:link w:val="22"/>
    <w:qFormat/>
    <w:uiPriority w:val="0"/>
    <w:rPr>
      <w:b/>
      <w:bCs/>
    </w:rPr>
  </w:style>
  <w:style w:type="character" w:styleId="15">
    <w:name w:val="annotation reference"/>
    <w:basedOn w:val="14"/>
    <w:qFormat/>
    <w:uiPriority w:val="0"/>
    <w:rPr>
      <w:sz w:val="21"/>
      <w:szCs w:val="21"/>
    </w:rPr>
  </w:style>
  <w:style w:type="table" w:customStyle="1" w:styleId="16">
    <w:name w:val="网格型1"/>
    <w:basedOn w:val="13"/>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7">
    <w:name w:val="标题 3 字符"/>
    <w:link w:val="4"/>
    <w:qFormat/>
    <w:uiPriority w:val="0"/>
  </w:style>
  <w:style w:type="character" w:customStyle="1" w:styleId="18">
    <w:name w:val="页眉 字符"/>
    <w:basedOn w:val="14"/>
    <w:link w:val="10"/>
    <w:qFormat/>
    <w:uiPriority w:val="0"/>
    <w:rPr>
      <w:rFonts w:ascii="Times New Roman" w:hAnsi="Times New Roman" w:eastAsia="宋体" w:cs="Times New Roman"/>
      <w:kern w:val="2"/>
      <w:sz w:val="18"/>
      <w:szCs w:val="18"/>
    </w:rPr>
  </w:style>
  <w:style w:type="character" w:customStyle="1" w:styleId="19">
    <w:name w:val="页脚 字符"/>
    <w:basedOn w:val="14"/>
    <w:link w:val="9"/>
    <w:qFormat/>
    <w:uiPriority w:val="99"/>
    <w:rPr>
      <w:rFonts w:ascii="Times New Roman" w:hAnsi="Times New Roman" w:eastAsia="宋体" w:cs="Times New Roman"/>
      <w:kern w:val="2"/>
      <w:sz w:val="18"/>
      <w:szCs w:val="18"/>
    </w:rPr>
  </w:style>
  <w:style w:type="paragraph" w:customStyle="1" w:styleId="20">
    <w:name w:val="Revision"/>
    <w:hidden/>
    <w:unhideWhenUsed/>
    <w:uiPriority w:val="99"/>
    <w:pPr>
      <w:spacing w:after="0" w:line="240" w:lineRule="auto"/>
    </w:pPr>
    <w:rPr>
      <w:rFonts w:ascii="Times New Roman" w:hAnsi="Times New Roman" w:eastAsia="宋体" w:cs="Times New Roman"/>
      <w:kern w:val="2"/>
      <w:sz w:val="21"/>
      <w:szCs w:val="24"/>
      <w:lang w:val="en-US" w:eastAsia="zh-CN" w:bidi="ar-SA"/>
    </w:rPr>
  </w:style>
  <w:style w:type="character" w:customStyle="1" w:styleId="21">
    <w:name w:val="批注文字 字符"/>
    <w:basedOn w:val="14"/>
    <w:link w:val="7"/>
    <w:uiPriority w:val="0"/>
    <w:rPr>
      <w:kern w:val="2"/>
      <w:sz w:val="21"/>
      <w:szCs w:val="24"/>
    </w:rPr>
  </w:style>
  <w:style w:type="character" w:customStyle="1" w:styleId="22">
    <w:name w:val="批注主题 字符"/>
    <w:basedOn w:val="21"/>
    <w:link w:val="12"/>
    <w:qFormat/>
    <w:uiPriority w:val="0"/>
    <w:rPr>
      <w:b/>
      <w:bCs/>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252</Words>
  <Characters>1437</Characters>
  <Lines>11</Lines>
  <Paragraphs>3</Paragraphs>
  <TotalTime>58</TotalTime>
  <ScaleCrop>false</ScaleCrop>
  <LinksUpToDate>false</LinksUpToDate>
  <CharactersWithSpaces>1686</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2023-12-11T14:46:00Z</dcterms:created>
  <dc:creator>办公用</dc:creator>
  <cp:lastModifiedBy>BDA</cp:lastModifiedBy>
  <dcterms:modified xsi:type="dcterms:W3CDTF">2024-04-10T14:45:39Z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50CC5BCFCE6245CEA3CDAACBFD70BB74_13</vt:lpwstr>
  </property>
</Properties>
</file>