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ascii="仿宋_GB2312" w:hAnsi="仿宋_GB2312" w:eastAsia="仿宋_GB2312" w:cs="仿宋_GB2312"/>
          <w:b/>
          <w:bCs/>
          <w:sz w:val="32"/>
          <w:szCs w:val="32"/>
        </w:rPr>
      </w:pPr>
      <w:r>
        <w:rPr>
          <w:rFonts w:hint="eastAsia" w:ascii="黑体" w:hAnsi="黑体" w:eastAsia="黑体" w:cs="黑体"/>
          <w:spacing w:val="15"/>
          <w:kern w:val="0"/>
          <w:sz w:val="32"/>
          <w:szCs w:val="32"/>
          <w:shd w:val="clear" w:color="auto" w:fill="FFFFFF"/>
        </w:rPr>
        <w:t>附件1</w:t>
      </w:r>
      <w:r>
        <w:rPr>
          <w:rFonts w:ascii="黑体" w:hAnsi="黑体" w:eastAsia="黑体" w:cs="黑体"/>
          <w:spacing w:val="15"/>
          <w:kern w:val="0"/>
          <w:sz w:val="32"/>
          <w:szCs w:val="32"/>
          <w:shd w:val="clear" w:color="auto" w:fill="FFFFFF"/>
        </w:rPr>
        <w:t>0</w:t>
      </w:r>
    </w:p>
    <w:p>
      <w:pPr>
        <w:spacing w:line="56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企业租赁燃油燃气大中型客车</w:t>
      </w:r>
      <w:r>
        <w:rPr>
          <w:rFonts w:hint="eastAsia" w:ascii="方正小标宋简体" w:hAnsi="方正小标宋简体" w:eastAsia="方正小标宋简体" w:cs="方正小标宋简体"/>
          <w:sz w:val="44"/>
          <w:szCs w:val="44"/>
          <w:lang w:eastAsia="zh-CN"/>
        </w:rPr>
        <w:t>置换</w:t>
      </w:r>
      <w:r>
        <w:rPr>
          <w:rFonts w:hint="eastAsia" w:ascii="方正小标宋简体" w:hAnsi="方正小标宋简体" w:eastAsia="方正小标宋简体" w:cs="方正小标宋简体"/>
          <w:sz w:val="44"/>
          <w:szCs w:val="44"/>
        </w:rPr>
        <w:t>为电动</w:t>
      </w:r>
    </w:p>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或氢能源等新能源客车项目办事指南</w:t>
      </w:r>
    </w:p>
    <w:p>
      <w:pPr>
        <w:spacing w:line="560" w:lineRule="exact"/>
        <w:rPr>
          <w:rFonts w:ascii="仿宋_GB2312" w:hAnsi="仿宋_GB2312" w:eastAsia="仿宋_GB2312" w:cs="仿宋_GB2312"/>
          <w:sz w:val="32"/>
          <w:szCs w:val="32"/>
        </w:rPr>
      </w:pPr>
    </w:p>
    <w:p>
      <w:pPr>
        <w:spacing w:line="560" w:lineRule="exact"/>
        <w:ind w:firstLine="640" w:firstLineChars="200"/>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spacing w:line="560" w:lineRule="exact"/>
        <w:ind w:firstLine="640" w:firstLineChars="200"/>
        <w:rPr>
          <w:rFonts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《北京经济技术开发区促进绿色低碳高质量发展资金奖励办法》（京技管发</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2023</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31号）</w:t>
      </w:r>
      <w:r>
        <w:rPr>
          <w:rFonts w:hint="eastAsia" w:ascii="仿宋_GB2312" w:hAnsi="仿宋_GB2312" w:eastAsia="仿宋_GB2312" w:cs="仿宋_GB2312"/>
          <w:bCs/>
          <w:kern w:val="0"/>
          <w:sz w:val="32"/>
          <w:szCs w:val="32"/>
        </w:rPr>
        <w:t>第十四条支持项目：企业租赁燃油燃气大中型客车置换为电动或氢能源等新能源客车项目</w:t>
      </w:r>
      <w:r>
        <w:rPr>
          <w:rFonts w:hint="eastAsia" w:ascii="仿宋_GB2312" w:hAnsi="仿宋_GB2312" w:eastAsia="仿宋_GB2312" w:cs="仿宋_GB2312"/>
          <w:b/>
          <w:kern w:val="0"/>
          <w:sz w:val="32"/>
          <w:szCs w:val="32"/>
        </w:rPr>
        <w:t>。</w:t>
      </w:r>
      <w:r>
        <w:rPr>
          <w:rFonts w:hint="eastAsia" w:ascii="仿宋_GB2312" w:hAnsi="仿宋_GB2312" w:eastAsia="仿宋_GB2312" w:cs="仿宋_GB2312"/>
          <w:bCs/>
          <w:kern w:val="0"/>
          <w:sz w:val="32"/>
          <w:szCs w:val="32"/>
        </w:rPr>
        <w:t>该项目为污染防治类支持方向。</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spacing w:line="560" w:lineRule="exact"/>
        <w:ind w:firstLine="640" w:firstLineChars="200"/>
        <w:rPr>
          <w:rFonts w:ascii="仿宋_GB2312" w:hAnsi="仿宋_GB2312" w:eastAsia="仿宋_GB2312" w:cs="仿宋_GB2312"/>
          <w:bCs/>
          <w:kern w:val="0"/>
          <w:sz w:val="32"/>
          <w:szCs w:val="32"/>
        </w:rPr>
      </w:pPr>
      <w:bookmarkStart w:id="0" w:name="_Hlk159441872"/>
      <w:bookmarkEnd w:id="0"/>
      <w:r>
        <w:rPr>
          <w:rFonts w:hint="eastAsia" w:ascii="仿宋_GB2312" w:hAnsi="仿宋_GB2312" w:eastAsia="仿宋_GB2312" w:cs="仿宋_GB2312"/>
          <w:bCs/>
          <w:kern w:val="0"/>
          <w:sz w:val="32"/>
          <w:szCs w:val="32"/>
        </w:rPr>
        <w:t>企业租赁燃油燃气大中型客车</w:t>
      </w:r>
      <w:r>
        <w:rPr>
          <w:rFonts w:hint="eastAsia" w:ascii="仿宋_GB2312" w:hAnsi="仿宋_GB2312" w:eastAsia="仿宋_GB2312" w:cs="仿宋_GB2312"/>
          <w:bCs/>
          <w:kern w:val="0"/>
          <w:sz w:val="32"/>
          <w:szCs w:val="32"/>
          <w:lang w:eastAsia="zh-CN"/>
        </w:rPr>
        <w:t>置</w:t>
      </w:r>
      <w:r>
        <w:rPr>
          <w:rFonts w:hint="eastAsia" w:ascii="仿宋_GB2312" w:hAnsi="仿宋_GB2312" w:eastAsia="仿宋_GB2312" w:cs="仿宋_GB2312"/>
          <w:bCs/>
          <w:kern w:val="0"/>
          <w:sz w:val="32"/>
          <w:szCs w:val="32"/>
        </w:rPr>
        <w:t>换为电动或氢能源等新能源客车项目</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三、申报条件</w:t>
      </w:r>
    </w:p>
    <w:p>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（一）申报主体应在经开区60平方公里范围内依法注册、纳税、入统。</w:t>
      </w:r>
    </w:p>
    <w:p>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（二）近三年无重大行政处罚记录、刑事犯罪记录，未被列入严重违法失信主体名单，未发生重大生产安全事故和突发环境事件。（“近三年”指2020年11月24日至拟支持企业公示的截止日期）</w:t>
      </w:r>
    </w:p>
    <w:p>
      <w:pPr>
        <w:spacing w:line="560" w:lineRule="exact"/>
        <w:ind w:firstLine="616" w:firstLineChars="200"/>
        <w:rPr>
          <w:rFonts w:ascii="仿宋_GB2312" w:hAnsi="仿宋_GB2312" w:eastAsia="仿宋_GB2312" w:cs="仿宋_GB2312"/>
          <w:sz w:val="32"/>
          <w:szCs w:val="32"/>
        </w:rPr>
      </w:pPr>
      <w:r>
        <w:rPr>
          <w:rFonts w:hint="eastAsia" w:ascii="仿宋_GB2312" w:hAnsi="仿宋" w:eastAsia="仿宋_GB2312"/>
          <w:color w:val="000000"/>
          <w:spacing w:val="-6"/>
          <w:sz w:val="32"/>
          <w:szCs w:val="32"/>
        </w:rPr>
        <w:t>（三）同一单位同一项目符合本政策规定的多个支持方向及经开区其他专项支持政策的，按照从高从优不重复的原则申请支持</w:t>
      </w:r>
      <w:r>
        <w:rPr>
          <w:rFonts w:hint="eastAsia" w:ascii="仿宋_GB2312" w:hAnsi="仿宋_GB2312" w:eastAsia="仿宋_GB2312" w:cs="仿宋_GB2312"/>
          <w:sz w:val="32"/>
          <w:szCs w:val="32"/>
        </w:rPr>
        <w:t>。</w:t>
      </w:r>
    </w:p>
    <w:p>
      <w:pPr>
        <w:spacing w:line="560" w:lineRule="exact"/>
        <w:ind w:firstLine="616" w:firstLineChars="200"/>
        <w:rPr>
          <w:rFonts w:ascii="仿宋_GB2312" w:hAnsi="仿宋" w:eastAsia="仿宋_GB2312"/>
          <w:color w:val="000000"/>
          <w:spacing w:val="-6"/>
          <w:sz w:val="32"/>
          <w:szCs w:val="32"/>
        </w:rPr>
      </w:pPr>
      <w:bookmarkStart w:id="1" w:name="_Hlk159442096"/>
      <w:bookmarkEnd w:id="1"/>
      <w:r>
        <w:rPr>
          <w:rFonts w:hint="eastAsia" w:ascii="仿宋_GB2312" w:hAnsi="仿宋" w:eastAsia="仿宋_GB2312"/>
          <w:color w:val="000000"/>
          <w:spacing w:val="-6"/>
          <w:sz w:val="32"/>
          <w:szCs w:val="32"/>
        </w:rPr>
        <w:t>（四）</w:t>
      </w:r>
      <w:r>
        <w:rPr>
          <w:rFonts w:hint="eastAsia" w:ascii="仿宋_GB2312" w:hAnsi="仿宋" w:eastAsia="仿宋_GB2312"/>
          <w:color w:val="000000"/>
          <w:spacing w:val="-6"/>
          <w:sz w:val="32"/>
          <w:szCs w:val="32"/>
          <w:lang w:val="en-US" w:eastAsia="zh-CN"/>
        </w:rPr>
        <w:t>申报对象须为包用大中型客车的企业，包用燃油燃气大中型客车改为包用新能源客车的时间须在2023年1月1日-2024年5月10日</w:t>
      </w:r>
      <w:r>
        <w:rPr>
          <w:rFonts w:hint="eastAsia" w:ascii="仿宋_GB2312" w:hAnsi="仿宋" w:eastAsia="仿宋_GB2312"/>
          <w:color w:val="000000"/>
          <w:spacing w:val="-6"/>
          <w:sz w:val="32"/>
          <w:szCs w:val="32"/>
        </w:rPr>
        <w:t>；</w:t>
      </w:r>
    </w:p>
    <w:p>
      <w:pPr>
        <w:spacing w:line="560" w:lineRule="exact"/>
        <w:ind w:firstLine="616" w:firstLineChars="200"/>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（五）包用的新能源客车，须来自具有《道路运输经营许可证》的客运经营企业，同时包用的新能源客车需具有《道路运输证》。</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（六）包用的新能源车辆须纳入国家最新版《新能源汽车推广应用推荐车型目录》，但《目录》中的插电式混合动力车不在支持范围；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（七）以下项目不列入支持范围：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1.存在“骗补”行为的项目；</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2.未获得节能审查意见的数据中心项目；</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3.使用政府财政资金投资建设的项目。</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四、支持内容及标准</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经开区现有企业，将现有长期租赁（一年及以上）的京籍燃油燃气大中型客车改租为纯电动或氢能源等新能源车辆的，且承诺今后不再租赁燃油燃气大中型客车的给予资金奖励。根据置换改租的新能源车数量确定奖励车辆规模，每辆车的具体奖励标准为一次性奖励6万元。</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bCs/>
          <w:color w:val="000000"/>
          <w:kern w:val="0"/>
          <w:sz w:val="32"/>
          <w:szCs w:val="32"/>
        </w:rPr>
        <w:t>本政策中租赁大中型客车是指采用包车形式租用具有道路旅客运输资质的大中型客车。</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spacing w:line="560" w:lineRule="exact"/>
        <w:ind w:firstLine="664" w:firstLineChars="200"/>
        <w:rPr>
          <w:rFonts w:ascii="楷体_GB2312" w:hAnsi="仿宋_GB2312" w:eastAsia="楷体_GB2312" w:cs="仿宋_GB2312"/>
          <w:spacing w:val="6"/>
          <w:sz w:val="32"/>
          <w:szCs w:val="32"/>
        </w:rPr>
      </w:pPr>
      <w:r>
        <w:rPr>
          <w:rFonts w:hint="eastAsia" w:ascii="楷体_GB2312" w:hAnsi="仿宋_GB2312" w:eastAsia="楷体_GB2312" w:cs="仿宋_GB2312"/>
          <w:spacing w:val="6"/>
          <w:sz w:val="32"/>
          <w:szCs w:val="32"/>
        </w:rPr>
        <w:t>（一）申报材料</w:t>
      </w:r>
    </w:p>
    <w:p>
      <w:pPr>
        <w:spacing w:line="560" w:lineRule="exact"/>
        <w:ind w:firstLine="640" w:firstLineChars="200"/>
        <w:outlineLvl w:val="2"/>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1.北京经济技术开发区绿色发展资金奖励项目申报表，</w:t>
      </w:r>
      <w:r>
        <w:rPr>
          <w:rFonts w:hint="eastAsia" w:ascii="仿宋_GB2312" w:hAnsi="宋体" w:eastAsia="仿宋_GB2312" w:cs="宋体"/>
          <w:color w:val="000000"/>
          <w:sz w:val="32"/>
          <w:szCs w:val="32"/>
        </w:rPr>
        <w:t>在线填写</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2.企业营业执照，选取电子证照；</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3.承诺书，下载模板填写，签字、加盖公章，彩色扫描上传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4.银行账户信息，下载模板填写，加盖公章，彩色扫描上传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pacing w:val="6"/>
          <w:sz w:val="32"/>
          <w:szCs w:val="32"/>
        </w:rPr>
      </w:pPr>
      <w:r>
        <w:rPr>
          <w:rFonts w:ascii="仿宋_GB2312" w:hAnsi="仿宋_GB2312" w:eastAsia="仿宋_GB2312" w:cs="仿宋_GB2312"/>
          <w:sz w:val="32"/>
          <w:szCs w:val="32"/>
        </w:rPr>
        <w:t>5</w:t>
      </w:r>
      <w:r>
        <w:rPr>
          <w:rFonts w:hint="eastAsia" w:ascii="仿宋_GB2312" w:hAnsi="仿宋_GB2312" w:eastAsia="仿宋_GB2312" w:cs="仿宋_GB2312"/>
          <w:sz w:val="32"/>
          <w:szCs w:val="32"/>
        </w:rPr>
        <w:t>.北京经济技术开发区绿色发展资金项目财务信息登记表</w:t>
      </w:r>
      <w:r>
        <w:rPr>
          <w:rFonts w:hint="eastAsia" w:ascii="仿宋_GB2312" w:hAnsi="宋体" w:eastAsia="仿宋_GB2312" w:cs="宋体"/>
          <w:color w:val="000000"/>
          <w:sz w:val="32"/>
          <w:szCs w:val="32"/>
        </w:rPr>
        <w:t>（电子版），</w:t>
      </w:r>
      <w:r>
        <w:rPr>
          <w:rFonts w:hint="eastAsia" w:ascii="仿宋_GB2312" w:hAnsi="仿宋_GB2312" w:eastAsia="仿宋_GB2312" w:cs="仿宋_GB2312"/>
          <w:sz w:val="32"/>
          <w:szCs w:val="32"/>
        </w:rPr>
        <w:t>下载模板</w:t>
      </w:r>
      <w:r>
        <w:rPr>
          <w:rFonts w:hint="eastAsia" w:ascii="仿宋_GB2312" w:hAnsi="宋体" w:eastAsia="仿宋_GB2312" w:cs="宋体"/>
          <w:color w:val="000000"/>
          <w:sz w:val="32"/>
          <w:szCs w:val="32"/>
        </w:rPr>
        <w:t>填写，</w:t>
      </w:r>
      <w:r>
        <w:rPr>
          <w:rFonts w:hint="eastAsia" w:ascii="仿宋_GB2312" w:hAnsi="仿宋_GB2312" w:eastAsia="仿宋_GB2312" w:cs="仿宋_GB2312"/>
          <w:sz w:val="32"/>
          <w:szCs w:val="32"/>
          <w:lang w:val="en-US" w:eastAsia="zh-CN"/>
        </w:rPr>
        <w:t>电子</w:t>
      </w:r>
      <w:r>
        <w:rPr>
          <w:rFonts w:hint="eastAsia" w:ascii="仿宋_GB2312" w:hAnsi="仿宋_GB2312" w:eastAsia="仿宋_GB2312" w:cs="仿宋_GB2312"/>
          <w:sz w:val="32"/>
          <w:szCs w:val="32"/>
        </w:rPr>
        <w:t>版上传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6.北京经济技术开发区绿色发展资金项目财务信息登记表（扫描版），应为材料5打印版，且内容一致，加盖公章，彩色扫描上传；</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7.原燃油燃气车辆登记证书或行驶证、包车合同、一个年度的包车费用发票和银行往来凭证，原件彩色扫描上传；</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8.新能源车包车合同（包车期限满足一年及以上）、发票、银行往来凭证，原件彩色扫描上传；</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9.新能源车机动车登记证书或行驶证，原件彩色扫描上传；</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ascii="仿宋_GB2312" w:hAnsi="仿宋_GB2312" w:eastAsia="仿宋_GB2312" w:cs="仿宋_GB2312"/>
          <w:sz w:val="32"/>
          <w:szCs w:val="32"/>
        </w:rPr>
        <w:t>0.</w:t>
      </w:r>
      <w:r>
        <w:rPr>
          <w:rFonts w:hint="eastAsia" w:ascii="仿宋_GB2312" w:hAnsi="仿宋_GB2312" w:eastAsia="仿宋_GB2312" w:cs="仿宋_GB2312"/>
          <w:sz w:val="32"/>
          <w:szCs w:val="32"/>
        </w:rPr>
        <w:t>提供包用新能源车所属的客运经营企业的《道路运输经营许可证》和新能源车的《道路运输证》，原件彩色扫描上传；</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.包用新能源车前后的班车台账及行驶路线</w:t>
      </w:r>
      <w:r>
        <w:rPr>
          <w:rFonts w:hint="eastAsia" w:ascii="仿宋_GB2312" w:hAnsi="仿宋_GB2312" w:eastAsia="仿宋_GB2312" w:cs="仿宋_GB2312"/>
          <w:sz w:val="32"/>
          <w:szCs w:val="32"/>
          <w:lang w:eastAsia="zh-CN"/>
        </w:rPr>
        <w:t>，原件彩色扫描上传</w:t>
      </w:r>
      <w:r>
        <w:rPr>
          <w:rFonts w:hint="eastAsia" w:ascii="仿宋_GB2312" w:hAnsi="仿宋_GB2312" w:eastAsia="仿宋_GB2312" w:cs="仿宋_GB2312"/>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ascii="仿宋_GB2312" w:hAnsi="仿宋_GB2312" w:eastAsia="仿宋_GB2312" w:cs="仿宋_GB2312"/>
          <w:sz w:val="32"/>
          <w:szCs w:val="32"/>
        </w:rPr>
        <w:t>2</w:t>
      </w:r>
      <w:r>
        <w:rPr>
          <w:rFonts w:hint="eastAsia" w:ascii="仿宋_GB2312" w:hAnsi="仿宋_GB2312" w:eastAsia="仿宋_GB2312" w:cs="仿宋_GB2312"/>
          <w:sz w:val="32"/>
          <w:szCs w:val="32"/>
        </w:rPr>
        <w:t>.自包车使用新能源车之日起不再改为包用汽柴油车的承诺书，原件彩色扫描上传。</w:t>
      </w:r>
    </w:p>
    <w:p>
      <w:pPr>
        <w:spacing w:line="560" w:lineRule="exact"/>
        <w:ind w:firstLine="664" w:firstLineChars="200"/>
        <w:rPr>
          <w:rFonts w:ascii="楷体_GB2312" w:hAnsi="仿宋_GB2312" w:eastAsia="楷体_GB2312" w:cs="仿宋_GB2312"/>
          <w:spacing w:val="6"/>
          <w:sz w:val="32"/>
          <w:szCs w:val="32"/>
        </w:rPr>
      </w:pPr>
      <w:r>
        <w:rPr>
          <w:rFonts w:hint="eastAsia" w:ascii="楷体_GB2312" w:hAnsi="仿宋_GB2312" w:eastAsia="楷体_GB2312" w:cs="仿宋_GB2312"/>
          <w:spacing w:val="6"/>
          <w:sz w:val="32"/>
          <w:szCs w:val="32"/>
        </w:rPr>
        <w:t>（二）打印纸质材料要求</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收到打印纸质材料短信通知后，在3个工作日内从平台下载带水印全套申报材料进行打印，一式两份有序装订（整本首页、骑缝盖章），其中银行账户信息无需装订，加盖公章，一并递交至受理窗口。</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六、办理程序</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（一）</w:t>
      </w:r>
      <w:r>
        <w:rPr>
          <w:rFonts w:hint="eastAsia" w:ascii="仿宋_GB2312" w:hAnsi="仿宋_GB2312" w:eastAsia="仿宋_GB2312" w:cs="仿宋_GB2312"/>
          <w:b/>
          <w:bCs/>
          <w:sz w:val="32"/>
          <w:szCs w:val="32"/>
        </w:rPr>
        <w:t>网上申报</w:t>
      </w:r>
      <w:r>
        <w:rPr>
          <w:rFonts w:hint="eastAsia" w:ascii="仿宋_GB2312" w:hAnsi="仿宋_GB2312" w:eastAsia="仿宋_GB2312" w:cs="仿宋_GB2312"/>
          <w:sz w:val="32"/>
          <w:szCs w:val="32"/>
        </w:rPr>
        <w:t>：通过经开区官网政策兑现模块进入政策兑现综合服务平台，或使用360浏览器的极速模式登录网址：zcdx.kfqgw.beijing.gov.cn，注册登录后进行项目申报。如未在规定时间内提交</w:t>
      </w:r>
      <w:r>
        <w:rPr>
          <w:rFonts w:hint="eastAsia" w:ascii="仿宋_GB2312" w:hAnsi="仿宋_GB2312" w:eastAsia="仿宋_GB2312" w:cs="仿宋_GB2312"/>
          <w:color w:val="000000"/>
          <w:sz w:val="32"/>
          <w:szCs w:val="32"/>
        </w:rPr>
        <w:t>申报材料</w:t>
      </w:r>
      <w:r>
        <w:rPr>
          <w:rFonts w:hint="eastAsia" w:ascii="仿宋_GB2312" w:hAnsi="仿宋_GB2312" w:eastAsia="仿宋_GB2312" w:cs="仿宋_GB2312"/>
          <w:sz w:val="32"/>
          <w:szCs w:val="32"/>
        </w:rPr>
        <w:t>的，视为自动放弃。</w:t>
      </w:r>
    </w:p>
    <w:p>
      <w:pPr>
        <w:pStyle w:val="11"/>
        <w:widowControl/>
        <w:numPr>
          <w:ilvl w:val="255"/>
          <w:numId w:val="0"/>
        </w:numPr>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rPr>
        <w:t>城市运行局对申报材料进行实质审核</w:t>
      </w:r>
      <w:r>
        <w:rPr>
          <w:rFonts w:hint="eastAsia" w:ascii="仿宋_GB2312" w:hAnsi="仿宋_GB2312" w:eastAsia="仿宋_GB2312" w:cs="仿宋_GB2312"/>
          <w:color w:val="000000"/>
          <w:kern w:val="2"/>
          <w:sz w:val="32"/>
          <w:szCs w:val="32"/>
        </w:rPr>
        <w:t>。</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（五）</w:t>
      </w:r>
      <w:r>
        <w:rPr>
          <w:rFonts w:hint="eastAsia" w:ascii="仿宋_GB2312" w:hAnsi="仿宋_GB2312" w:eastAsia="仿宋_GB2312" w:cs="仿宋_GB2312"/>
          <w:b/>
          <w:bCs/>
          <w:color w:val="000000"/>
          <w:kern w:val="2"/>
          <w:sz w:val="32"/>
          <w:szCs w:val="32"/>
        </w:rPr>
        <w:t>专家评审：</w:t>
      </w:r>
      <w:r>
        <w:rPr>
          <w:rFonts w:hint="eastAsia" w:ascii="仿宋_GB2312" w:hAnsi="仿宋_GB2312" w:eastAsia="仿宋_GB2312" w:cs="仿宋_GB2312"/>
          <w:color w:val="000000"/>
          <w:kern w:val="2"/>
          <w:sz w:val="32"/>
          <w:szCs w:val="32"/>
        </w:rPr>
        <w:t>经开区城市运行局组织专家线下对申报材料进行评审，同时勘察现场，评审后将结果上传到系统。</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确定支持结果</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000000"/>
          <w:sz w:val="32"/>
          <w:szCs w:val="32"/>
        </w:rPr>
        <w:t>经开区城市运行局对审核通过的申报主体拟定兑现</w:t>
      </w:r>
      <w:r>
        <w:rPr>
          <w:rFonts w:hint="eastAsia" w:ascii="仿宋_GB2312" w:hAnsi="仿宋_GB2312" w:eastAsia="仿宋_GB2312" w:cs="仿宋_GB2312"/>
          <w:color w:val="000000"/>
          <w:sz w:val="32"/>
          <w:szCs w:val="32"/>
          <w:lang w:eastAsia="zh-CN"/>
        </w:rPr>
        <w:t>支</w:t>
      </w:r>
      <w:r>
        <w:rPr>
          <w:rFonts w:hint="eastAsia" w:ascii="仿宋_GB2312" w:hAnsi="仿宋_GB2312" w:eastAsia="仿宋_GB2312" w:cs="仿宋_GB2312"/>
          <w:color w:val="000000"/>
          <w:sz w:val="32"/>
          <w:szCs w:val="32"/>
        </w:rPr>
        <w:t>持奖励金额。</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：经开区城市运行局通过政策兑现综合服务平台对审核通过的申报主体进行公示。</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（八）</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：经公示无异议的，经开区财务结算中心完成资金拨付工作。</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spacing w:line="560" w:lineRule="exact"/>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经开区城市运行局</w:t>
      </w:r>
      <w:bookmarkStart w:id="2" w:name="_GoBack"/>
      <w:bookmarkEnd w:id="2"/>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年4月</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日至2024年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日</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p>
    <w:p>
      <w:pPr>
        <w:spacing w:line="560" w:lineRule="exact"/>
        <w:ind w:firstLine="629"/>
        <w:rPr>
          <w:rFonts w:eastAsia="仿宋_GB2312"/>
          <w:sz w:val="32"/>
          <w:szCs w:val="32"/>
        </w:rPr>
      </w:pPr>
      <w:r>
        <w:rPr>
          <w:rFonts w:hint="eastAsia" w:eastAsia="仿宋_GB2312"/>
          <w:sz w:val="32"/>
          <w:szCs w:val="32"/>
        </w:rPr>
        <w:t>政策咨询:</w:t>
      </w:r>
    </w:p>
    <w:p>
      <w:pPr>
        <w:spacing w:line="560" w:lineRule="exact"/>
        <w:ind w:firstLine="640" w:firstLineChars="200"/>
        <w:rPr>
          <w:rFonts w:eastAsia="仿宋_GB2312"/>
          <w:sz w:val="32"/>
          <w:szCs w:val="32"/>
        </w:rPr>
      </w:pPr>
      <w:r>
        <w:rPr>
          <w:rFonts w:hint="eastAsia" w:eastAsia="仿宋_GB2312"/>
          <w:sz w:val="32"/>
          <w:szCs w:val="32"/>
        </w:rPr>
        <w:t>经开区政务服务中心“政策申报”窗口，联系电话：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pPr>
        <w:spacing w:line="560" w:lineRule="exact"/>
        <w:ind w:firstLine="640" w:firstLineChars="200"/>
        <w:rPr>
          <w:rFonts w:eastAsia="仿宋_GB2312"/>
          <w:sz w:val="32"/>
          <w:szCs w:val="32"/>
        </w:rPr>
      </w:pPr>
      <w:r>
        <w:rPr>
          <w:rFonts w:hint="eastAsia" w:eastAsia="仿宋_GB2312"/>
          <w:sz w:val="32"/>
          <w:szCs w:val="32"/>
        </w:rPr>
        <w:t>经开区城市运行局</w:t>
      </w:r>
      <w:r>
        <w:rPr>
          <w:rFonts w:hint="eastAsia" w:ascii="仿宋_GB2312" w:hAnsi="仿宋_GB2312" w:eastAsia="仿宋_GB2312" w:cs="仿宋_GB2312"/>
          <w:sz w:val="32"/>
          <w:szCs w:val="32"/>
        </w:rPr>
        <w:t>，联系电话：010-67817352，工作日上午9:00—12:00，下午2:00—6:00。</w:t>
      </w:r>
    </w:p>
    <w:p>
      <w:pPr>
        <w:spacing w:line="560" w:lineRule="exact"/>
        <w:ind w:firstLine="629"/>
        <w:rPr>
          <w:rFonts w:eastAsia="仿宋_GB2312"/>
          <w:sz w:val="32"/>
          <w:szCs w:val="32"/>
        </w:rPr>
      </w:pPr>
      <w:r>
        <w:rPr>
          <w:rFonts w:hint="eastAsia" w:eastAsia="仿宋_GB2312"/>
          <w:sz w:val="32"/>
          <w:szCs w:val="32"/>
        </w:rPr>
        <w:t>技术支持:</w:t>
      </w:r>
    </w:p>
    <w:p>
      <w:pPr>
        <w:spacing w:line="560" w:lineRule="exact"/>
        <w:ind w:firstLine="640" w:firstLineChars="200"/>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：010-67857638，工作日上午9:00—12:00，下午2:00—6:00。</w:t>
      </w:r>
    </w:p>
    <w:p>
      <w:pPr>
        <w:spacing w:line="560" w:lineRule="exact"/>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无</w:t>
      </w:r>
    </w:p>
    <w:p>
      <w:pPr>
        <w:spacing w:line="560" w:lineRule="exact"/>
      </w:pPr>
    </w:p>
    <w:sectPr>
      <w:footerReference r:id="rId3" w:type="default"/>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5662294"/>
    </w:sdtPr>
    <w:sdtEndPr>
      <w:rPr>
        <w:rFonts w:ascii="宋体" w:hAnsi="宋体"/>
        <w:sz w:val="24"/>
        <w:szCs w:val="24"/>
      </w:rPr>
    </w:sdtEndPr>
    <w:sdtContent>
      <w:p>
        <w:pPr>
          <w:pStyle w:val="9"/>
          <w:jc w:val="center"/>
          <w:rPr>
            <w:rFonts w:ascii="宋体" w:hAnsi="宋体"/>
            <w:sz w:val="24"/>
            <w:szCs w:val="24"/>
          </w:rPr>
        </w:pPr>
        <w:r>
          <w:rPr>
            <w:rFonts w:ascii="宋体" w:hAnsi="宋体"/>
            <w:sz w:val="24"/>
            <w:szCs w:val="24"/>
          </w:rPr>
          <w:fldChar w:fldCharType="begin"/>
        </w:r>
        <w:r>
          <w:rPr>
            <w:rFonts w:ascii="宋体" w:hAnsi="宋体"/>
            <w:sz w:val="24"/>
            <w:szCs w:val="24"/>
          </w:rPr>
          <w:instrText xml:space="preserve">PAGE   \* MERGEFORMAT</w:instrText>
        </w:r>
        <w:r>
          <w:rPr>
            <w:rFonts w:ascii="宋体" w:hAnsi="宋体"/>
            <w:sz w:val="24"/>
            <w:szCs w:val="24"/>
          </w:rPr>
          <w:fldChar w:fldCharType="separate"/>
        </w:r>
        <w:r>
          <w:rPr>
            <w:rFonts w:ascii="宋体" w:hAnsi="宋体"/>
            <w:sz w:val="24"/>
            <w:szCs w:val="24"/>
            <w:lang w:val="zh-CN"/>
          </w:rPr>
          <w:t>5</w:t>
        </w:r>
        <w:r>
          <w:rPr>
            <w:rFonts w:ascii="宋体" w:hAnsi="宋体"/>
            <w:sz w:val="24"/>
            <w:szCs w:val="24"/>
          </w:rPr>
          <w:fldChar w:fldCharType="end"/>
        </w:r>
      </w:p>
    </w:sdtContent>
  </w:sdt>
  <w:p>
    <w:pPr>
      <w:pStyle w:val="9"/>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GIxMmJiM2MxYmEyOGY2MWQzNDY1ZmU5Y2EwYzkzOTEifQ=="/>
  </w:docVars>
  <w:rsids>
    <w:rsidRoot w:val="00822AA1"/>
    <w:rsid w:val="00024805"/>
    <w:rsid w:val="000474B7"/>
    <w:rsid w:val="00054B33"/>
    <w:rsid w:val="000551F4"/>
    <w:rsid w:val="0006188B"/>
    <w:rsid w:val="00064880"/>
    <w:rsid w:val="000C68F8"/>
    <w:rsid w:val="0011242E"/>
    <w:rsid w:val="00175DD4"/>
    <w:rsid w:val="00214E48"/>
    <w:rsid w:val="002351AB"/>
    <w:rsid w:val="002A7514"/>
    <w:rsid w:val="002C006A"/>
    <w:rsid w:val="00331702"/>
    <w:rsid w:val="00415A5E"/>
    <w:rsid w:val="00490CD8"/>
    <w:rsid w:val="004A0BFB"/>
    <w:rsid w:val="004C744B"/>
    <w:rsid w:val="004F156A"/>
    <w:rsid w:val="0051798F"/>
    <w:rsid w:val="00564554"/>
    <w:rsid w:val="005A3E72"/>
    <w:rsid w:val="005A7C7B"/>
    <w:rsid w:val="005B2A58"/>
    <w:rsid w:val="005E29FD"/>
    <w:rsid w:val="00732127"/>
    <w:rsid w:val="007638A4"/>
    <w:rsid w:val="00795F30"/>
    <w:rsid w:val="00821348"/>
    <w:rsid w:val="00822AA1"/>
    <w:rsid w:val="008723A5"/>
    <w:rsid w:val="008C1AAB"/>
    <w:rsid w:val="0095345E"/>
    <w:rsid w:val="00990854"/>
    <w:rsid w:val="009C47A5"/>
    <w:rsid w:val="00AD7E93"/>
    <w:rsid w:val="00AE0D5C"/>
    <w:rsid w:val="00B12211"/>
    <w:rsid w:val="00B443E7"/>
    <w:rsid w:val="00B46A1F"/>
    <w:rsid w:val="00BC7C88"/>
    <w:rsid w:val="00C97AF5"/>
    <w:rsid w:val="00CC425A"/>
    <w:rsid w:val="00D26073"/>
    <w:rsid w:val="00DF3956"/>
    <w:rsid w:val="00E8482C"/>
    <w:rsid w:val="00E93BD6"/>
    <w:rsid w:val="00E9447E"/>
    <w:rsid w:val="00EB1868"/>
    <w:rsid w:val="00F5167B"/>
    <w:rsid w:val="01455DDE"/>
    <w:rsid w:val="02003325"/>
    <w:rsid w:val="02585768"/>
    <w:rsid w:val="03CA0616"/>
    <w:rsid w:val="04A26591"/>
    <w:rsid w:val="0534611C"/>
    <w:rsid w:val="05701363"/>
    <w:rsid w:val="05D21D0E"/>
    <w:rsid w:val="06065615"/>
    <w:rsid w:val="0653772B"/>
    <w:rsid w:val="074271EC"/>
    <w:rsid w:val="078B42EC"/>
    <w:rsid w:val="07C24280"/>
    <w:rsid w:val="07C80EFB"/>
    <w:rsid w:val="0AD92905"/>
    <w:rsid w:val="0AE37BA3"/>
    <w:rsid w:val="0C763E29"/>
    <w:rsid w:val="0FA45EE1"/>
    <w:rsid w:val="1183680A"/>
    <w:rsid w:val="128A572B"/>
    <w:rsid w:val="12DD59D5"/>
    <w:rsid w:val="13682381"/>
    <w:rsid w:val="14E05AD6"/>
    <w:rsid w:val="161609E1"/>
    <w:rsid w:val="16B649C0"/>
    <w:rsid w:val="171A406F"/>
    <w:rsid w:val="17F453F5"/>
    <w:rsid w:val="1A3D43B3"/>
    <w:rsid w:val="1AB84DFF"/>
    <w:rsid w:val="1C221701"/>
    <w:rsid w:val="1C84373B"/>
    <w:rsid w:val="1DC95553"/>
    <w:rsid w:val="1F6A4F18"/>
    <w:rsid w:val="20093926"/>
    <w:rsid w:val="205D570D"/>
    <w:rsid w:val="24946176"/>
    <w:rsid w:val="25233A1A"/>
    <w:rsid w:val="25B4493A"/>
    <w:rsid w:val="2778394C"/>
    <w:rsid w:val="2A965D50"/>
    <w:rsid w:val="2AFB3432"/>
    <w:rsid w:val="2B116179"/>
    <w:rsid w:val="2B3F6874"/>
    <w:rsid w:val="2BCD71D8"/>
    <w:rsid w:val="2C6A1831"/>
    <w:rsid w:val="2D35374F"/>
    <w:rsid w:val="2EF129B8"/>
    <w:rsid w:val="2F8B6295"/>
    <w:rsid w:val="2F971030"/>
    <w:rsid w:val="2FD53039"/>
    <w:rsid w:val="301B3A0F"/>
    <w:rsid w:val="325F08D3"/>
    <w:rsid w:val="33715497"/>
    <w:rsid w:val="33BE0A64"/>
    <w:rsid w:val="3410282D"/>
    <w:rsid w:val="34525525"/>
    <w:rsid w:val="34B329AF"/>
    <w:rsid w:val="359F76AC"/>
    <w:rsid w:val="35B53FBD"/>
    <w:rsid w:val="36E050F9"/>
    <w:rsid w:val="36F23C47"/>
    <w:rsid w:val="370F404A"/>
    <w:rsid w:val="37D449E8"/>
    <w:rsid w:val="384E3268"/>
    <w:rsid w:val="385143A2"/>
    <w:rsid w:val="38822CF0"/>
    <w:rsid w:val="3A5755D4"/>
    <w:rsid w:val="3A804B9A"/>
    <w:rsid w:val="3B60004D"/>
    <w:rsid w:val="3BB7265E"/>
    <w:rsid w:val="3D1C4928"/>
    <w:rsid w:val="3DAB57E6"/>
    <w:rsid w:val="3DE4285D"/>
    <w:rsid w:val="3DF7663B"/>
    <w:rsid w:val="3F016A58"/>
    <w:rsid w:val="3F37238E"/>
    <w:rsid w:val="3F5C21CD"/>
    <w:rsid w:val="40660DE4"/>
    <w:rsid w:val="42A761FE"/>
    <w:rsid w:val="44414045"/>
    <w:rsid w:val="45B26730"/>
    <w:rsid w:val="46405B25"/>
    <w:rsid w:val="47941A53"/>
    <w:rsid w:val="49F2635D"/>
    <w:rsid w:val="4BC4671E"/>
    <w:rsid w:val="4E224073"/>
    <w:rsid w:val="50BD049E"/>
    <w:rsid w:val="513D1DBF"/>
    <w:rsid w:val="516627E1"/>
    <w:rsid w:val="52E46243"/>
    <w:rsid w:val="53670FFF"/>
    <w:rsid w:val="561817EF"/>
    <w:rsid w:val="561E6639"/>
    <w:rsid w:val="57692C37"/>
    <w:rsid w:val="57855FE3"/>
    <w:rsid w:val="5A4C3B3E"/>
    <w:rsid w:val="5B1641B8"/>
    <w:rsid w:val="5CD61970"/>
    <w:rsid w:val="5D65649E"/>
    <w:rsid w:val="5F607760"/>
    <w:rsid w:val="60276F22"/>
    <w:rsid w:val="616D3BE9"/>
    <w:rsid w:val="61BB243B"/>
    <w:rsid w:val="626D169B"/>
    <w:rsid w:val="627C783B"/>
    <w:rsid w:val="65F171E2"/>
    <w:rsid w:val="66894C61"/>
    <w:rsid w:val="678E0047"/>
    <w:rsid w:val="68997495"/>
    <w:rsid w:val="68AC6419"/>
    <w:rsid w:val="691E53FA"/>
    <w:rsid w:val="6B794506"/>
    <w:rsid w:val="6C5329A9"/>
    <w:rsid w:val="6C7B6AC8"/>
    <w:rsid w:val="6CBF0CA2"/>
    <w:rsid w:val="6D5F69B8"/>
    <w:rsid w:val="6D8F76B6"/>
    <w:rsid w:val="6EA178DA"/>
    <w:rsid w:val="6F154FDE"/>
    <w:rsid w:val="6F8312B7"/>
    <w:rsid w:val="73715264"/>
    <w:rsid w:val="76C44067"/>
    <w:rsid w:val="796A7F0E"/>
    <w:rsid w:val="7A01441A"/>
    <w:rsid w:val="7A83519C"/>
    <w:rsid w:val="7B6A5853"/>
    <w:rsid w:val="7C950432"/>
    <w:rsid w:val="7DA50D4B"/>
    <w:rsid w:val="7DB87774"/>
    <w:rsid w:val="7F0843B7"/>
    <w:rsid w:val="7F2F7F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uiPriority="0" w:name="heading 6"/>
    <w:lsdException w:uiPriority="0" w:name="heading 7"/>
    <w:lsdException w:uiPriority="0" w:name="heading 8"/>
    <w:lsdException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line="560" w:lineRule="exact"/>
      <w:ind w:firstLine="629"/>
      <w:outlineLvl w:val="0"/>
    </w:pPr>
    <w:rPr>
      <w:rFonts w:eastAsia="黑体"/>
      <w:b/>
      <w:kern w:val="44"/>
    </w:rPr>
  </w:style>
  <w:style w:type="paragraph" w:styleId="3">
    <w:name w:val="heading 2"/>
    <w:basedOn w:val="1"/>
    <w:next w:val="1"/>
    <w:semiHidden/>
    <w:unhideWhenUsed/>
    <w:qFormat/>
    <w:uiPriority w:val="0"/>
    <w:pPr>
      <w:keepNext/>
      <w:keepLines/>
      <w:spacing w:line="560" w:lineRule="exact"/>
      <w:outlineLvl w:val="1"/>
    </w:pPr>
    <w:rPr>
      <w:rFonts w:ascii="Arial" w:hAnsi="Arial" w:eastAsia="楷体_GB2312"/>
    </w:rPr>
  </w:style>
  <w:style w:type="paragraph" w:styleId="4">
    <w:name w:val="heading 3"/>
    <w:basedOn w:val="1"/>
    <w:next w:val="1"/>
    <w:semiHidden/>
    <w:unhideWhenUsed/>
    <w:qFormat/>
    <w:uiPriority w:val="0"/>
    <w:pPr>
      <w:keepNext/>
      <w:keepLines/>
      <w:spacing w:line="560" w:lineRule="exact"/>
      <w:outlineLvl w:val="2"/>
    </w:pPr>
  </w:style>
  <w:style w:type="paragraph" w:styleId="5">
    <w:name w:val="heading 4"/>
    <w:basedOn w:val="1"/>
    <w:next w:val="1"/>
    <w:semiHidden/>
    <w:unhideWhenUsed/>
    <w:qFormat/>
    <w:uiPriority w:val="0"/>
    <w:pPr>
      <w:keepNext/>
      <w:keepLines/>
      <w:spacing w:line="560" w:lineRule="exact"/>
      <w:outlineLvl w:val="3"/>
    </w:pPr>
    <w:rPr>
      <w:rFonts w:ascii="Cambria" w:hAnsi="Cambria" w:eastAsia="仿宋_GB2312" w:cstheme="minorBidi"/>
      <w:b/>
      <w:bCs/>
      <w:sz w:val="32"/>
      <w:szCs w:val="28"/>
    </w:rPr>
  </w:style>
  <w:style w:type="paragraph" w:styleId="6">
    <w:name w:val="heading 5"/>
    <w:basedOn w:val="1"/>
    <w:next w:val="1"/>
    <w:semiHidden/>
    <w:unhideWhenUsed/>
    <w:qFormat/>
    <w:uiPriority w:val="0"/>
    <w:pPr>
      <w:keepNext/>
      <w:keepLines/>
      <w:spacing w:line="560" w:lineRule="exact"/>
      <w:outlineLvl w:val="4"/>
    </w:pPr>
    <w:rPr>
      <w:rFonts w:eastAsia="仿宋_GB2312"/>
      <w:b/>
      <w:sz w:val="32"/>
      <w:szCs w:val="22"/>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Layout w:type="fixed"/>
      <w:tblCellMar>
        <w:top w:w="0" w:type="dxa"/>
        <w:left w:w="108" w:type="dxa"/>
        <w:bottom w:w="0" w:type="dxa"/>
        <w:right w:w="108" w:type="dxa"/>
      </w:tblCellMar>
    </w:tblPr>
  </w:style>
  <w:style w:type="paragraph" w:styleId="7">
    <w:name w:val="Body Text"/>
    <w:basedOn w:val="1"/>
    <w:qFormat/>
    <w:uiPriority w:val="1"/>
    <w:rPr>
      <w:rFonts w:ascii="仿宋_GB2312" w:hAnsi="仿宋_GB2312" w:eastAsia="仿宋_GB2312" w:cs="仿宋_GB2312"/>
      <w:sz w:val="32"/>
      <w:szCs w:val="32"/>
    </w:rPr>
  </w:style>
  <w:style w:type="paragraph" w:styleId="8">
    <w:name w:val="Balloon Text"/>
    <w:basedOn w:val="1"/>
    <w:link w:val="18"/>
    <w:qFormat/>
    <w:uiPriority w:val="0"/>
    <w:rPr>
      <w:sz w:val="18"/>
      <w:szCs w:val="18"/>
    </w:rPr>
  </w:style>
  <w:style w:type="paragraph" w:styleId="9">
    <w:name w:val="footer"/>
    <w:basedOn w:val="1"/>
    <w:link w:val="16"/>
    <w:qFormat/>
    <w:uiPriority w:val="99"/>
    <w:pPr>
      <w:tabs>
        <w:tab w:val="center" w:pos="4153"/>
        <w:tab w:val="right" w:pos="8306"/>
      </w:tabs>
      <w:snapToGrid w:val="0"/>
      <w:jc w:val="left"/>
    </w:pPr>
    <w:rPr>
      <w:sz w:val="18"/>
      <w:szCs w:val="18"/>
    </w:rPr>
  </w:style>
  <w:style w:type="paragraph" w:styleId="10">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paragraph" w:styleId="11">
    <w:name w:val="Normal (Web)"/>
    <w:basedOn w:val="1"/>
    <w:qFormat/>
    <w:uiPriority w:val="0"/>
    <w:pPr>
      <w:spacing w:beforeAutospacing="1" w:afterAutospacing="1"/>
      <w:jc w:val="left"/>
    </w:pPr>
    <w:rPr>
      <w:kern w:val="0"/>
      <w:sz w:val="24"/>
    </w:rPr>
  </w:style>
  <w:style w:type="table" w:customStyle="1" w:styleId="14">
    <w:name w:val="网格型1"/>
    <w:basedOn w:val="12"/>
    <w:qFormat/>
    <w:uiPriority w:val="59"/>
    <w:rPr>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character" w:customStyle="1" w:styleId="15">
    <w:name w:val="页眉 字符"/>
    <w:basedOn w:val="13"/>
    <w:link w:val="10"/>
    <w:qFormat/>
    <w:uiPriority w:val="0"/>
    <w:rPr>
      <w:rFonts w:ascii="Times New Roman" w:hAnsi="Times New Roman" w:eastAsia="宋体" w:cs="Times New Roman"/>
      <w:kern w:val="2"/>
      <w:sz w:val="18"/>
      <w:szCs w:val="18"/>
    </w:rPr>
  </w:style>
  <w:style w:type="character" w:customStyle="1" w:styleId="16">
    <w:name w:val="页脚 字符"/>
    <w:basedOn w:val="13"/>
    <w:link w:val="9"/>
    <w:qFormat/>
    <w:uiPriority w:val="99"/>
    <w:rPr>
      <w:rFonts w:ascii="Times New Roman" w:hAnsi="Times New Roman" w:eastAsia="宋体" w:cs="Times New Roman"/>
      <w:kern w:val="2"/>
      <w:sz w:val="18"/>
      <w:szCs w:val="18"/>
    </w:rPr>
  </w:style>
  <w:style w:type="paragraph" w:customStyle="1" w:styleId="17">
    <w:name w:val="修订1"/>
    <w:semiHidden/>
    <w:qFormat/>
    <w:uiPriority w:val="99"/>
    <w:rPr>
      <w:rFonts w:ascii="Times New Roman" w:hAnsi="Times New Roman" w:eastAsia="宋体" w:cs="Times New Roman"/>
      <w:kern w:val="2"/>
      <w:sz w:val="21"/>
      <w:szCs w:val="24"/>
      <w:lang w:val="en-US" w:eastAsia="zh-CN" w:bidi="ar-SA"/>
    </w:rPr>
  </w:style>
  <w:style w:type="character" w:customStyle="1" w:styleId="18">
    <w:name w:val="批注框文本 字符"/>
    <w:basedOn w:val="13"/>
    <w:link w:val="8"/>
    <w:qFormat/>
    <w:uiPriority w:val="0"/>
    <w:rPr>
      <w:rFonts w:ascii="Times New Roman" w:hAnsi="Times New Roman" w:eastAsia="宋体" w:cs="Times New Roman"/>
      <w:kern w:val="2"/>
      <w:sz w:val="18"/>
      <w:szCs w:val="18"/>
    </w:rPr>
  </w:style>
  <w:style w:type="paragraph" w:customStyle="1" w:styleId="19">
    <w:name w:val="修订2"/>
    <w:unhideWhenUsed/>
    <w:qFormat/>
    <w:uiPriority w:val="99"/>
    <w:rPr>
      <w:rFonts w:ascii="Times New Roman" w:hAnsi="Times New Roman" w:eastAsia="宋体" w:cs="Times New Roman"/>
      <w:kern w:val="2"/>
      <w:sz w:val="21"/>
      <w:szCs w:val="24"/>
      <w:lang w:val="en-US" w:eastAsia="zh-CN" w:bidi="ar-SA"/>
    </w:rPr>
  </w:style>
  <w:style w:type="paragraph" w:customStyle="1" w:styleId="20">
    <w:name w:val="修订3"/>
    <w:unhideWhenUsed/>
    <w:qFormat/>
    <w:uiPriority w:val="99"/>
    <w:rPr>
      <w:rFonts w:ascii="Times New Roman" w:hAnsi="Times New Roman" w:eastAsia="宋体" w:cs="Times New Roman"/>
      <w:kern w:val="2"/>
      <w:sz w:val="21"/>
      <w:szCs w:val="24"/>
      <w:lang w:val="en-US" w:eastAsia="zh-CN" w:bidi="ar-SA"/>
    </w:rPr>
  </w:style>
  <w:style w:type="paragraph" w:customStyle="1" w:styleId="21">
    <w:name w:val="修订4"/>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lumMod val="102000"/>
                <a:satMod val="103000"/>
                <a:tint val="94000"/>
              </a:schemeClr>
            </a:gs>
            <a:gs pos="50000">
              <a:schemeClr val="phClr">
                <a:lumMod val="100000"/>
                <a:satMod val="11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satMod val="170000"/>
            <a:tint val="95000"/>
          </a:schemeClr>
        </a:solidFill>
        <a:gradFill rotWithShape="1">
          <a:gsLst>
            <a:gs pos="0">
              <a:schemeClr val="phClr">
                <a:lumMod val="102000"/>
                <a:satMod val="150000"/>
                <a:shade val="98000"/>
                <a:tint val="93000"/>
              </a:schemeClr>
            </a:gs>
            <a:gs pos="50000">
              <a:schemeClr val="phClr">
                <a:lumMod val="103000"/>
                <a:satMod val="130000"/>
                <a:shade val="90000"/>
                <a:tint val="98000"/>
              </a:schemeClr>
            </a:gs>
            <a:gs pos="100000">
              <a:schemeClr val="phClr">
                <a:satMod val="120000"/>
                <a:shade val="63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Pages>
  <Words>321</Words>
  <Characters>1836</Characters>
  <Lines>15</Lines>
  <Paragraphs>4</Paragraphs>
  <TotalTime>1</TotalTime>
  <ScaleCrop>false</ScaleCrop>
  <LinksUpToDate>false</LinksUpToDate>
  <CharactersWithSpaces>2153</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2024-02-21T03:01:00Z</dcterms:created>
  <dc:creator>办公用</dc:creator>
  <cp:lastModifiedBy>Administrator</cp:lastModifiedBy>
  <cp:lastPrinted>2024-04-07T10:20:00Z</cp:lastPrinted>
  <dcterms:modified xsi:type="dcterms:W3CDTF">2024-04-08T10:08:49Z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5126EB3577514DA68E6BB5C1C08E1E36_13</vt:lpwstr>
  </property>
</Properties>
</file>