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0" w:name="_Toc18923"/>
      <w:bookmarkStart w:id="1" w:name="_Toc126153478"/>
      <w:bookmarkStart w:id="2" w:name="_Toc126151261"/>
      <w:bookmarkStart w:id="3" w:name="_Toc129097069"/>
      <w:r>
        <w:rPr>
          <w:rFonts w:hint="eastAsia" w:ascii="黑体" w:hAnsi="黑体" w:eastAsia="黑体" w:cs="黑体"/>
          <w:spacing w:val="15"/>
          <w:kern w:val="0"/>
          <w:sz w:val="32"/>
          <w:szCs w:val="32"/>
          <w:shd w:val="clear" w:color="auto" w:fill="FFFFFF"/>
        </w:rPr>
        <w:t>附件6</w:t>
      </w:r>
      <w:bookmarkStart w:id="4" w:name="_GoBack"/>
      <w:bookmarkEnd w:id="4"/>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排污企业转型升级类项目办事指南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第六条支持项目：排污企业转型升级类项目。该项目为污染防治类支持方向。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排污企业转型升级类项目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60" w:lineRule="exact"/>
        <w:ind w:firstLine="629"/>
        <w:rPr>
          <w:rFonts w:ascii="Calibri" w:hAnsi="Calibri" w:eastAsia="仿宋_GB2312"/>
          <w:sz w:val="32"/>
        </w:rPr>
      </w:pPr>
      <w:r>
        <w:rPr>
          <w:rFonts w:hint="eastAsia" w:ascii="仿宋_GB2312" w:hAnsi="仿宋" w:eastAsia="仿宋_GB2312"/>
          <w:color w:val="000000"/>
          <w:spacing w:val="-6"/>
          <w:sz w:val="32"/>
          <w:szCs w:val="32"/>
        </w:rPr>
        <w:t>（四）本政策属于事后奖励，</w:t>
      </w:r>
      <w:r>
        <w:rPr>
          <w:rFonts w:hint="eastAsia" w:ascii="仿宋_GB2312" w:hAnsi="华文仿宋" w:eastAsia="仿宋_GB2312"/>
          <w:color w:val="000000"/>
          <w:sz w:val="32"/>
          <w:szCs w:val="32"/>
        </w:rPr>
        <w:t>关停或退出原则上为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w:t>
      </w:r>
      <w:r>
        <w:rPr>
          <w:rFonts w:hint="eastAsia" w:ascii="仿宋_GB2312" w:hAnsi="华文仿宋" w:eastAsia="仿宋_GB2312"/>
          <w:color w:val="000000"/>
          <w:sz w:val="32"/>
          <w:szCs w:val="32"/>
        </w:rPr>
        <w:t>0日</w:t>
      </w:r>
      <w:r>
        <w:rPr>
          <w:rFonts w:hint="eastAsia" w:ascii="Calibri" w:hAnsi="Calibri" w:eastAsia="仿宋_GB2312"/>
          <w:sz w:val="32"/>
        </w:rPr>
        <w:t>。</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（五）以下项目不列入支持范围：</w:t>
      </w:r>
    </w:p>
    <w:p>
      <w:pPr>
        <w:spacing w:line="560" w:lineRule="exact"/>
        <w:ind w:firstLine="640" w:firstLineChars="200"/>
        <w:rPr>
          <w:rFonts w:ascii="Calibri" w:hAnsi="Calibri" w:eastAsia="仿宋_GB2312"/>
          <w:sz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.未获得节能审查意见的数据中心项目；</w:t>
      </w:r>
    </w:p>
    <w:p>
      <w:pPr>
        <w:spacing w:line="560" w:lineRule="exact"/>
        <w:ind w:firstLine="640" w:firstLineChars="200"/>
      </w:pPr>
      <w:r>
        <w:rPr>
          <w:rFonts w:ascii="仿宋_GB2312" w:hAnsi="宋体" w:eastAsia="仿宋_GB2312" w:cs="宋体"/>
          <w:color w:val="000000"/>
          <w:sz w:val="32"/>
          <w:szCs w:val="32"/>
        </w:rPr>
        <w:t>2.</w:t>
      </w:r>
      <w:r>
        <w:rPr>
          <w:rFonts w:hint="eastAsia" w:ascii="仿宋_GB2312" w:hAnsi="宋体" w:eastAsia="仿宋_GB2312" w:cs="宋体"/>
          <w:color w:val="000000"/>
          <w:sz w:val="32"/>
          <w:szCs w:val="32"/>
        </w:rPr>
        <w:t>使用政府财政资金投资建设的项目。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鼓励重点VOCs排放企业（年度VOCs排放量不低于0.1吨的企业）整体退出北京市或污染环节关停并退出北京市，符合经开区产业结构调整和转型升级政策，且已完成企业营业执照注销或相关生产设备拆除的，支持资金实行与污染物减排量等指标挂钩的方式，按照污染物减排量，分档确定奖励资金。</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调整退出污染企业奖励资金计算方法：</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奖励资金根据企业污染物减排量（Pr）计算，分档确定奖励资金。污染物减排量Pr：指企业调整退出所减少的年度烟（粉）尘、氮氧化物、二氧化硫、挥发性有机物、化学需氧量、氨氮排放量总和。</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污染物减排量数据以企业调整退出年份的上一年度数据为基数来计算（如企业上年度处于停产或半停产状态，可采用正常生产年份的数据）。污染物减排量数据由区城市运行局审核确定。按照如下标准确定奖励额度：</w:t>
      </w:r>
    </w:p>
    <w:p>
      <w:pPr>
        <w:spacing w:line="560" w:lineRule="exact"/>
        <w:ind w:firstLine="640" w:firstLineChars="200"/>
        <w:jc w:val="center"/>
        <w:rPr>
          <w:rFonts w:ascii="仿宋_GB2312" w:hAnsi="黑体" w:eastAsia="仿宋_GB2312"/>
          <w:color w:val="000000"/>
          <w:sz w:val="32"/>
          <w:szCs w:val="32"/>
        </w:rPr>
      </w:pPr>
      <w:r>
        <w:rPr>
          <w:rFonts w:hint="eastAsia" w:ascii="仿宋_GB2312" w:hAnsi="黑体" w:eastAsia="仿宋_GB2312"/>
          <w:color w:val="000000"/>
          <w:sz w:val="32"/>
          <w:szCs w:val="32"/>
        </w:rPr>
        <w:t>表1. 污染物减排量奖励分档额度表</w:t>
      </w:r>
    </w:p>
    <w:tbl>
      <w:tblPr>
        <w:tblStyle w:val="12"/>
        <w:tblW w:w="10148"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20"/>
        <w:gridCol w:w="1780"/>
        <w:gridCol w:w="1658"/>
        <w:gridCol w:w="1703"/>
        <w:gridCol w:w="1843"/>
        <w:gridCol w:w="12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jc w:val="center"/>
        </w:trPr>
        <w:tc>
          <w:tcPr>
            <w:tcW w:w="1920" w:type="dxa"/>
            <w:tcMar>
              <w:top w:w="85" w:type="dxa"/>
              <w:left w:w="108" w:type="dxa"/>
              <w:bottom w:w="85" w:type="dxa"/>
              <w:right w:w="108" w:type="dxa"/>
            </w:tcMar>
            <w:vAlign w:val="center"/>
          </w:tcPr>
          <w:p>
            <w:pPr>
              <w:spacing w:line="400" w:lineRule="exact"/>
              <w:rPr>
                <w:rFonts w:ascii="仿宋_GB2312" w:hAnsi="仿宋" w:eastAsia="仿宋_GB2312" w:cs="仿宋_GB2312"/>
                <w:color w:val="000000"/>
                <w:spacing w:val="-6"/>
                <w:sz w:val="28"/>
                <w:szCs w:val="28"/>
              </w:rPr>
            </w:pPr>
            <w:r>
              <w:rPr>
                <w:rFonts w:hint="eastAsia" w:ascii="仿宋_GB2312" w:hAnsi="仿宋" w:eastAsia="仿宋_GB2312" w:cs="仿宋_GB2312"/>
                <w:color w:val="000000"/>
                <w:spacing w:val="-6"/>
                <w:sz w:val="28"/>
                <w:szCs w:val="28"/>
              </w:rPr>
              <w:t>污染物减排量Pr（吨）</w:t>
            </w:r>
          </w:p>
        </w:tc>
        <w:tc>
          <w:tcPr>
            <w:tcW w:w="1780"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0.1≤Pr≤10</w:t>
            </w:r>
          </w:p>
        </w:tc>
        <w:tc>
          <w:tcPr>
            <w:tcW w:w="1658"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10＜Pr≤50</w:t>
            </w:r>
          </w:p>
        </w:tc>
        <w:tc>
          <w:tcPr>
            <w:tcW w:w="1703"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50＜Pr≤100</w:t>
            </w:r>
          </w:p>
        </w:tc>
        <w:tc>
          <w:tcPr>
            <w:tcW w:w="1843"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100＜Pr≤200</w:t>
            </w:r>
          </w:p>
        </w:tc>
        <w:tc>
          <w:tcPr>
            <w:tcW w:w="1244"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Pr&gt;200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526" w:hRule="atLeast"/>
          <w:jc w:val="center"/>
        </w:trPr>
        <w:tc>
          <w:tcPr>
            <w:tcW w:w="1920"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s="仿宋_GB2312"/>
                <w:color w:val="000000"/>
                <w:spacing w:val="-6"/>
                <w:sz w:val="28"/>
                <w:szCs w:val="28"/>
              </w:rPr>
              <w:t>奖励额度E  （万元）</w:t>
            </w:r>
          </w:p>
        </w:tc>
        <w:tc>
          <w:tcPr>
            <w:tcW w:w="1780"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50</w:t>
            </w:r>
          </w:p>
        </w:tc>
        <w:tc>
          <w:tcPr>
            <w:tcW w:w="1658"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100</w:t>
            </w:r>
          </w:p>
        </w:tc>
        <w:tc>
          <w:tcPr>
            <w:tcW w:w="1703"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150</w:t>
            </w:r>
          </w:p>
        </w:tc>
        <w:tc>
          <w:tcPr>
            <w:tcW w:w="1843"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200</w:t>
            </w:r>
          </w:p>
        </w:tc>
        <w:tc>
          <w:tcPr>
            <w:tcW w:w="1244" w:type="dxa"/>
            <w:tcMar>
              <w:top w:w="85" w:type="dxa"/>
              <w:left w:w="108" w:type="dxa"/>
              <w:bottom w:w="85" w:type="dxa"/>
              <w:right w:w="108" w:type="dxa"/>
            </w:tcMar>
            <w:vAlign w:val="center"/>
          </w:tcPr>
          <w:p>
            <w:pPr>
              <w:spacing w:line="400" w:lineRule="exact"/>
              <w:rPr>
                <w:rFonts w:ascii="仿宋_GB2312" w:hAnsi="仿宋" w:eastAsia="仿宋_GB2312"/>
                <w:color w:val="000000"/>
                <w:spacing w:val="-6"/>
                <w:sz w:val="28"/>
                <w:szCs w:val="28"/>
              </w:rPr>
            </w:pPr>
            <w:r>
              <w:rPr>
                <w:rFonts w:hint="eastAsia" w:ascii="仿宋_GB2312" w:hAnsi="仿宋" w:eastAsia="仿宋_GB2312"/>
                <w:color w:val="000000"/>
                <w:spacing w:val="-6"/>
                <w:sz w:val="28"/>
                <w:szCs w:val="28"/>
              </w:rPr>
              <w:t>250</w:t>
            </w:r>
          </w:p>
        </w:tc>
      </w:tr>
    </w:tbl>
    <w:p>
      <w:pPr>
        <w:spacing w:line="560" w:lineRule="exact"/>
        <w:ind w:firstLine="536" w:firstLineChars="200"/>
        <w:rPr>
          <w:rFonts w:ascii="宋体" w:hAnsi="宋体" w:eastAsia="仿宋_GB2312" w:cs="仿宋_GB2312"/>
          <w:color w:val="000000"/>
          <w:spacing w:val="-6"/>
          <w:sz w:val="28"/>
          <w:szCs w:val="28"/>
        </w:rPr>
      </w:pPr>
      <w:r>
        <w:rPr>
          <w:rFonts w:hint="eastAsia" w:ascii="宋体" w:hAnsi="宋体" w:eastAsia="仿宋_GB2312" w:cs="仿宋_GB2312"/>
          <w:color w:val="000000"/>
          <w:spacing w:val="-6"/>
          <w:sz w:val="28"/>
          <w:szCs w:val="28"/>
        </w:rPr>
        <w:t>注：VOCs年度减排量需高于0.1吨</w:t>
      </w:r>
    </w:p>
    <w:p>
      <w:pPr>
        <w:spacing w:line="560" w:lineRule="exact"/>
        <w:ind w:firstLine="536" w:firstLineChars="200"/>
        <w:rPr>
          <w:rFonts w:ascii="宋体" w:hAnsi="宋体" w:eastAsia="仿宋_GB2312" w:cs="仿宋_GB2312"/>
          <w:color w:val="000000"/>
          <w:spacing w:val="-6"/>
          <w:sz w:val="28"/>
          <w:szCs w:val="28"/>
        </w:rPr>
      </w:pPr>
    </w:p>
    <w:p>
      <w:pPr>
        <w:spacing w:line="560" w:lineRule="exact"/>
        <w:ind w:firstLine="640" w:firstLineChars="200"/>
        <w:outlineLvl w:val="0"/>
        <w:rPr>
          <w:rFonts w:ascii="黑体" w:hAnsi="黑体" w:eastAsia="黑体" w:cs="黑体"/>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.企业注销核准通知书，或设备拆除证明材料、拆除前后对比影像资料，设备拆除类企业出具不再恢复已拆除设备的承诺书，原件彩色扫描上传；</w:t>
      </w:r>
    </w:p>
    <w:p>
      <w:pPr>
        <w:spacing w:line="560" w:lineRule="exact"/>
        <w:ind w:firstLine="640" w:firstLineChars="200"/>
        <w:outlineLvl w:val="2"/>
        <w:rPr>
          <w:rFonts w:ascii="仿宋_GB2312" w:hAnsi="仿宋_GB2312" w:eastAsia="仿宋_GB2312" w:cs="仿宋_GB2312"/>
          <w:sz w:val="32"/>
          <w:szCs w:val="32"/>
        </w:rPr>
      </w:pPr>
      <w:r>
        <w:rPr>
          <w:rFonts w:ascii="仿宋_GB2312" w:hAnsi="仿宋_GB2312" w:eastAsia="仿宋_GB2312" w:cs="仿宋_GB2312"/>
          <w:sz w:val="32"/>
          <w:szCs w:val="32"/>
        </w:rPr>
        <w:t>6</w:t>
      </w:r>
      <w:r>
        <w:rPr>
          <w:rFonts w:hint="eastAsia" w:ascii="仿宋_GB2312" w:hAnsi="仿宋_GB2312" w:eastAsia="仿宋_GB2312" w:cs="仿宋_GB2312"/>
          <w:sz w:val="32"/>
          <w:szCs w:val="32"/>
        </w:rPr>
        <w:t>.污染物减排量证明材料，原件彩色扫描上传。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bookmarkEnd w:id="0"/>
    <w:bookmarkEnd w:id="1"/>
    <w:bookmarkEnd w:id="2"/>
    <w:bookmarkEnd w:id="3"/>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w:t>
      </w:r>
      <w:r>
        <w:rPr>
          <w:rFonts w:hint="eastAsia" w:ascii="仿宋_GB2312" w:hAnsi="仿宋_GB2312" w:eastAsia="仿宋_GB2312" w:cs="仿宋_GB2312"/>
          <w:color w:val="000000"/>
          <w:kern w:val="2"/>
          <w:sz w:val="32"/>
          <w:szCs w:val="32"/>
        </w:rPr>
        <w:t>对申报材料进行实质审核。</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kern w:val="2"/>
          <w:sz w:val="32"/>
          <w:szCs w:val="32"/>
        </w:rPr>
        <w:t>对审核通过的申报主体拟定兑现</w:t>
      </w:r>
      <w:r>
        <w:rPr>
          <w:rFonts w:hint="eastAsia" w:ascii="仿宋_GB2312" w:hAnsi="仿宋_GB2312" w:eastAsia="仿宋_GB2312" w:cs="仿宋_GB2312"/>
          <w:color w:val="000000"/>
          <w:kern w:val="2"/>
          <w:sz w:val="32"/>
          <w:szCs w:val="32"/>
          <w:lang w:eastAsia="zh-CN"/>
        </w:rPr>
        <w:t>支</w:t>
      </w:r>
      <w:r>
        <w:rPr>
          <w:rFonts w:hint="eastAsia" w:ascii="仿宋_GB2312" w:hAnsi="仿宋_GB2312" w:eastAsia="仿宋_GB2312" w:cs="仿宋_GB2312"/>
          <w:color w:val="000000"/>
          <w:kern w:val="2"/>
          <w:sz w:val="32"/>
          <w:szCs w:val="32"/>
        </w:rPr>
        <w:t>持奖励金额。</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29"/>
        <w:rPr>
          <w:rFonts w:ascii="楷体_GB2312" w:hAnsi="楷体" w:eastAsia="楷体_GB2312"/>
          <w:sz w:val="32"/>
        </w:rPr>
      </w:pPr>
      <w:r>
        <w:rPr>
          <w:rFonts w:hint="eastAsia" w:ascii="楷体_GB2312" w:hAnsi="楷体" w:eastAsia="楷体_GB2312"/>
          <w:sz w:val="32"/>
        </w:rPr>
        <w:t>政策咨询：</w:t>
      </w:r>
    </w:p>
    <w:p>
      <w:pPr>
        <w:spacing w:line="560" w:lineRule="exact"/>
        <w:ind w:firstLine="629"/>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29"/>
        <w:rPr>
          <w:rFonts w:ascii="楷体_GB2312" w:hAnsi="楷体" w:eastAsia="楷体_GB2312"/>
          <w:sz w:val="32"/>
        </w:rPr>
      </w:pPr>
      <w:r>
        <w:rPr>
          <w:rFonts w:hint="eastAsia" w:ascii="楷体_GB2312" w:hAnsi="楷体" w:eastAsia="楷体_GB2312"/>
          <w:sz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pStyle w:val="11"/>
        <w:widowControl/>
        <w:shd w:val="clear" w:color="auto" w:fill="FFFFFF"/>
        <w:spacing w:beforeAutospacing="0" w:afterAutospacing="0" w:line="560" w:lineRule="exact"/>
        <w:ind w:firstLine="480" w:firstLineChars="200"/>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64315920"/>
    </w:sdtPr>
    <w:sdtContent>
      <w:p>
        <w:pPr>
          <w:pStyle w:val="9"/>
          <w:jc w:val="cente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7D6EC9"/>
    <w:rsid w:val="001337F5"/>
    <w:rsid w:val="001C405D"/>
    <w:rsid w:val="00201ABA"/>
    <w:rsid w:val="00246524"/>
    <w:rsid w:val="00263294"/>
    <w:rsid w:val="00264297"/>
    <w:rsid w:val="0029347B"/>
    <w:rsid w:val="00420C08"/>
    <w:rsid w:val="004376FC"/>
    <w:rsid w:val="0056184F"/>
    <w:rsid w:val="0068253C"/>
    <w:rsid w:val="006D0AC7"/>
    <w:rsid w:val="007D6EC9"/>
    <w:rsid w:val="00807FD9"/>
    <w:rsid w:val="0081408F"/>
    <w:rsid w:val="008E4C45"/>
    <w:rsid w:val="008F0CCD"/>
    <w:rsid w:val="00A2496E"/>
    <w:rsid w:val="00B13C3A"/>
    <w:rsid w:val="00B15104"/>
    <w:rsid w:val="00BB5C3F"/>
    <w:rsid w:val="00BC6D15"/>
    <w:rsid w:val="00BE7150"/>
    <w:rsid w:val="00CC425A"/>
    <w:rsid w:val="00CF7E9B"/>
    <w:rsid w:val="00DC280A"/>
    <w:rsid w:val="00E1158D"/>
    <w:rsid w:val="00E1161F"/>
    <w:rsid w:val="00E24CB0"/>
    <w:rsid w:val="00F029BA"/>
    <w:rsid w:val="02003325"/>
    <w:rsid w:val="05566157"/>
    <w:rsid w:val="05701363"/>
    <w:rsid w:val="05D21D0E"/>
    <w:rsid w:val="069C64AD"/>
    <w:rsid w:val="1183680A"/>
    <w:rsid w:val="127857BC"/>
    <w:rsid w:val="16047080"/>
    <w:rsid w:val="17531EAF"/>
    <w:rsid w:val="1A8831C2"/>
    <w:rsid w:val="1C265665"/>
    <w:rsid w:val="1C70471A"/>
    <w:rsid w:val="1C84373B"/>
    <w:rsid w:val="1E4B2EB3"/>
    <w:rsid w:val="20093926"/>
    <w:rsid w:val="20912502"/>
    <w:rsid w:val="21EB7CA7"/>
    <w:rsid w:val="23507CD1"/>
    <w:rsid w:val="24946176"/>
    <w:rsid w:val="279D31BC"/>
    <w:rsid w:val="2C6A1831"/>
    <w:rsid w:val="2CAE7525"/>
    <w:rsid w:val="313151DD"/>
    <w:rsid w:val="31BE1DAB"/>
    <w:rsid w:val="34FC3BA6"/>
    <w:rsid w:val="359F76AC"/>
    <w:rsid w:val="35B53FBD"/>
    <w:rsid w:val="36F23C47"/>
    <w:rsid w:val="377140D6"/>
    <w:rsid w:val="37D449E8"/>
    <w:rsid w:val="384E3268"/>
    <w:rsid w:val="385143A2"/>
    <w:rsid w:val="3A301734"/>
    <w:rsid w:val="3DAB57E6"/>
    <w:rsid w:val="3F016A58"/>
    <w:rsid w:val="40660DE4"/>
    <w:rsid w:val="42A761FE"/>
    <w:rsid w:val="4364490E"/>
    <w:rsid w:val="49715BE3"/>
    <w:rsid w:val="49F2635D"/>
    <w:rsid w:val="4BC4671E"/>
    <w:rsid w:val="4D605026"/>
    <w:rsid w:val="513D1DBF"/>
    <w:rsid w:val="516627E1"/>
    <w:rsid w:val="52336505"/>
    <w:rsid w:val="52E46243"/>
    <w:rsid w:val="52F36B64"/>
    <w:rsid w:val="535A770C"/>
    <w:rsid w:val="53EE11B4"/>
    <w:rsid w:val="542A2662"/>
    <w:rsid w:val="561817EF"/>
    <w:rsid w:val="57DE433B"/>
    <w:rsid w:val="5C10255C"/>
    <w:rsid w:val="5D1C4262"/>
    <w:rsid w:val="616D3BE9"/>
    <w:rsid w:val="61BA2E4E"/>
    <w:rsid w:val="61BB243B"/>
    <w:rsid w:val="637E04EA"/>
    <w:rsid w:val="666915D2"/>
    <w:rsid w:val="67385384"/>
    <w:rsid w:val="68156CF9"/>
    <w:rsid w:val="68AC6419"/>
    <w:rsid w:val="6A041B63"/>
    <w:rsid w:val="6A66321A"/>
    <w:rsid w:val="6C0931D5"/>
    <w:rsid w:val="6C7B6AC8"/>
    <w:rsid w:val="6C7C0D19"/>
    <w:rsid w:val="6D3F1C74"/>
    <w:rsid w:val="6ED956D3"/>
    <w:rsid w:val="6F154FDE"/>
    <w:rsid w:val="6F8312B7"/>
    <w:rsid w:val="70F667C2"/>
    <w:rsid w:val="735014D1"/>
    <w:rsid w:val="75DD634F"/>
    <w:rsid w:val="79CF5880"/>
    <w:rsid w:val="7A83519C"/>
    <w:rsid w:val="7B6A5853"/>
    <w:rsid w:val="7B9421DD"/>
    <w:rsid w:val="7C727ADF"/>
    <w:rsid w:val="7DB87774"/>
    <w:rsid w:val="7DDA734F"/>
    <w:rsid w:val="7E9108C6"/>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7">
    <w:name w:val="annotation text"/>
    <w:basedOn w:val="1"/>
    <w:qFormat/>
    <w:uiPriority w:val="0"/>
    <w:pPr>
      <w:jc w:val="left"/>
    </w:pPr>
  </w:style>
  <w:style w:type="paragraph" w:styleId="8">
    <w:name w:val="Body Text"/>
    <w:basedOn w:val="1"/>
    <w:qFormat/>
    <w:uiPriority w:val="1"/>
    <w:rPr>
      <w:rFonts w:ascii="仿宋_GB2312" w:hAnsi="仿宋_GB2312" w:eastAsia="仿宋_GB2312" w:cs="仿宋_GB2312"/>
      <w:sz w:val="32"/>
      <w:szCs w:val="32"/>
    </w:rPr>
  </w:style>
  <w:style w:type="paragraph" w:styleId="9">
    <w:name w:val="footer"/>
    <w:basedOn w:val="1"/>
    <w:link w:val="16"/>
    <w:qFormat/>
    <w:uiPriority w:val="99"/>
    <w:pPr>
      <w:tabs>
        <w:tab w:val="center" w:pos="4153"/>
        <w:tab w:val="right" w:pos="8306"/>
      </w:tabs>
      <w:snapToGrid w:val="0"/>
      <w:jc w:val="left"/>
    </w:pPr>
    <w:rPr>
      <w:sz w:val="18"/>
      <w:szCs w:val="18"/>
    </w:rPr>
  </w:style>
  <w:style w:type="paragraph" w:styleId="10">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customStyle="1" w:styleId="14">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5">
    <w:name w:val="页眉 字符"/>
    <w:basedOn w:val="13"/>
    <w:link w:val="10"/>
    <w:qFormat/>
    <w:uiPriority w:val="0"/>
    <w:rPr>
      <w:rFonts w:ascii="Times New Roman" w:hAnsi="Times New Roman" w:eastAsia="宋体" w:cs="Times New Roman"/>
      <w:kern w:val="2"/>
      <w:sz w:val="18"/>
      <w:szCs w:val="18"/>
    </w:rPr>
  </w:style>
  <w:style w:type="character" w:customStyle="1" w:styleId="16">
    <w:name w:val="页脚 字符"/>
    <w:basedOn w:val="13"/>
    <w:link w:val="9"/>
    <w:qFormat/>
    <w:uiPriority w:val="99"/>
    <w:rPr>
      <w:rFonts w:ascii="Times New Roman" w:hAnsi="Times New Roman" w:eastAsia="宋体" w:cs="Times New Roman"/>
      <w:kern w:val="2"/>
      <w:sz w:val="18"/>
      <w:szCs w:val="18"/>
    </w:rPr>
  </w:style>
  <w:style w:type="paragraph" w:customStyle="1" w:styleId="17">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8">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19">
    <w:name w:val="修订3"/>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298</Words>
  <Characters>1700</Characters>
  <Lines>14</Lines>
  <Paragraphs>3</Paragraphs>
  <TotalTime>3</TotalTime>
  <ScaleCrop>false</ScaleCrop>
  <LinksUpToDate>false</LinksUpToDate>
  <CharactersWithSpaces>1995</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2024-03-26T15:54:00Z</dcterms:created>
  <dc:creator>办公用</dc:creator>
  <cp:lastModifiedBy>Administrator</cp:lastModifiedBy>
  <cp:lastPrinted>2024-03-01T03:22:00Z</cp:lastPrinted>
  <dcterms:modified xsi:type="dcterms:W3CDTF">2024-04-08T10:05:42Z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3E43AC13BAD147A5AA9C7CBE2DF7477A_13</vt:lpwstr>
  </property>
</Properties>
</file>