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仿宋_GB2312" w:cs="仿宋_GB2312"/>
          <w:b/>
          <w:bCs/>
          <w:sz w:val="32"/>
          <w:szCs w:val="32"/>
        </w:rPr>
      </w:pPr>
      <w:bookmarkStart w:id="0" w:name="_Toc126151261"/>
      <w:bookmarkStart w:id="1" w:name="_Toc18923"/>
      <w:bookmarkStart w:id="2" w:name="_Toc129097069"/>
      <w:bookmarkStart w:id="3" w:name="_Toc126153478"/>
      <w:r>
        <w:rPr>
          <w:rFonts w:hint="eastAsia" w:ascii="黑体" w:hAnsi="黑体" w:eastAsia="黑体" w:cs="黑体"/>
          <w:spacing w:val="15"/>
          <w:kern w:val="0"/>
          <w:sz w:val="32"/>
          <w:szCs w:val="32"/>
          <w:shd w:val="clear" w:color="auto" w:fill="FFFFFF"/>
        </w:rPr>
        <w:t>附件5</w:t>
      </w:r>
      <w:bookmarkStart w:id="6" w:name="_GoBack"/>
      <w:bookmarkEnd w:id="6"/>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餐饮废气高效治理设施整体更新类项目</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第五条支持项目：餐饮废气高效治理设施整体更新类项目。该项目为污染防治类支持方向。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Cs/>
          <w:kern w:val="0"/>
          <w:sz w:val="32"/>
          <w:szCs w:val="32"/>
        </w:rPr>
      </w:pPr>
      <w:bookmarkStart w:id="4" w:name="_Hlk159442594"/>
      <w:r>
        <w:rPr>
          <w:rFonts w:hint="eastAsia" w:ascii="仿宋_GB2312" w:hAnsi="仿宋_GB2312" w:eastAsia="仿宋_GB2312" w:cs="仿宋_GB2312"/>
          <w:bCs/>
          <w:kern w:val="0"/>
          <w:sz w:val="32"/>
          <w:szCs w:val="32"/>
        </w:rPr>
        <w:t>餐饮废气高效治理设施整体更新类项目</w:t>
      </w:r>
      <w:bookmarkEnd w:id="4"/>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p>
      <w:pPr>
        <w:spacing w:line="560" w:lineRule="exact"/>
        <w:ind w:firstLine="629"/>
        <w:rPr>
          <w:rFonts w:ascii="Calibri" w:hAnsi="Calibri" w:eastAsia="仿宋_GB2312"/>
          <w:sz w:val="32"/>
        </w:rPr>
      </w:pPr>
      <w:r>
        <w:rPr>
          <w:rFonts w:hint="eastAsia" w:ascii="仿宋_GB2312" w:hAnsi="仿宋" w:eastAsia="仿宋_GB2312"/>
          <w:color w:val="000000"/>
          <w:spacing w:val="-6"/>
          <w:sz w:val="32"/>
          <w:szCs w:val="32"/>
        </w:rPr>
        <w:t>（四）本政策属于事后奖励，申报项目工程进度原则上须已实施完成，含税实际支付金额达到含税项目总投资的90%（含）以上。</w:t>
      </w:r>
      <w:r>
        <w:rPr>
          <w:rFonts w:hint="eastAsia" w:ascii="仿宋_GB2312" w:hAnsi="华文仿宋" w:eastAsia="仿宋_GB2312"/>
          <w:color w:val="000000"/>
          <w:sz w:val="32"/>
          <w:szCs w:val="32"/>
        </w:rPr>
        <w:t>项目完成时间原则上为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w:t>
      </w:r>
      <w:r>
        <w:rPr>
          <w:rFonts w:hint="eastAsia" w:ascii="仿宋_GB2312" w:hAnsi="华文仿宋" w:eastAsia="仿宋_GB2312"/>
          <w:color w:val="000000"/>
          <w:sz w:val="32"/>
          <w:szCs w:val="32"/>
        </w:rPr>
        <w:t>0日</w:t>
      </w:r>
      <w:r>
        <w:rPr>
          <w:rFonts w:hint="eastAsia" w:ascii="Calibri" w:hAnsi="Calibri" w:eastAsia="仿宋_GB2312"/>
          <w:sz w:val="32"/>
        </w:rPr>
        <w:t>。</w:t>
      </w:r>
    </w:p>
    <w:p>
      <w:pPr>
        <w:spacing w:line="560" w:lineRule="exact"/>
        <w:ind w:firstLine="629"/>
        <w:rPr>
          <w:rFonts w:ascii="Calibri" w:hAnsi="Calibri" w:eastAsia="仿宋_GB2312"/>
          <w:sz w:val="32"/>
        </w:rPr>
      </w:pPr>
      <w:r>
        <w:rPr>
          <w:rFonts w:hint="eastAsia" w:ascii="Calibri" w:hAnsi="Calibri" w:eastAsia="仿宋_GB2312"/>
          <w:sz w:val="32"/>
        </w:rPr>
        <w:t>（五）符合</w:t>
      </w:r>
      <w:bookmarkStart w:id="5" w:name="_Hlk159442584"/>
      <w:r>
        <w:rPr>
          <w:rFonts w:hint="eastAsia" w:ascii="Calibri" w:hAnsi="Calibri" w:eastAsia="仿宋_GB2312"/>
          <w:sz w:val="32"/>
        </w:rPr>
        <w:t>《北京经济技术开发区餐饮废气高效治理设施整体更新类项目验收要求》</w:t>
      </w:r>
      <w:bookmarkEnd w:id="5"/>
      <w:r>
        <w:rPr>
          <w:rFonts w:hint="eastAsia" w:ascii="Calibri" w:hAnsi="Calibri" w:eastAsia="仿宋_GB2312"/>
          <w:sz w:val="32"/>
        </w:rPr>
        <w:t>：</w:t>
      </w:r>
    </w:p>
    <w:p>
      <w:pPr>
        <w:spacing w:line="560" w:lineRule="exact"/>
        <w:ind w:firstLine="629"/>
        <w:rPr>
          <w:rFonts w:ascii="仿宋_GB2312" w:hAnsi="Calibri" w:eastAsia="仿宋_GB2312"/>
          <w:sz w:val="32"/>
        </w:rPr>
      </w:pPr>
      <w:r>
        <w:rPr>
          <w:rFonts w:hint="eastAsia" w:ascii="仿宋_GB2312" w:hAnsi="Calibri" w:eastAsia="仿宋_GB2312"/>
          <w:sz w:val="32"/>
        </w:rPr>
        <w:t>1.现有餐饮服务性单位对油烟净化设施进行改造升级，必须对原有油烟净化设施进行整体更换，选择先进、高效的油烟净化设施。</w:t>
      </w:r>
    </w:p>
    <w:p>
      <w:pPr>
        <w:spacing w:line="560" w:lineRule="exact"/>
        <w:ind w:firstLine="629"/>
        <w:rPr>
          <w:rFonts w:ascii="仿宋_GB2312" w:hAnsi="Calibri" w:eastAsia="仿宋_GB2312"/>
          <w:sz w:val="32"/>
        </w:rPr>
      </w:pPr>
      <w:r>
        <w:rPr>
          <w:rFonts w:hint="eastAsia" w:ascii="仿宋_GB2312" w:hAnsi="Calibri" w:eastAsia="仿宋_GB2312"/>
          <w:sz w:val="32"/>
        </w:rPr>
        <w:t>2.改造后的油烟、颗粒物、非甲烷总烃达到北京市《餐饮业大气污染物排放标准》（DB11/1488-2018）的相关要求。</w:t>
      </w:r>
    </w:p>
    <w:p>
      <w:pPr>
        <w:spacing w:line="560" w:lineRule="exact"/>
        <w:ind w:firstLine="629"/>
        <w:rPr>
          <w:rFonts w:ascii="Calibri" w:hAnsi="Calibri" w:eastAsia="仿宋_GB2312"/>
          <w:sz w:val="32"/>
        </w:rPr>
      </w:pPr>
      <w:r>
        <w:rPr>
          <w:rFonts w:hint="eastAsia" w:ascii="仿宋_GB2312" w:hAnsi="Calibri" w:eastAsia="仿宋_GB2312"/>
          <w:sz w:val="32"/>
        </w:rPr>
        <w:t>3.改造后的油烟净化设施必须安装运行状态在线监控，且具备联网</w:t>
      </w:r>
      <w:r>
        <w:rPr>
          <w:rFonts w:hint="eastAsia" w:ascii="Calibri" w:hAnsi="Calibri" w:eastAsia="仿宋_GB2312"/>
          <w:sz w:val="32"/>
        </w:rPr>
        <w:t>条件。其中，在线监控具体内容为排风机电流、油烟净化设施电流、极板电压、极板功率、活性炭压差等。</w:t>
      </w:r>
    </w:p>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（六）以下项目不列入支持范围：</w:t>
      </w:r>
    </w:p>
    <w:p>
      <w:pPr>
        <w:spacing w:line="560" w:lineRule="exact"/>
        <w:ind w:firstLine="629"/>
        <w:rPr>
          <w:rFonts w:ascii="仿宋_GB2312" w:hAnsi="Calibri" w:eastAsia="仿宋_GB2312"/>
          <w:sz w:val="32"/>
        </w:rPr>
      </w:pPr>
      <w:r>
        <w:rPr>
          <w:rFonts w:hint="eastAsia" w:ascii="仿宋_GB2312" w:hAnsi="Calibri" w:eastAsia="仿宋_GB2312"/>
          <w:sz w:val="32"/>
        </w:rPr>
        <w:t>1.</w:t>
      </w:r>
      <w:r>
        <w:rPr>
          <w:rFonts w:hint="eastAsia" w:ascii="仿宋_GB2312" w:hAnsi="Calibri" w:eastAsia="仿宋_GB2312"/>
          <w:sz w:val="32"/>
          <w:lang w:val="en-US" w:eastAsia="zh-CN"/>
        </w:rPr>
        <w:t>建设项目环境保护</w:t>
      </w:r>
      <w:r>
        <w:rPr>
          <w:rFonts w:hint="eastAsia" w:ascii="仿宋_GB2312" w:hAnsi="Calibri" w:eastAsia="仿宋_GB2312"/>
          <w:sz w:val="32"/>
        </w:rPr>
        <w:t>“三同时”项目；</w:t>
      </w:r>
    </w:p>
    <w:p>
      <w:pPr>
        <w:spacing w:line="560" w:lineRule="exact"/>
        <w:ind w:firstLine="629"/>
        <w:rPr>
          <w:rFonts w:ascii="仿宋_GB2312" w:hAnsi="Calibri" w:eastAsia="仿宋_GB2312"/>
          <w:sz w:val="32"/>
        </w:rPr>
      </w:pPr>
      <w:r>
        <w:rPr>
          <w:rFonts w:hint="eastAsia" w:ascii="仿宋_GB2312" w:hAnsi="Calibri" w:eastAsia="仿宋_GB2312"/>
          <w:sz w:val="32"/>
        </w:rPr>
        <w:t>2.未获得节能审查意见的数据中心项目；</w:t>
      </w:r>
    </w:p>
    <w:p>
      <w:pPr>
        <w:spacing w:line="560" w:lineRule="exact"/>
        <w:ind w:firstLine="629"/>
        <w:rPr>
          <w:rFonts w:ascii="仿宋_GB2312" w:hAnsi="Calibri" w:eastAsia="仿宋_GB2312"/>
          <w:sz w:val="32"/>
        </w:rPr>
      </w:pPr>
      <w:r>
        <w:rPr>
          <w:rFonts w:hint="eastAsia" w:ascii="仿宋_GB2312" w:hAnsi="Calibri" w:eastAsia="仿宋_GB2312"/>
          <w:sz w:val="32"/>
        </w:rPr>
        <w:t>3.使用政府财政资金投资建设的项目。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四、支持内容及标准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鼓励于2019年1月1日之前建成的餐饮服务型单位或个体工商户实施的整体更换复合式高效油烟净化设施的项目，原则上按排风机、油烟净化设备铭牌标识的排风量进行核定，取两者之间最小值，每1m</w:t>
      </w:r>
      <w:r>
        <w:rPr>
          <w:rFonts w:hint="eastAsia" w:ascii="仿宋_GB2312" w:hAnsi="仿宋_GB2312" w:eastAsia="仿宋_GB2312" w:cs="仿宋_GB2312"/>
          <w:sz w:val="32"/>
          <w:szCs w:val="32"/>
          <w:vertAlign w:val="superscript"/>
        </w:rPr>
        <w:t>3</w:t>
      </w:r>
      <w:r>
        <w:rPr>
          <w:rFonts w:hint="eastAsia" w:ascii="仿宋_GB2312" w:hAnsi="仿宋_GB2312" w:eastAsia="仿宋_GB2312" w:cs="仿宋_GB2312"/>
          <w:sz w:val="32"/>
          <w:szCs w:val="32"/>
        </w:rPr>
        <w:t>/h风量奖励2元。</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宋体" w:eastAsia="仿宋_GB2312" w:cs="宋体"/>
          <w:color w:val="000000"/>
          <w:sz w:val="32"/>
          <w:szCs w:val="32"/>
        </w:rPr>
        <w:t>北京经济技术开发区</w:t>
      </w:r>
      <w:r>
        <w:rPr>
          <w:rFonts w:hint="eastAsia" w:ascii="仿宋_GB2312" w:eastAsia="仿宋_GB2312"/>
          <w:color w:val="000000"/>
          <w:sz w:val="32"/>
          <w:szCs w:val="32"/>
        </w:rPr>
        <w:t>绿色发展资金奖励项目申报表</w:t>
      </w:r>
      <w:r>
        <w:rPr>
          <w:rFonts w:hint="eastAsia" w:ascii="仿宋_GB2312" w:hAnsi="仿宋_GB2312" w:eastAsia="仿宋_GB2312" w:cs="仿宋_GB2312"/>
          <w:sz w:val="32"/>
          <w:szCs w:val="32"/>
        </w:rPr>
        <w:t>,在线填写</w:t>
      </w:r>
      <w:r>
        <w:rPr>
          <w:rFonts w:hint="eastAsia" w:ascii="仿宋_GB2312" w:hAnsi="仿宋_GB2312" w:eastAsia="仿宋_GB2312" w:cs="仿宋_GB2312"/>
          <w:spacing w:val="6"/>
          <w:sz w:val="32"/>
          <w:szCs w:val="32"/>
        </w:rPr>
        <w:t>；</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2.企业</w:t>
      </w:r>
      <w:r>
        <w:rPr>
          <w:rFonts w:hint="eastAsia" w:ascii="仿宋_GB2312" w:hAnsi="仿宋_GB2312" w:eastAsia="仿宋_GB2312" w:cs="仿宋_GB2312"/>
          <w:color w:val="000000"/>
          <w:sz w:val="32"/>
          <w:szCs w:val="32"/>
        </w:rPr>
        <w:t>或个体工商户</w:t>
      </w:r>
      <w:r>
        <w:rPr>
          <w:rFonts w:hint="eastAsia" w:ascii="仿宋_GB2312" w:hAnsi="仿宋_GB2312" w:eastAsia="仿宋_GB2312" w:cs="仿宋_GB2312"/>
          <w:sz w:val="32"/>
          <w:szCs w:val="32"/>
        </w:rPr>
        <w:t>营业执照，选取电子证照；</w:t>
      </w:r>
    </w:p>
    <w:p>
      <w:pPr>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3</w:t>
      </w:r>
      <w:r>
        <w:rPr>
          <w:rFonts w:hint="eastAsia" w:ascii="仿宋_GB2312" w:hAnsi="仿宋_GB2312" w:eastAsia="仿宋_GB2312" w:cs="仿宋_GB2312"/>
          <w:sz w:val="32"/>
          <w:szCs w:val="32"/>
        </w:rPr>
        <w:t>.承诺书，下载模板填写，签字、加盖公章，彩色扫描上传；</w:t>
      </w:r>
    </w:p>
    <w:p>
      <w:pPr>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4</w:t>
      </w:r>
      <w:r>
        <w:rPr>
          <w:rFonts w:hint="eastAsia" w:ascii="仿宋_GB2312" w:hAnsi="仿宋_GB2312" w:eastAsia="仿宋_GB2312" w:cs="仿宋_GB2312"/>
          <w:sz w:val="32"/>
          <w:szCs w:val="32"/>
        </w:rPr>
        <w:t>.银行账户信息，下载模板填写，加盖公章，彩色扫描上传；</w:t>
      </w:r>
    </w:p>
    <w:p>
      <w:pPr>
        <w:spacing w:line="56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.餐饮服务许可证，原件彩色扫描上传；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6.油烟净化设施采购合同，原件彩色扫描上传；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7.油烟净化设施改造前、改造后清晰的照片，整体外观照片及内部结构照片（活性炭和静电除尘等处理设施），改造前后设备参数照片，原件彩色扫描上传；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8.排风机、油烟净化设施说明书及铭牌清晰照片，原件彩色扫描上传；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9.改造后大气污染物排放水平监测报告，原件彩色扫描上传。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（一）</w:t>
      </w:r>
      <w:r>
        <w:rPr>
          <w:rFonts w:hint="eastAsia" w:ascii="仿宋_GB2312" w:hAnsi="仿宋_GB2312" w:eastAsia="仿宋_GB2312" w:cs="仿宋_GB2312"/>
          <w:b/>
          <w:bCs/>
          <w:sz w:val="32"/>
          <w:szCs w:val="32"/>
        </w:rPr>
        <w:t>网上申报</w:t>
      </w:r>
      <w:r>
        <w:rPr>
          <w:rFonts w:hint="eastAsia" w:ascii="仿宋_GB2312" w:hAnsi="仿宋_GB2312" w:eastAsia="仿宋_GB2312" w:cs="仿宋_GB2312"/>
          <w:sz w:val="32"/>
          <w:szCs w:val="32"/>
        </w:rPr>
        <w:t>：通过经开区官网政策兑现模块进入政策兑现综合服务平台，或使用360浏览器的极速模式登录网址：zcdx.kfqgw.beijing.gov.cn，注册登录后进行项目申报。如未在规定时间内提交</w:t>
      </w:r>
      <w:r>
        <w:rPr>
          <w:rFonts w:hint="eastAsia" w:ascii="仿宋_GB2312" w:hAnsi="仿宋_GB2312" w:eastAsia="仿宋_GB2312" w:cs="仿宋_GB2312"/>
          <w:color w:val="000000"/>
          <w:sz w:val="32"/>
          <w:szCs w:val="32"/>
        </w:rPr>
        <w:t>申报材料</w:t>
      </w:r>
      <w:r>
        <w:rPr>
          <w:rFonts w:hint="eastAsia" w:ascii="仿宋_GB2312" w:hAnsi="仿宋_GB2312" w:eastAsia="仿宋_GB2312" w:cs="仿宋_GB2312"/>
          <w:sz w:val="32"/>
          <w:szCs w:val="32"/>
        </w:rPr>
        <w:t>的，视为自动放弃。</w:t>
      </w:r>
    </w:p>
    <w:p>
      <w:pPr>
        <w:pStyle w:val="11"/>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申请材料进行实质审核。</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w:t>
      </w:r>
      <w:r>
        <w:rPr>
          <w:rFonts w:hint="eastAsia" w:ascii="仿宋_GB2312" w:hAnsi="仿宋_GB2312" w:eastAsia="仿宋_GB2312" w:cs="仿宋_GB2312"/>
          <w:color w:val="000000"/>
          <w:kern w:val="2"/>
          <w:sz w:val="32"/>
          <w:szCs w:val="32"/>
        </w:rPr>
        <w:t>对审核通过的申报主体拟定兑现</w:t>
      </w:r>
      <w:r>
        <w:rPr>
          <w:rFonts w:hint="eastAsia" w:ascii="仿宋_GB2312" w:hAnsi="仿宋_GB2312" w:eastAsia="仿宋_GB2312" w:cs="仿宋_GB2312"/>
          <w:color w:val="000000"/>
          <w:kern w:val="2"/>
          <w:sz w:val="32"/>
          <w:szCs w:val="32"/>
          <w:lang w:eastAsia="zh-CN"/>
        </w:rPr>
        <w:t>支</w:t>
      </w:r>
      <w:r>
        <w:rPr>
          <w:rFonts w:hint="eastAsia" w:ascii="仿宋_GB2312" w:hAnsi="仿宋_GB2312" w:eastAsia="仿宋_GB2312" w:cs="仿宋_GB2312"/>
          <w:color w:val="000000"/>
          <w:kern w:val="2"/>
          <w:sz w:val="32"/>
          <w:szCs w:val="32"/>
        </w:rPr>
        <w:t>持奖励金额。</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1"/>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日至2024年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29"/>
        <w:rPr>
          <w:rFonts w:ascii="楷体_GB2312" w:hAnsi="楷体" w:eastAsia="楷体_GB2312"/>
          <w:sz w:val="32"/>
        </w:rPr>
      </w:pPr>
      <w:r>
        <w:rPr>
          <w:rFonts w:hint="eastAsia" w:ascii="楷体_GB2312" w:hAnsi="楷体" w:eastAsia="楷体_GB2312"/>
          <w:sz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29"/>
        <w:rPr>
          <w:rFonts w:ascii="楷体_GB2312" w:hAnsi="楷体" w:eastAsia="楷体_GB2312"/>
          <w:sz w:val="32"/>
        </w:rPr>
      </w:pPr>
      <w:r>
        <w:rPr>
          <w:rFonts w:hint="eastAsia" w:ascii="楷体_GB2312" w:hAnsi="楷体" w:eastAsia="楷体_GB2312"/>
          <w:sz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bookmarkEnd w:id="0"/>
    <w:bookmarkEnd w:id="1"/>
    <w:bookmarkEnd w:id="2"/>
    <w:bookmarkEnd w:id="3"/>
    <w:p>
      <w:pPr>
        <w:pStyle w:val="11"/>
        <w:widowControl/>
        <w:shd w:val="clear" w:color="auto" w:fill="FFFFFF"/>
        <w:spacing w:beforeAutospacing="0" w:afterAutospacing="0" w:line="560" w:lineRule="exact"/>
        <w:ind w:firstLine="640" w:firstLineChars="200"/>
        <w:rPr>
          <w:rFonts w:ascii="仿宋_GB2312" w:hAnsi="仿宋_GB2312" w:eastAsia="仿宋_GB2312" w:cs="仿宋_GB2312"/>
          <w:sz w:val="32"/>
          <w:szCs w:val="32"/>
        </w:rPr>
      </w:pPr>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23286557"/>
    </w:sdtPr>
    <w:sdtEndPr>
      <w:rPr>
        <w:rFonts w:ascii="宋体" w:hAnsi="宋体"/>
        <w:sz w:val="24"/>
        <w:szCs w:val="24"/>
      </w:rPr>
    </w:sdtEndPr>
    <w:sdtContent>
      <w:p>
        <w:pPr>
          <w:pStyle w:val="9"/>
          <w:jc w:val="center"/>
          <w:rPr>
            <w:rFonts w:ascii="宋体" w:hAnsi="宋体"/>
            <w:sz w:val="24"/>
            <w:szCs w:val="24"/>
          </w:rP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9"/>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495411"/>
    <w:rsid w:val="00077085"/>
    <w:rsid w:val="000C1548"/>
    <w:rsid w:val="000E2482"/>
    <w:rsid w:val="000E7D07"/>
    <w:rsid w:val="00187F8C"/>
    <w:rsid w:val="001B0D0D"/>
    <w:rsid w:val="001F3734"/>
    <w:rsid w:val="00221AC3"/>
    <w:rsid w:val="002E0E8B"/>
    <w:rsid w:val="002E1352"/>
    <w:rsid w:val="004668B2"/>
    <w:rsid w:val="00495411"/>
    <w:rsid w:val="004F1C61"/>
    <w:rsid w:val="00510220"/>
    <w:rsid w:val="00536D63"/>
    <w:rsid w:val="005F55E8"/>
    <w:rsid w:val="00662E2F"/>
    <w:rsid w:val="007E7317"/>
    <w:rsid w:val="00824A18"/>
    <w:rsid w:val="00826737"/>
    <w:rsid w:val="00864851"/>
    <w:rsid w:val="00A15B74"/>
    <w:rsid w:val="00A62E80"/>
    <w:rsid w:val="00A91A31"/>
    <w:rsid w:val="00AA3173"/>
    <w:rsid w:val="00AB4C80"/>
    <w:rsid w:val="00B41DF8"/>
    <w:rsid w:val="00BD6C1F"/>
    <w:rsid w:val="00CC425A"/>
    <w:rsid w:val="00E74213"/>
    <w:rsid w:val="00E927CE"/>
    <w:rsid w:val="00EC131F"/>
    <w:rsid w:val="00F07A7B"/>
    <w:rsid w:val="013F5767"/>
    <w:rsid w:val="02003325"/>
    <w:rsid w:val="04E77343"/>
    <w:rsid w:val="05701363"/>
    <w:rsid w:val="05D21D0E"/>
    <w:rsid w:val="060B6C60"/>
    <w:rsid w:val="0733422B"/>
    <w:rsid w:val="076202A2"/>
    <w:rsid w:val="0AD7750A"/>
    <w:rsid w:val="1183680A"/>
    <w:rsid w:val="16C46618"/>
    <w:rsid w:val="18305E88"/>
    <w:rsid w:val="1C84373B"/>
    <w:rsid w:val="24946176"/>
    <w:rsid w:val="268E5146"/>
    <w:rsid w:val="26DE58EB"/>
    <w:rsid w:val="27490F9E"/>
    <w:rsid w:val="2B842D49"/>
    <w:rsid w:val="2C6A1831"/>
    <w:rsid w:val="2F1A0C35"/>
    <w:rsid w:val="2FEF1B18"/>
    <w:rsid w:val="34A146BF"/>
    <w:rsid w:val="351A5D63"/>
    <w:rsid w:val="359F76AC"/>
    <w:rsid w:val="35B53FBD"/>
    <w:rsid w:val="36331CE5"/>
    <w:rsid w:val="36CC5BCE"/>
    <w:rsid w:val="36F23C47"/>
    <w:rsid w:val="370D7AF4"/>
    <w:rsid w:val="37D449E8"/>
    <w:rsid w:val="38052728"/>
    <w:rsid w:val="384E3268"/>
    <w:rsid w:val="385143A2"/>
    <w:rsid w:val="3DAB57E6"/>
    <w:rsid w:val="3EE05A7C"/>
    <w:rsid w:val="3F016A58"/>
    <w:rsid w:val="3F152DBE"/>
    <w:rsid w:val="3FE92EC5"/>
    <w:rsid w:val="40660DE4"/>
    <w:rsid w:val="408C2A5B"/>
    <w:rsid w:val="42A761FE"/>
    <w:rsid w:val="43E77413"/>
    <w:rsid w:val="45017BA1"/>
    <w:rsid w:val="46261EAF"/>
    <w:rsid w:val="46C46318"/>
    <w:rsid w:val="47FF4D3D"/>
    <w:rsid w:val="4918345D"/>
    <w:rsid w:val="49F2635D"/>
    <w:rsid w:val="4B456BFD"/>
    <w:rsid w:val="4B4C7706"/>
    <w:rsid w:val="4BA24DC7"/>
    <w:rsid w:val="4BC4671E"/>
    <w:rsid w:val="4CE040D2"/>
    <w:rsid w:val="4F094591"/>
    <w:rsid w:val="513D1DBF"/>
    <w:rsid w:val="516627E1"/>
    <w:rsid w:val="517A74F3"/>
    <w:rsid w:val="52E46243"/>
    <w:rsid w:val="53393DCE"/>
    <w:rsid w:val="54CB7956"/>
    <w:rsid w:val="556D5464"/>
    <w:rsid w:val="55AE0CE3"/>
    <w:rsid w:val="561817EF"/>
    <w:rsid w:val="5C8F5F02"/>
    <w:rsid w:val="616D3BE9"/>
    <w:rsid w:val="61BB243B"/>
    <w:rsid w:val="62B813F3"/>
    <w:rsid w:val="6445548E"/>
    <w:rsid w:val="68AC6419"/>
    <w:rsid w:val="68CE63D8"/>
    <w:rsid w:val="6C7B6AC8"/>
    <w:rsid w:val="6F0722FF"/>
    <w:rsid w:val="6F154FDE"/>
    <w:rsid w:val="6F8312B7"/>
    <w:rsid w:val="767B28DB"/>
    <w:rsid w:val="774B7ACF"/>
    <w:rsid w:val="78A04D96"/>
    <w:rsid w:val="7A83519C"/>
    <w:rsid w:val="7B303A95"/>
    <w:rsid w:val="7B6A5853"/>
    <w:rsid w:val="7D863887"/>
    <w:rsid w:val="7DB87774"/>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semiHidden/>
    <w:unhideWhenUsed/>
    <w:qFormat/>
    <w:uiPriority w:val="0"/>
    <w:pPr>
      <w:keepNext/>
      <w:keepLines/>
      <w:spacing w:line="560" w:lineRule="exact"/>
      <w:outlineLvl w:val="2"/>
    </w:p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7">
    <w:name w:val="annotation text"/>
    <w:basedOn w:val="1"/>
    <w:qFormat/>
    <w:uiPriority w:val="0"/>
    <w:pPr>
      <w:jc w:val="left"/>
    </w:pPr>
  </w:style>
  <w:style w:type="paragraph" w:styleId="8">
    <w:name w:val="Body Text"/>
    <w:basedOn w:val="1"/>
    <w:qFormat/>
    <w:uiPriority w:val="1"/>
    <w:rPr>
      <w:rFonts w:ascii="仿宋_GB2312" w:hAnsi="仿宋_GB2312" w:eastAsia="仿宋_GB2312" w:cs="仿宋_GB2312"/>
      <w:sz w:val="32"/>
      <w:szCs w:val="32"/>
    </w:rPr>
  </w:style>
  <w:style w:type="paragraph" w:styleId="9">
    <w:name w:val="footer"/>
    <w:basedOn w:val="1"/>
    <w:link w:val="16"/>
    <w:qFormat/>
    <w:uiPriority w:val="99"/>
    <w:pPr>
      <w:tabs>
        <w:tab w:val="center" w:pos="4153"/>
        <w:tab w:val="right" w:pos="8306"/>
      </w:tabs>
      <w:snapToGrid w:val="0"/>
      <w:jc w:val="left"/>
    </w:pPr>
    <w:rPr>
      <w:sz w:val="18"/>
      <w:szCs w:val="18"/>
    </w:rPr>
  </w:style>
  <w:style w:type="paragraph" w:styleId="10">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kern w:val="0"/>
      <w:sz w:val="24"/>
    </w:rPr>
  </w:style>
  <w:style w:type="table" w:customStyle="1" w:styleId="14">
    <w:name w:val="网格型1"/>
    <w:basedOn w:val="12"/>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5">
    <w:name w:val="页眉 字符"/>
    <w:basedOn w:val="13"/>
    <w:link w:val="10"/>
    <w:qFormat/>
    <w:uiPriority w:val="0"/>
    <w:rPr>
      <w:rFonts w:ascii="Times New Roman" w:hAnsi="Times New Roman" w:eastAsia="宋体" w:cs="Times New Roman"/>
      <w:kern w:val="2"/>
      <w:sz w:val="18"/>
      <w:szCs w:val="18"/>
    </w:rPr>
  </w:style>
  <w:style w:type="character" w:customStyle="1" w:styleId="16">
    <w:name w:val="页脚 字符"/>
    <w:basedOn w:val="13"/>
    <w:link w:val="9"/>
    <w:qFormat/>
    <w:uiPriority w:val="99"/>
    <w:rPr>
      <w:rFonts w:ascii="Times New Roman" w:hAnsi="Times New Roman" w:eastAsia="宋体" w:cs="Times New Roman"/>
      <w:kern w:val="2"/>
      <w:sz w:val="18"/>
      <w:szCs w:val="18"/>
    </w:rPr>
  </w:style>
  <w:style w:type="character" w:styleId="17">
    <w:name w:val="Placeholder Text"/>
    <w:basedOn w:val="13"/>
    <w:semiHidden/>
    <w:qFormat/>
    <w:uiPriority w:val="99"/>
    <w:rPr>
      <w:color w:val="808080"/>
    </w:rPr>
  </w:style>
  <w:style w:type="paragraph" w:customStyle="1" w:styleId="18">
    <w:name w:val="修订1"/>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306</Words>
  <Characters>1748</Characters>
  <Lines>14</Lines>
  <Paragraphs>4</Paragraphs>
  <TotalTime>0</TotalTime>
  <ScaleCrop>false</ScaleCrop>
  <LinksUpToDate>false</LinksUpToDate>
  <CharactersWithSpaces>2050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2024-03-26T15:51:00Z</dcterms:created>
  <dc:creator>办公用</dc:creator>
  <cp:lastModifiedBy>Administrator</cp:lastModifiedBy>
  <dcterms:modified xsi:type="dcterms:W3CDTF">2024-04-08T09:59:38Z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EAEF3A3E944342859391C6F61B9C81CE_13</vt:lpwstr>
  </property>
</Properties>
</file>