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仿宋_GB2312" w:hAnsi="仿宋_GB2312" w:eastAsia="仿宋_GB2312" w:cs="仿宋_GB2312"/>
          <w:b/>
          <w:bCs/>
          <w:sz w:val="32"/>
          <w:szCs w:val="32"/>
        </w:rPr>
      </w:pPr>
      <w:bookmarkStart w:id="0" w:name="_Toc18923"/>
      <w:bookmarkStart w:id="1" w:name="_Toc126153478"/>
      <w:bookmarkStart w:id="2" w:name="_Toc126151261"/>
      <w:bookmarkStart w:id="3" w:name="_Toc129097069"/>
      <w:r>
        <w:rPr>
          <w:rFonts w:hint="eastAsia" w:ascii="黑体" w:hAnsi="黑体" w:eastAsia="黑体" w:cs="黑体"/>
          <w:color w:val="333333"/>
          <w:spacing w:val="15"/>
          <w:kern w:val="0"/>
          <w:sz w:val="32"/>
          <w:szCs w:val="32"/>
          <w:shd w:val="clear" w:color="auto" w:fill="FFFFFF"/>
        </w:rPr>
        <w:t>附件3</w:t>
      </w:r>
    </w:p>
    <w:p>
      <w:pPr>
        <w:spacing w:line="560" w:lineRule="exact"/>
        <w:jc w:val="center"/>
        <w:rPr>
          <w:rFonts w:ascii="方正小标宋简体" w:hAnsi="方正小标宋简体" w:eastAsia="方正小标宋简体" w:cs="方正小标宋简体"/>
          <w:sz w:val="44"/>
          <w:szCs w:val="44"/>
        </w:rPr>
      </w:pPr>
      <w:bookmarkStart w:id="4" w:name="_Hlk159442491"/>
      <w:r>
        <w:rPr>
          <w:rFonts w:hint="eastAsia" w:ascii="方正小标宋简体" w:hAnsi="方正小标宋简体" w:eastAsia="方正小标宋简体" w:cs="方正小标宋简体"/>
          <w:sz w:val="44"/>
          <w:szCs w:val="44"/>
        </w:rPr>
        <w:t>燃气锅炉深度治理项目办事指南</w:t>
      </w:r>
      <w:bookmarkEnd w:id="4"/>
    </w:p>
    <w:p>
      <w:pPr>
        <w:spacing w:line="540" w:lineRule="exact"/>
        <w:rPr>
          <w:rFonts w:ascii="仿宋_GB2312" w:hAnsi="仿宋_GB2312" w:eastAsia="仿宋_GB2312" w:cs="仿宋_GB2312"/>
          <w:sz w:val="32"/>
          <w:szCs w:val="32"/>
        </w:rPr>
      </w:pPr>
    </w:p>
    <w:p>
      <w:pPr>
        <w:spacing w:line="54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一、政策依据</w:t>
      </w:r>
    </w:p>
    <w:p>
      <w:pPr>
        <w:spacing w:line="540" w:lineRule="exact"/>
        <w:ind w:firstLine="640" w:firstLineChars="200"/>
        <w:rPr>
          <w:rFonts w:ascii="仿宋_GB2312" w:hAnsi="仿宋_GB2312" w:eastAsia="仿宋_GB2312" w:cs="仿宋_GB2312"/>
          <w:bCs/>
          <w:color w:val="0000FF"/>
          <w:kern w:val="0"/>
          <w:sz w:val="32"/>
          <w:szCs w:val="32"/>
        </w:rPr>
      </w:pPr>
      <w:r>
        <w:rPr>
          <w:rFonts w:hint="eastAsia" w:ascii="仿宋_GB2312" w:hAnsi="仿宋_GB2312" w:eastAsia="仿宋_GB2312" w:cs="仿宋_GB2312"/>
          <w:bCs/>
          <w:color w:val="000000"/>
          <w:kern w:val="0"/>
          <w:sz w:val="32"/>
          <w:szCs w:val="32"/>
        </w:rPr>
        <w:t>《北京经济技术开发区促进绿色低碳高质量发展资金奖励办法》（京技管发</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2023</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31号）</w:t>
      </w:r>
      <w:r>
        <w:rPr>
          <w:rFonts w:hint="eastAsia" w:ascii="仿宋_GB2312" w:hAnsi="仿宋_GB2312" w:eastAsia="仿宋_GB2312" w:cs="仿宋_GB2312"/>
          <w:bCs/>
          <w:kern w:val="0"/>
          <w:sz w:val="32"/>
          <w:szCs w:val="32"/>
        </w:rPr>
        <w:t>第三条支持项目：燃气锅炉深度治理项目。该项目为污染防治类支持方向。</w:t>
      </w:r>
    </w:p>
    <w:p>
      <w:pPr>
        <w:spacing w:line="54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spacing w:line="540" w:lineRule="exact"/>
        <w:ind w:firstLine="640" w:firstLineChars="200"/>
        <w:rPr>
          <w:rFonts w:ascii="仿宋_GB2312" w:hAnsi="仿宋_GB2312" w:eastAsia="仿宋_GB2312" w:cs="仿宋_GB2312"/>
          <w:bCs/>
          <w:kern w:val="0"/>
          <w:sz w:val="32"/>
          <w:szCs w:val="32"/>
        </w:rPr>
      </w:pPr>
      <w:r>
        <w:rPr>
          <w:rFonts w:hint="eastAsia" w:ascii="仿宋_GB2312" w:hAnsi="仿宋_GB2312" w:eastAsia="仿宋_GB2312" w:cs="仿宋_GB2312"/>
          <w:bCs/>
          <w:kern w:val="0"/>
          <w:sz w:val="32"/>
          <w:szCs w:val="32"/>
        </w:rPr>
        <w:t>燃气锅炉深度治理项目</w:t>
      </w:r>
    </w:p>
    <w:p>
      <w:pPr>
        <w:spacing w:line="54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三、申报条件</w:t>
      </w:r>
    </w:p>
    <w:p>
      <w:pPr>
        <w:spacing w:line="54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（一）申报主体应在经开区60平方公里范围内依法注册、纳税、入统。</w:t>
      </w:r>
    </w:p>
    <w:p>
      <w:pPr>
        <w:spacing w:line="54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（二）近三年无重大行政处罚记录、刑事犯罪记录，未被列入严重违法失信主体名单，未发生重大生产安全事故和突发环境事件。（“近三年”指2020年11月24日至拟支持企业公示的截止日期）</w:t>
      </w:r>
    </w:p>
    <w:p>
      <w:pPr>
        <w:spacing w:line="54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（三）同一单位同一项目符合本政策规定的多个支持方向及经开区其他专项支持政策的，按照从高从优不重复的原则申请支持。</w:t>
      </w:r>
    </w:p>
    <w:p>
      <w:pPr>
        <w:spacing w:line="540" w:lineRule="exact"/>
        <w:ind w:firstLine="616" w:firstLineChars="200"/>
        <w:rPr>
          <w:rFonts w:ascii="仿宋_GB2312" w:hAnsi="黑体" w:eastAsia="仿宋_GB2312"/>
          <w:color w:val="000000"/>
          <w:sz w:val="32"/>
          <w:szCs w:val="32"/>
        </w:rPr>
      </w:pPr>
      <w:r>
        <w:rPr>
          <w:rFonts w:hint="eastAsia" w:ascii="仿宋_GB2312" w:hAnsi="仿宋" w:eastAsia="仿宋_GB2312"/>
          <w:color w:val="000000"/>
          <w:spacing w:val="-6"/>
          <w:sz w:val="32"/>
          <w:szCs w:val="32"/>
        </w:rPr>
        <w:t>（四）本政策属于事后奖励，申报项目工程进度原则上须已实施完成，含税实际支付金额达到含税项目总投资的90%（含）以上。</w:t>
      </w:r>
      <w:r>
        <w:rPr>
          <w:rFonts w:hint="eastAsia" w:ascii="仿宋_GB2312" w:hAnsi="华文仿宋" w:eastAsia="仿宋_GB2312"/>
          <w:color w:val="000000"/>
          <w:sz w:val="32"/>
          <w:szCs w:val="32"/>
        </w:rPr>
        <w:t>项目完成时间原则上为</w:t>
      </w:r>
      <w:r>
        <w:rPr>
          <w:rFonts w:ascii="仿宋_GB2312" w:hAnsi="华文仿宋" w:eastAsia="仿宋_GB2312"/>
          <w:color w:val="000000"/>
          <w:sz w:val="32"/>
          <w:szCs w:val="32"/>
        </w:rPr>
        <w:t>2021年11月1日</w:t>
      </w:r>
      <w:r>
        <w:rPr>
          <w:rFonts w:hint="eastAsia" w:ascii="仿宋_GB2312" w:hAnsi="华文仿宋" w:eastAsia="仿宋_GB2312"/>
          <w:color w:val="000000"/>
          <w:sz w:val="32"/>
          <w:szCs w:val="32"/>
        </w:rPr>
        <w:t>-2024年</w:t>
      </w:r>
      <w:r>
        <w:rPr>
          <w:rFonts w:hint="eastAsia" w:ascii="仿宋_GB2312" w:hAnsi="华文仿宋" w:eastAsia="仿宋_GB2312"/>
          <w:color w:val="000000"/>
          <w:sz w:val="32"/>
          <w:szCs w:val="32"/>
          <w:lang w:val="en-US" w:eastAsia="zh-CN"/>
        </w:rPr>
        <w:t>5</w:t>
      </w:r>
      <w:r>
        <w:rPr>
          <w:rFonts w:hint="eastAsia" w:ascii="仿宋_GB2312" w:hAnsi="华文仿宋" w:eastAsia="仿宋_GB2312"/>
          <w:color w:val="000000"/>
          <w:sz w:val="32"/>
          <w:szCs w:val="32"/>
        </w:rPr>
        <w:t>月</w:t>
      </w:r>
      <w:r>
        <w:rPr>
          <w:rFonts w:hint="eastAsia" w:ascii="仿宋_GB2312" w:hAnsi="华文仿宋" w:eastAsia="仿宋_GB2312"/>
          <w:color w:val="000000"/>
          <w:sz w:val="32"/>
          <w:szCs w:val="32"/>
          <w:lang w:val="en-US" w:eastAsia="zh-CN"/>
        </w:rPr>
        <w:t>10</w:t>
      </w:r>
      <w:r>
        <w:rPr>
          <w:rFonts w:hint="eastAsia" w:ascii="仿宋_GB2312" w:hAnsi="华文仿宋" w:eastAsia="仿宋_GB2312"/>
          <w:color w:val="000000"/>
          <w:sz w:val="32"/>
          <w:szCs w:val="32"/>
        </w:rPr>
        <w:t>日</w:t>
      </w:r>
      <w:r>
        <w:rPr>
          <w:rFonts w:hint="eastAsia" w:ascii="仿宋_GB2312" w:hAnsi="黑体" w:eastAsia="仿宋_GB2312"/>
          <w:color w:val="000000"/>
          <w:sz w:val="32"/>
          <w:szCs w:val="32"/>
        </w:rPr>
        <w:t>。</w:t>
      </w:r>
    </w:p>
    <w:p>
      <w:pPr>
        <w:spacing w:line="540"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（五）</w:t>
      </w:r>
      <w:bookmarkStart w:id="5" w:name="_Hlk159442531"/>
      <w:r>
        <w:rPr>
          <w:rFonts w:hint="eastAsia" w:ascii="仿宋_GB2312" w:hAnsi="黑体" w:eastAsia="仿宋_GB2312"/>
          <w:color w:val="000000"/>
          <w:sz w:val="32"/>
          <w:szCs w:val="32"/>
        </w:rPr>
        <w:t>《燃气锅炉低氮改造验收要求》</w:t>
      </w:r>
      <w:bookmarkEnd w:id="5"/>
      <w:r>
        <w:rPr>
          <w:rFonts w:hint="eastAsia" w:ascii="仿宋_GB2312" w:hAnsi="黑体" w:eastAsia="仿宋_GB2312"/>
          <w:color w:val="000000"/>
          <w:sz w:val="32"/>
          <w:szCs w:val="32"/>
        </w:rPr>
        <w:t>：采用整体更换锅炉的项目，氮氧化物排放浓度值须稳定在30毫克/立方米以内，一氧化碳排放浓度值须稳定在95毫克/立方米以内。进行上述指标监测时，须将锅炉负荷调至75%及以上（可由热水锅炉耗气量100m</w:t>
      </w:r>
      <w:r>
        <w:rPr>
          <w:rFonts w:hint="eastAsia" w:ascii="仿宋_GB2312" w:hAnsi="黑体" w:eastAsia="仿宋_GB2312"/>
          <w:color w:val="000000"/>
          <w:sz w:val="32"/>
          <w:szCs w:val="32"/>
          <w:vertAlign w:val="superscript"/>
        </w:rPr>
        <w:t>3</w:t>
      </w:r>
      <w:r>
        <w:rPr>
          <w:rFonts w:hint="eastAsia" w:ascii="仿宋_GB2312" w:hAnsi="黑体" w:eastAsia="仿宋_GB2312"/>
          <w:color w:val="000000"/>
          <w:sz w:val="32"/>
          <w:szCs w:val="32"/>
        </w:rPr>
        <w:t>/h/MW、蒸汽锅炉耗气量80m</w:t>
      </w:r>
      <w:r>
        <w:rPr>
          <w:rFonts w:hint="eastAsia" w:ascii="仿宋_GB2312" w:hAnsi="黑体" w:eastAsia="仿宋_GB2312"/>
          <w:color w:val="000000"/>
          <w:sz w:val="32"/>
          <w:szCs w:val="32"/>
          <w:vertAlign w:val="superscript"/>
        </w:rPr>
        <w:t>3</w:t>
      </w:r>
      <w:r>
        <w:rPr>
          <w:rFonts w:hint="eastAsia" w:ascii="仿宋_GB2312" w:hAnsi="黑体" w:eastAsia="仿宋_GB2312"/>
          <w:color w:val="000000"/>
          <w:sz w:val="32"/>
          <w:szCs w:val="32"/>
        </w:rPr>
        <w:t>/h/（t/h）验证）。</w:t>
      </w:r>
    </w:p>
    <w:p>
      <w:pPr>
        <w:spacing w:line="540" w:lineRule="exact"/>
        <w:ind w:firstLine="640" w:firstLineChars="200"/>
        <w:rPr>
          <w:rFonts w:ascii="仿宋_GB2312" w:hAnsi="黑体" w:eastAsia="仿宋_GB2312"/>
          <w:b/>
          <w:bCs/>
          <w:color w:val="000000"/>
          <w:sz w:val="32"/>
          <w:szCs w:val="32"/>
        </w:rPr>
      </w:pPr>
      <w:r>
        <w:rPr>
          <w:rFonts w:hint="eastAsia" w:ascii="仿宋_GB2312" w:hAnsi="黑体" w:eastAsia="仿宋_GB2312"/>
          <w:color w:val="000000"/>
          <w:sz w:val="32"/>
          <w:szCs w:val="32"/>
        </w:rPr>
        <w:t>（六）以下项目不列入支持范围：</w:t>
      </w:r>
    </w:p>
    <w:p>
      <w:pPr>
        <w:spacing w:line="540"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1.建设项目环境保护“三同时”项目；</w:t>
      </w:r>
    </w:p>
    <w:p>
      <w:pPr>
        <w:spacing w:line="540"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2</w:t>
      </w:r>
      <w:r>
        <w:rPr>
          <w:rFonts w:ascii="仿宋_GB2312" w:hAnsi="黑体" w:eastAsia="仿宋_GB2312"/>
          <w:color w:val="000000"/>
          <w:sz w:val="32"/>
          <w:szCs w:val="32"/>
        </w:rPr>
        <w:t>.</w:t>
      </w:r>
      <w:r>
        <w:rPr>
          <w:rFonts w:hint="eastAsia" w:ascii="仿宋_GB2312" w:hAnsi="黑体" w:eastAsia="仿宋_GB2312"/>
          <w:color w:val="000000"/>
          <w:sz w:val="32"/>
          <w:szCs w:val="32"/>
        </w:rPr>
        <w:t>未获得节能审查意见的数据中心项目；</w:t>
      </w:r>
    </w:p>
    <w:p>
      <w:pPr>
        <w:spacing w:line="540"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3.使用政府财政资金投资建设的项目。</w:t>
      </w:r>
    </w:p>
    <w:p>
      <w:pPr>
        <w:spacing w:line="54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四、支持内容及标准</w:t>
      </w:r>
    </w:p>
    <w:p>
      <w:pPr>
        <w:spacing w:line="54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鼓励企事业单位开展燃气锅炉深度治理，实施超低氮改造。对于2017年3月31日之前建成的燃气锅炉，支持通过整体更换锅炉的方式，有效降低氮氧化物排放浓度，改造后氮氧化物浓度稳定达到30mg/m</w:t>
      </w:r>
      <w:r>
        <w:rPr>
          <w:rFonts w:hint="eastAsia" w:ascii="仿宋_GB2312" w:hAnsi="仿宋_GB2312" w:eastAsia="仿宋_GB2312" w:cs="仿宋_GB2312"/>
          <w:sz w:val="32"/>
          <w:szCs w:val="32"/>
          <w:vertAlign w:val="superscript"/>
        </w:rPr>
        <w:t>3</w:t>
      </w:r>
      <w:r>
        <w:rPr>
          <w:rFonts w:hint="eastAsia" w:ascii="仿宋_GB2312" w:hAnsi="仿宋_GB2312" w:eastAsia="仿宋_GB2312" w:cs="仿宋_GB2312"/>
          <w:sz w:val="32"/>
          <w:szCs w:val="32"/>
        </w:rPr>
        <w:t>以内的，具体指标需满足《北京市燃气锅炉低氮改造验收要求》中的相关规定。原则上对上述项目根据实际支付金额（不含税）比例给予奖励，其中一般企事业单位奖励比例为50%，对企业使用被管委会相关部门认定的高新技术产品、装备和工艺的，在原奖励标准基础上增加5%；对企业使用被管委会相关部门认定的市、区首台（套）技术、产品、装备、工艺的，在原奖励标准的基础上增加10%。差额预算拨款单位奖励比例为50%，全额预算拨款单位的奖励比例为100%。</w:t>
      </w:r>
    </w:p>
    <w:p>
      <w:pPr>
        <w:spacing w:line="54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4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（一）申报材料</w:t>
      </w:r>
    </w:p>
    <w:p>
      <w:pPr>
        <w:spacing w:line="540" w:lineRule="exact"/>
        <w:ind w:firstLine="640" w:firstLineChars="200"/>
        <w:outlineLvl w:val="2"/>
        <w:rPr>
          <w:rFonts w:ascii="仿宋_GB2312" w:hAnsi="仿宋_GB2312" w:eastAsia="仿宋_GB2312" w:cs="仿宋_GB2312"/>
          <w:spacing w:val="6"/>
          <w:sz w:val="32"/>
          <w:szCs w:val="32"/>
        </w:rPr>
      </w:pPr>
      <w:bookmarkStart w:id="6" w:name="_Hlk132902731"/>
      <w:r>
        <w:rPr>
          <w:rFonts w:hint="eastAsia" w:ascii="仿宋_GB2312" w:hAnsi="仿宋_GB2312" w:eastAsia="仿宋_GB2312" w:cs="仿宋_GB2312"/>
          <w:sz w:val="32"/>
          <w:szCs w:val="32"/>
        </w:rPr>
        <w:t>1.</w:t>
      </w:r>
      <w:r>
        <w:rPr>
          <w:rFonts w:hint="eastAsia" w:ascii="仿宋_GB2312" w:hAnsi="宋体" w:eastAsia="仿宋_GB2312" w:cs="宋体"/>
          <w:color w:val="000000"/>
          <w:sz w:val="32"/>
          <w:szCs w:val="32"/>
        </w:rPr>
        <w:t>北京经济技术开发区绿色发展资金奖励项目申报表，在线填写</w:t>
      </w:r>
      <w:r>
        <w:rPr>
          <w:rFonts w:hint="eastAsia" w:ascii="仿宋_GB2312" w:hAnsi="仿宋_GB2312" w:eastAsia="仿宋_GB2312" w:cs="仿宋_GB2312"/>
          <w:spacing w:val="6"/>
          <w:sz w:val="32"/>
          <w:szCs w:val="32"/>
        </w:rPr>
        <w:t>；</w:t>
      </w:r>
    </w:p>
    <w:p>
      <w:pPr>
        <w:spacing w:line="54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2.企业营业执照等注册登记证件，其中企业营业执照选取电子证照，其他证照原件彩色扫描上传；</w:t>
      </w:r>
    </w:p>
    <w:p>
      <w:pPr>
        <w:spacing w:line="54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3.承诺书，下载模板填写，签字、加盖公章，彩色扫描上传</w:t>
      </w:r>
      <w:r>
        <w:rPr>
          <w:rFonts w:hint="eastAsia" w:ascii="仿宋_GB2312" w:hAnsi="仿宋_GB2312" w:eastAsia="仿宋_GB2312" w:cs="仿宋_GB2312"/>
          <w:spacing w:val="6"/>
          <w:sz w:val="32"/>
          <w:szCs w:val="32"/>
        </w:rPr>
        <w:t>；</w:t>
      </w:r>
    </w:p>
    <w:p>
      <w:pPr>
        <w:spacing w:line="54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4.银行账户信息，下载模板填写，加盖公章，彩色扫描上传；</w:t>
      </w:r>
    </w:p>
    <w:p>
      <w:pPr>
        <w:spacing w:line="540" w:lineRule="exact"/>
        <w:ind w:firstLine="640" w:firstLineChars="200"/>
        <w:outlineLvl w:val="2"/>
        <w:rPr>
          <w:rFonts w:ascii="仿宋_GB2312" w:hAnsi="宋体" w:eastAsia="仿宋_GB2312" w:cs="宋体"/>
          <w:color w:val="000000"/>
          <w:sz w:val="32"/>
          <w:szCs w:val="32"/>
        </w:rPr>
      </w:pPr>
      <w:r>
        <w:rPr>
          <w:rFonts w:ascii="仿宋_GB2312" w:hAnsi="仿宋_GB2312" w:eastAsia="仿宋_GB2312" w:cs="仿宋_GB2312"/>
          <w:sz w:val="32"/>
          <w:szCs w:val="32"/>
        </w:rPr>
        <w:t>5</w:t>
      </w:r>
      <w:r>
        <w:rPr>
          <w:rFonts w:hint="eastAsia" w:ascii="仿宋_GB2312" w:hAnsi="仿宋_GB2312" w:eastAsia="仿宋_GB2312" w:cs="仿宋_GB2312"/>
          <w:sz w:val="32"/>
          <w:szCs w:val="32"/>
        </w:rPr>
        <w:t>.</w:t>
      </w:r>
      <w:r>
        <w:rPr>
          <w:rFonts w:hint="eastAsia" w:ascii="仿宋_GB2312" w:hAnsi="宋体" w:eastAsia="仿宋_GB2312" w:cs="宋体"/>
          <w:color w:val="000000"/>
          <w:sz w:val="32"/>
          <w:szCs w:val="32"/>
        </w:rPr>
        <w:t>北京经济技术开发区绿色发展资金项目财务信息登记表（电子版），</w:t>
      </w:r>
      <w:r>
        <w:rPr>
          <w:rFonts w:hint="eastAsia" w:ascii="仿宋_GB2312" w:hAnsi="仿宋_GB2312" w:eastAsia="仿宋_GB2312" w:cs="仿宋_GB2312"/>
          <w:sz w:val="32"/>
          <w:szCs w:val="32"/>
        </w:rPr>
        <w:t>下载模板</w:t>
      </w:r>
      <w:r>
        <w:rPr>
          <w:rFonts w:hint="eastAsia" w:ascii="仿宋_GB2312" w:hAnsi="宋体" w:eastAsia="仿宋_GB2312" w:cs="宋体"/>
          <w:color w:val="000000"/>
          <w:sz w:val="32"/>
          <w:szCs w:val="32"/>
        </w:rPr>
        <w:t>填写，</w:t>
      </w:r>
      <w:r>
        <w:rPr>
          <w:rFonts w:hint="eastAsia" w:ascii="仿宋_GB2312" w:hAnsi="仿宋_GB2312" w:eastAsia="仿宋_GB2312" w:cs="仿宋_GB2312"/>
          <w:sz w:val="32"/>
          <w:szCs w:val="32"/>
          <w:lang w:val="en-US" w:eastAsia="zh-CN"/>
        </w:rPr>
        <w:t>电子</w:t>
      </w:r>
      <w:r>
        <w:rPr>
          <w:rFonts w:hint="eastAsia" w:ascii="仿宋_GB2312" w:hAnsi="仿宋_GB2312" w:eastAsia="仿宋_GB2312" w:cs="仿宋_GB2312"/>
          <w:sz w:val="32"/>
          <w:szCs w:val="32"/>
        </w:rPr>
        <w:t>版上传</w:t>
      </w:r>
      <w:r>
        <w:rPr>
          <w:rFonts w:hint="eastAsia" w:ascii="仿宋_GB2312" w:hAnsi="宋体" w:eastAsia="仿宋_GB2312" w:cs="宋体"/>
          <w:color w:val="000000"/>
          <w:sz w:val="32"/>
          <w:szCs w:val="32"/>
        </w:rPr>
        <w:t>；</w:t>
      </w:r>
    </w:p>
    <w:p>
      <w:pPr>
        <w:spacing w:line="54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6.北京经济技术开发区绿色发展资金项目财务信息登记表（扫描版），应为材料5打印版，且内容一致，加盖公章，彩色扫描上传；</w:t>
      </w:r>
    </w:p>
    <w:p>
      <w:pPr>
        <w:spacing w:line="54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7.项目相关合同、发票、银行支付凭证，</w:t>
      </w:r>
      <w:r>
        <w:rPr>
          <w:rFonts w:hint="eastAsia" w:ascii="仿宋_GB2312" w:hAnsi="仿宋_GB2312" w:eastAsia="仿宋_GB2312" w:cs="仿宋_GB2312"/>
          <w:sz w:val="32"/>
          <w:szCs w:val="32"/>
        </w:rPr>
        <w:t>原件彩色扫描</w:t>
      </w:r>
      <w:r>
        <w:rPr>
          <w:rFonts w:hint="eastAsia" w:ascii="仿宋_GB2312" w:hAnsi="宋体" w:eastAsia="仿宋_GB2312" w:cs="宋体"/>
          <w:color w:val="000000"/>
          <w:sz w:val="32"/>
          <w:szCs w:val="32"/>
        </w:rPr>
        <w:t>上传；</w:t>
      </w:r>
    </w:p>
    <w:p>
      <w:pPr>
        <w:spacing w:line="54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8.项目专项审计报告（项目总投资金额大于等于100万元的需提供），</w:t>
      </w:r>
      <w:r>
        <w:rPr>
          <w:rFonts w:hint="eastAsia" w:ascii="仿宋_GB2312" w:hAnsi="仿宋_GB2312" w:eastAsia="仿宋_GB2312" w:cs="仿宋_GB2312"/>
          <w:sz w:val="32"/>
          <w:szCs w:val="32"/>
        </w:rPr>
        <w:t>原件彩色扫描</w:t>
      </w:r>
      <w:r>
        <w:rPr>
          <w:rFonts w:hint="eastAsia" w:ascii="仿宋_GB2312" w:hAnsi="宋体" w:eastAsia="仿宋_GB2312" w:cs="宋体"/>
          <w:color w:val="000000"/>
          <w:sz w:val="32"/>
          <w:szCs w:val="32"/>
        </w:rPr>
        <w:t>上传；</w:t>
      </w:r>
    </w:p>
    <w:bookmarkEnd w:id="6"/>
    <w:p>
      <w:pPr>
        <w:spacing w:line="54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9.原锅炉使用登记证，或环保审批手续，或排污申报登记及缴费相关证明材料，原件彩色扫描上传；</w:t>
      </w:r>
    </w:p>
    <w:p>
      <w:pPr>
        <w:spacing w:line="54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10.燃烧器的型式试验证书，</w:t>
      </w:r>
      <w:bookmarkStart w:id="7" w:name="_Hlk132972023"/>
      <w:r>
        <w:rPr>
          <w:rFonts w:hint="eastAsia" w:ascii="仿宋_GB2312" w:hAnsi="宋体" w:eastAsia="仿宋_GB2312" w:cs="宋体"/>
          <w:color w:val="000000"/>
          <w:sz w:val="32"/>
          <w:szCs w:val="32"/>
        </w:rPr>
        <w:t>原件彩色扫描上传</w:t>
      </w:r>
      <w:bookmarkEnd w:id="7"/>
      <w:r>
        <w:rPr>
          <w:rFonts w:hint="eastAsia" w:ascii="仿宋_GB2312" w:hAnsi="宋体" w:eastAsia="仿宋_GB2312" w:cs="宋体"/>
          <w:color w:val="000000"/>
          <w:sz w:val="32"/>
          <w:szCs w:val="32"/>
        </w:rPr>
        <w:t>；</w:t>
      </w:r>
    </w:p>
    <w:p>
      <w:pPr>
        <w:spacing w:line="540" w:lineRule="exact"/>
        <w:ind w:firstLine="640" w:firstLineChars="200"/>
        <w:outlineLvl w:val="2"/>
        <w:rPr>
          <w:rFonts w:ascii="仿宋_GB2312" w:hAnsi="宋体" w:eastAsia="仿宋_GB2312" w:cs="宋体"/>
          <w:color w:val="000000"/>
          <w:sz w:val="32"/>
          <w:szCs w:val="32"/>
        </w:rPr>
      </w:pPr>
      <w:r>
        <w:rPr>
          <w:rFonts w:ascii="仿宋_GB2312" w:hAnsi="宋体" w:eastAsia="仿宋_GB2312" w:cs="宋体"/>
          <w:color w:val="000000"/>
          <w:sz w:val="32"/>
          <w:szCs w:val="32"/>
        </w:rPr>
        <w:t>1</w:t>
      </w:r>
      <w:r>
        <w:rPr>
          <w:rFonts w:hint="eastAsia" w:ascii="仿宋_GB2312" w:hAnsi="宋体" w:eastAsia="仿宋_GB2312" w:cs="宋体"/>
          <w:color w:val="000000"/>
          <w:sz w:val="32"/>
          <w:szCs w:val="32"/>
        </w:rPr>
        <w:t>1</w:t>
      </w:r>
      <w:r>
        <w:rPr>
          <w:rFonts w:ascii="仿宋_GB2312" w:hAnsi="宋体" w:eastAsia="仿宋_GB2312" w:cs="宋体"/>
          <w:color w:val="000000"/>
          <w:sz w:val="32"/>
          <w:szCs w:val="32"/>
        </w:rPr>
        <w:t>.</w:t>
      </w:r>
      <w:bookmarkStart w:id="8" w:name="_Hlk132977327"/>
      <w:r>
        <w:rPr>
          <w:rFonts w:hint="eastAsia" w:ascii="仿宋_GB2312" w:hAnsi="宋体" w:eastAsia="仿宋_GB2312" w:cs="宋体"/>
          <w:color w:val="000000"/>
          <w:sz w:val="32"/>
          <w:szCs w:val="32"/>
        </w:rPr>
        <w:t>监督检验证书</w:t>
      </w:r>
      <w:bookmarkEnd w:id="8"/>
      <w:r>
        <w:rPr>
          <w:rFonts w:hint="eastAsia" w:ascii="仿宋_GB2312" w:hAnsi="宋体" w:eastAsia="仿宋_GB2312" w:cs="宋体"/>
          <w:color w:val="000000"/>
          <w:sz w:val="32"/>
          <w:szCs w:val="32"/>
        </w:rPr>
        <w:t>，原件彩色扫描上传；</w:t>
      </w:r>
    </w:p>
    <w:p>
      <w:pPr>
        <w:spacing w:line="54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12</w:t>
      </w:r>
      <w:r>
        <w:rPr>
          <w:rFonts w:ascii="仿宋_GB2312" w:hAnsi="宋体" w:eastAsia="仿宋_GB2312" w:cs="宋体"/>
          <w:color w:val="000000"/>
          <w:sz w:val="32"/>
          <w:szCs w:val="32"/>
        </w:rPr>
        <w:t>.</w:t>
      </w:r>
      <w:r>
        <w:rPr>
          <w:rFonts w:hint="eastAsia" w:ascii="仿宋_GB2312" w:hAnsi="宋体" w:eastAsia="仿宋_GB2312" w:cs="宋体"/>
          <w:color w:val="000000"/>
          <w:sz w:val="32"/>
          <w:szCs w:val="32"/>
        </w:rPr>
        <w:t>锅炉业主单位安全承诺书，原件彩色扫描上传；</w:t>
      </w:r>
    </w:p>
    <w:p>
      <w:pPr>
        <w:spacing w:line="540" w:lineRule="exact"/>
        <w:ind w:firstLine="640" w:firstLineChars="200"/>
        <w:outlineLvl w:val="2"/>
        <w:rPr>
          <w:rFonts w:ascii="仿宋_GB2312" w:hAnsi="宋体" w:eastAsia="仿宋_GB2312" w:cs="宋体"/>
          <w:color w:val="000000"/>
          <w:sz w:val="32"/>
          <w:szCs w:val="32"/>
        </w:rPr>
      </w:pPr>
      <w:r>
        <w:rPr>
          <w:rFonts w:ascii="仿宋_GB2312" w:hAnsi="宋体" w:eastAsia="仿宋_GB2312" w:cs="宋体"/>
          <w:color w:val="000000"/>
          <w:sz w:val="32"/>
          <w:szCs w:val="32"/>
        </w:rPr>
        <w:t>1</w:t>
      </w:r>
      <w:r>
        <w:rPr>
          <w:rFonts w:hint="eastAsia" w:ascii="仿宋_GB2312" w:hAnsi="宋体" w:eastAsia="仿宋_GB2312" w:cs="宋体"/>
          <w:color w:val="000000"/>
          <w:sz w:val="32"/>
          <w:szCs w:val="32"/>
        </w:rPr>
        <w:t>3.提供涉及改造锅炉的近三年燃气消耗量，原件彩色扫描上传</w:t>
      </w:r>
      <w:r>
        <w:rPr>
          <w:rFonts w:hint="eastAsia" w:ascii="仿宋_GB2312" w:hAnsi="宋体" w:eastAsia="仿宋_GB2312" w:cs="宋体"/>
          <w:color w:val="000000"/>
          <w:sz w:val="32"/>
          <w:szCs w:val="32"/>
          <w:lang w:eastAsia="zh-CN"/>
        </w:rPr>
        <w:t>；</w:t>
      </w:r>
    </w:p>
    <w:p>
      <w:pPr>
        <w:spacing w:line="540" w:lineRule="exact"/>
        <w:ind w:firstLine="640" w:firstLineChars="200"/>
        <w:outlineLvl w:val="2"/>
        <w:rPr>
          <w:rFonts w:ascii="仿宋_GB2312" w:hAnsi="宋体" w:eastAsia="仿宋_GB2312" w:cs="宋体"/>
          <w:color w:val="000000"/>
          <w:sz w:val="32"/>
          <w:szCs w:val="32"/>
        </w:rPr>
      </w:pPr>
      <w:r>
        <w:rPr>
          <w:rFonts w:ascii="仿宋_GB2312" w:hAnsi="宋体" w:eastAsia="仿宋_GB2312" w:cs="宋体"/>
          <w:color w:val="000000"/>
          <w:sz w:val="32"/>
          <w:szCs w:val="32"/>
        </w:rPr>
        <w:t>1</w:t>
      </w:r>
      <w:r>
        <w:rPr>
          <w:rFonts w:hint="eastAsia" w:ascii="仿宋_GB2312" w:hAnsi="宋体" w:eastAsia="仿宋_GB2312" w:cs="宋体"/>
          <w:color w:val="000000"/>
          <w:sz w:val="32"/>
          <w:szCs w:val="32"/>
        </w:rPr>
        <w:t>4.项目改造前、改造后锅炉烟气排放水平监测报告，原件彩色扫描上传；</w:t>
      </w:r>
    </w:p>
    <w:p>
      <w:pPr>
        <w:spacing w:line="54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15.项目验收材料，原件彩色扫描上传。</w:t>
      </w:r>
    </w:p>
    <w:p>
      <w:pPr>
        <w:spacing w:line="54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（二）打印纸质材料要求</w:t>
      </w:r>
    </w:p>
    <w:p>
      <w:pPr>
        <w:spacing w:line="54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收到打印纸质材料短信通知后，在3个工作日内从平台下载带水印全套申报材料进行打印，一式两份有序装订（整本首页、骑缝盖章），其中银行账户信息无需装订，加盖公章，一并递交至受理窗口。</w:t>
      </w:r>
    </w:p>
    <w:p>
      <w:pPr>
        <w:widowControl/>
        <w:shd w:val="clear" w:color="auto" w:fill="FFFFFF"/>
        <w:spacing w:line="540" w:lineRule="exact"/>
        <w:ind w:firstLine="640" w:firstLineChars="200"/>
        <w:outlineLvl w:val="0"/>
        <w:rPr>
          <w:rFonts w:ascii="仿宋_GB2312" w:hAnsi="仿宋_GB2312" w:eastAsia="仿宋_GB2312" w:cs="仿宋_GB2312"/>
          <w:b/>
          <w:bCs/>
          <w:sz w:val="32"/>
          <w:szCs w:val="32"/>
        </w:rPr>
      </w:pPr>
      <w:r>
        <w:rPr>
          <w:rFonts w:hint="eastAsia" w:ascii="黑体" w:hAnsi="黑体" w:eastAsia="黑体" w:cs="黑体"/>
          <w:sz w:val="32"/>
          <w:szCs w:val="32"/>
        </w:rPr>
        <w:t>六、办理程序</w:t>
      </w:r>
    </w:p>
    <w:p>
      <w:pPr>
        <w:pStyle w:val="11"/>
        <w:widowControl/>
        <w:shd w:val="clear" w:color="auto" w:fill="FFFFFF"/>
        <w:spacing w:beforeAutospacing="0" w:afterAutospacing="0" w:line="54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（一）</w:t>
      </w:r>
      <w:r>
        <w:rPr>
          <w:rFonts w:hint="eastAsia" w:ascii="仿宋_GB2312" w:hAnsi="仿宋_GB2312" w:eastAsia="仿宋_GB2312" w:cs="仿宋_GB2312"/>
          <w:b/>
          <w:bCs/>
          <w:sz w:val="32"/>
          <w:szCs w:val="32"/>
        </w:rPr>
        <w:t>网上申报</w:t>
      </w:r>
      <w:r>
        <w:rPr>
          <w:rFonts w:hint="eastAsia" w:ascii="仿宋_GB2312" w:hAnsi="仿宋_GB2312" w:eastAsia="仿宋_GB2312" w:cs="仿宋_GB2312"/>
          <w:sz w:val="32"/>
          <w:szCs w:val="32"/>
        </w:rPr>
        <w:t>：通过经开区官网政策兑现模块进入政策兑现综合服务平台，或使用360浏览器的极速模式登录网址：zcdx.kfqgw.beijing.gov.cn，注册登录后进行项目申报。如未在规定时间内提交</w:t>
      </w:r>
      <w:r>
        <w:rPr>
          <w:rFonts w:hint="eastAsia" w:ascii="仿宋_GB2312" w:hAnsi="仿宋_GB2312" w:eastAsia="仿宋_GB2312" w:cs="仿宋_GB2312"/>
          <w:color w:val="000000"/>
          <w:sz w:val="32"/>
          <w:szCs w:val="32"/>
        </w:rPr>
        <w:t>申报材料</w:t>
      </w:r>
      <w:r>
        <w:rPr>
          <w:rFonts w:hint="eastAsia" w:ascii="仿宋_GB2312" w:hAnsi="仿宋_GB2312" w:eastAsia="仿宋_GB2312" w:cs="仿宋_GB2312"/>
          <w:sz w:val="32"/>
          <w:szCs w:val="32"/>
        </w:rPr>
        <w:t>的，视为自动放弃。</w:t>
      </w:r>
    </w:p>
    <w:p>
      <w:pPr>
        <w:pStyle w:val="11"/>
        <w:widowControl/>
        <w:numPr>
          <w:ilvl w:val="255"/>
          <w:numId w:val="0"/>
        </w:numPr>
        <w:shd w:val="clear" w:color="auto" w:fill="FFFFFF"/>
        <w:spacing w:beforeAutospacing="0" w:afterAutospacing="0" w:line="54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11"/>
        <w:widowControl/>
        <w:shd w:val="clear" w:color="auto" w:fill="FFFFFF"/>
        <w:spacing w:beforeAutospacing="0" w:afterAutospacing="0" w:line="54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城市运行局对</w:t>
      </w:r>
      <w:r>
        <w:rPr>
          <w:rFonts w:hint="eastAsia" w:ascii="仿宋_GB2312" w:hAnsi="仿宋_GB2312" w:eastAsia="仿宋_GB2312" w:cs="仿宋_GB2312"/>
          <w:color w:val="000000"/>
          <w:kern w:val="2"/>
          <w:sz w:val="32"/>
          <w:szCs w:val="32"/>
        </w:rPr>
        <w:t>申报材料进行实质审核。</w:t>
      </w:r>
    </w:p>
    <w:p>
      <w:pPr>
        <w:pStyle w:val="11"/>
        <w:widowControl/>
        <w:shd w:val="clear" w:color="auto" w:fill="FFFFFF"/>
        <w:spacing w:beforeAutospacing="0" w:afterAutospacing="0" w:line="54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11"/>
        <w:widowControl/>
        <w:shd w:val="clear" w:color="auto" w:fill="FFFFFF"/>
        <w:spacing w:beforeAutospacing="0" w:afterAutospacing="0" w:line="54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专家评审：</w:t>
      </w:r>
      <w:r>
        <w:rPr>
          <w:rFonts w:hint="eastAsia" w:ascii="仿宋_GB2312" w:hAnsi="仿宋_GB2312" w:eastAsia="仿宋_GB2312" w:cs="仿宋_GB2312"/>
          <w:color w:val="000000"/>
          <w:kern w:val="2"/>
          <w:sz w:val="32"/>
          <w:szCs w:val="32"/>
        </w:rPr>
        <w:t>经开区城市运行局组织专家线下对申报材料进行评审，同时勘察现场，评审后将结果上传到系统。</w:t>
      </w:r>
    </w:p>
    <w:p>
      <w:pPr>
        <w:pStyle w:val="11"/>
        <w:widowControl/>
        <w:shd w:val="clear" w:color="auto" w:fill="FFFFFF"/>
        <w:spacing w:beforeAutospacing="0" w:afterAutospacing="0" w:line="54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确定支持结果</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sz w:val="32"/>
          <w:szCs w:val="32"/>
        </w:rPr>
        <w:t>经开区城市运行局</w:t>
      </w:r>
      <w:r>
        <w:rPr>
          <w:rFonts w:hint="eastAsia" w:ascii="仿宋_GB2312" w:hAnsi="仿宋_GB2312" w:eastAsia="仿宋_GB2312" w:cs="仿宋_GB2312"/>
          <w:color w:val="000000"/>
          <w:kern w:val="2"/>
          <w:sz w:val="32"/>
          <w:szCs w:val="32"/>
        </w:rPr>
        <w:t>对审核通过的申报主体拟定兑现</w:t>
      </w:r>
      <w:r>
        <w:rPr>
          <w:rFonts w:hint="eastAsia" w:ascii="仿宋_GB2312" w:hAnsi="仿宋_GB2312" w:eastAsia="仿宋_GB2312" w:cs="仿宋_GB2312"/>
          <w:color w:val="000000"/>
          <w:kern w:val="2"/>
          <w:sz w:val="32"/>
          <w:szCs w:val="32"/>
          <w:lang w:eastAsia="zh-CN"/>
        </w:rPr>
        <w:t>支</w:t>
      </w:r>
      <w:r>
        <w:rPr>
          <w:rFonts w:hint="eastAsia" w:ascii="仿宋_GB2312" w:hAnsi="仿宋_GB2312" w:eastAsia="仿宋_GB2312" w:cs="仿宋_GB2312"/>
          <w:color w:val="000000"/>
          <w:kern w:val="2"/>
          <w:sz w:val="32"/>
          <w:szCs w:val="32"/>
        </w:rPr>
        <w:t>持奖励金额</w:t>
      </w:r>
      <w:r>
        <w:rPr>
          <w:rFonts w:hint="eastAsia" w:ascii="仿宋_GB2312" w:hAnsi="仿宋_GB2312" w:eastAsia="仿宋_GB2312" w:cs="仿宋_GB2312"/>
          <w:color w:val="000000"/>
          <w:sz w:val="32"/>
          <w:szCs w:val="32"/>
        </w:rPr>
        <w:t>。</w:t>
      </w:r>
    </w:p>
    <w:p>
      <w:pPr>
        <w:pStyle w:val="11"/>
        <w:widowControl/>
        <w:shd w:val="clear" w:color="auto" w:fill="FFFFFF"/>
        <w:spacing w:beforeAutospacing="0" w:afterAutospacing="0" w:line="54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：经开区城市运行局通过政策兑现综合服务平台对审核通过的申报主体进行公示。</w:t>
      </w:r>
    </w:p>
    <w:p>
      <w:pPr>
        <w:pStyle w:val="11"/>
        <w:widowControl/>
        <w:shd w:val="clear" w:color="auto" w:fill="FFFFFF"/>
        <w:spacing w:beforeAutospacing="0" w:afterAutospacing="0" w:line="54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pPr>
        <w:spacing w:line="54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4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经开区城市运行局</w:t>
      </w:r>
    </w:p>
    <w:p>
      <w:pPr>
        <w:spacing w:line="54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4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年4月1</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日至2024年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0日。</w:t>
      </w:r>
    </w:p>
    <w:p>
      <w:pPr>
        <w:spacing w:line="54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40" w:lineRule="exact"/>
        <w:ind w:firstLine="640" w:firstLineChars="200"/>
        <w:rPr>
          <w:rFonts w:eastAsia="仿宋_GB2312"/>
          <w:sz w:val="32"/>
          <w:szCs w:val="32"/>
        </w:rPr>
      </w:pPr>
      <w:r>
        <w:rPr>
          <w:rFonts w:hint="eastAsia" w:eastAsia="仿宋_GB2312"/>
          <w:sz w:val="32"/>
          <w:szCs w:val="32"/>
        </w:rPr>
        <w:t>政策咨询：</w:t>
      </w:r>
    </w:p>
    <w:p>
      <w:pPr>
        <w:spacing w:line="54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40" w:lineRule="exact"/>
        <w:ind w:firstLine="640" w:firstLineChars="200"/>
        <w:rPr>
          <w:rFonts w:eastAsia="仿宋_GB2312"/>
          <w:sz w:val="32"/>
          <w:szCs w:val="32"/>
        </w:rPr>
      </w:pPr>
      <w:r>
        <w:rPr>
          <w:rFonts w:hint="eastAsia" w:eastAsia="仿宋_GB2312"/>
          <w:sz w:val="32"/>
          <w:szCs w:val="32"/>
        </w:rPr>
        <w:t>经开区城市运行局</w:t>
      </w:r>
      <w:r>
        <w:rPr>
          <w:rFonts w:hint="eastAsia" w:ascii="仿宋_GB2312" w:hAnsi="仿宋_GB2312" w:eastAsia="仿宋_GB2312" w:cs="仿宋_GB2312"/>
          <w:sz w:val="32"/>
          <w:szCs w:val="32"/>
        </w:rPr>
        <w:t>，联系电话：010-67817352，工作日上午9:00—12:00，下午2:00—6:00。</w:t>
      </w:r>
    </w:p>
    <w:p>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技术支持：</w:t>
      </w:r>
    </w:p>
    <w:p>
      <w:pPr>
        <w:spacing w:line="54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spacing w:line="54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4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bookmarkStart w:id="9" w:name="_GoBack"/>
      <w:bookmarkEnd w:id="9"/>
    </w:p>
    <w:p>
      <w:pPr>
        <w:spacing w:line="54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无</w:t>
      </w:r>
      <w:bookmarkEnd w:id="0"/>
      <w:bookmarkEnd w:id="1"/>
      <w:bookmarkEnd w:id="2"/>
      <w:bookmarkEnd w:id="3"/>
    </w:p>
    <w:sectPr>
      <w:footerReference r:id="rId3" w:type="default"/>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6122713"/>
    </w:sdtPr>
    <w:sdtContent>
      <w:p>
        <w:pPr>
          <w:pStyle w:val="9"/>
          <w:jc w:val="center"/>
        </w:pPr>
        <w:r>
          <w:rPr>
            <w:rFonts w:ascii="宋体" w:hAnsi="宋体"/>
            <w:sz w:val="24"/>
            <w:szCs w:val="24"/>
          </w:rPr>
          <w:fldChar w:fldCharType="begin"/>
        </w:r>
        <w:r>
          <w:rPr>
            <w:rFonts w:ascii="宋体" w:hAnsi="宋体"/>
            <w:sz w:val="24"/>
            <w:szCs w:val="24"/>
          </w:rPr>
          <w:instrText xml:space="preserve">PAGE   \* MERGEFORMAT</w:instrText>
        </w:r>
        <w:r>
          <w:rPr>
            <w:rFonts w:ascii="宋体" w:hAnsi="宋体"/>
            <w:sz w:val="24"/>
            <w:szCs w:val="24"/>
          </w:rPr>
          <w:fldChar w:fldCharType="separate"/>
        </w:r>
        <w:r>
          <w:rPr>
            <w:rFonts w:ascii="宋体" w:hAnsi="宋体"/>
            <w:sz w:val="24"/>
            <w:szCs w:val="24"/>
            <w:lang w:val="zh-CN"/>
          </w:rPr>
          <w:t>2</w:t>
        </w:r>
        <w:r>
          <w:rPr>
            <w:rFonts w:ascii="宋体" w:hAnsi="宋体"/>
            <w:sz w:val="24"/>
            <w:szCs w:val="24"/>
          </w:rPr>
          <w:fldChar w:fldCharType="end"/>
        </w:r>
      </w:p>
    </w:sdtContent>
  </w:sdt>
  <w:p>
    <w:pPr>
      <w:pStyle w:val="9"/>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IxMmJiM2MxYmEyOGY2MWQzNDY1ZmU5Y2EwYzkzOTEifQ=="/>
  </w:docVars>
  <w:rsids>
    <w:rsidRoot w:val="00C6539C"/>
    <w:rsid w:val="0007273D"/>
    <w:rsid w:val="00122485"/>
    <w:rsid w:val="001E7247"/>
    <w:rsid w:val="00200343"/>
    <w:rsid w:val="00267DF8"/>
    <w:rsid w:val="00312251"/>
    <w:rsid w:val="00313952"/>
    <w:rsid w:val="00343FED"/>
    <w:rsid w:val="00375630"/>
    <w:rsid w:val="004167C5"/>
    <w:rsid w:val="00452B92"/>
    <w:rsid w:val="004E690E"/>
    <w:rsid w:val="005020EC"/>
    <w:rsid w:val="0060339F"/>
    <w:rsid w:val="00680540"/>
    <w:rsid w:val="00711CFE"/>
    <w:rsid w:val="00781067"/>
    <w:rsid w:val="008616D9"/>
    <w:rsid w:val="00942E33"/>
    <w:rsid w:val="00A3670B"/>
    <w:rsid w:val="00AA65B5"/>
    <w:rsid w:val="00B155D0"/>
    <w:rsid w:val="00B174E8"/>
    <w:rsid w:val="00B562EB"/>
    <w:rsid w:val="00BE5B2F"/>
    <w:rsid w:val="00C6539C"/>
    <w:rsid w:val="00CC425A"/>
    <w:rsid w:val="00D029CF"/>
    <w:rsid w:val="00D96FAD"/>
    <w:rsid w:val="00E46016"/>
    <w:rsid w:val="00EE24E5"/>
    <w:rsid w:val="00EE52D6"/>
    <w:rsid w:val="00F03682"/>
    <w:rsid w:val="00F960C3"/>
    <w:rsid w:val="00FD2C44"/>
    <w:rsid w:val="00FF45BC"/>
    <w:rsid w:val="02003325"/>
    <w:rsid w:val="039223D5"/>
    <w:rsid w:val="05701363"/>
    <w:rsid w:val="05B01CB8"/>
    <w:rsid w:val="05D21D0E"/>
    <w:rsid w:val="07F9103A"/>
    <w:rsid w:val="09CB6FEC"/>
    <w:rsid w:val="0C6C6768"/>
    <w:rsid w:val="0ED54C3F"/>
    <w:rsid w:val="0FB64031"/>
    <w:rsid w:val="1057341E"/>
    <w:rsid w:val="1183680A"/>
    <w:rsid w:val="131121ED"/>
    <w:rsid w:val="145E3472"/>
    <w:rsid w:val="16B30D35"/>
    <w:rsid w:val="1B604D25"/>
    <w:rsid w:val="1C84373B"/>
    <w:rsid w:val="1CD12F5E"/>
    <w:rsid w:val="1D9A259A"/>
    <w:rsid w:val="1EB36229"/>
    <w:rsid w:val="20C4577A"/>
    <w:rsid w:val="21BA10EA"/>
    <w:rsid w:val="23326DC1"/>
    <w:rsid w:val="23D32A63"/>
    <w:rsid w:val="2479568D"/>
    <w:rsid w:val="24946176"/>
    <w:rsid w:val="25F65E2E"/>
    <w:rsid w:val="27F21621"/>
    <w:rsid w:val="290925BC"/>
    <w:rsid w:val="2BE57B66"/>
    <w:rsid w:val="2C6A1831"/>
    <w:rsid w:val="30A72C8F"/>
    <w:rsid w:val="344812B4"/>
    <w:rsid w:val="347148A6"/>
    <w:rsid w:val="359F76AC"/>
    <w:rsid w:val="35B53FBD"/>
    <w:rsid w:val="36F23C47"/>
    <w:rsid w:val="37D449E8"/>
    <w:rsid w:val="384E3268"/>
    <w:rsid w:val="385143A2"/>
    <w:rsid w:val="39562091"/>
    <w:rsid w:val="3A203180"/>
    <w:rsid w:val="3B226FE4"/>
    <w:rsid w:val="3C303B58"/>
    <w:rsid w:val="3DAB57E6"/>
    <w:rsid w:val="3F016A58"/>
    <w:rsid w:val="3F2D6AD3"/>
    <w:rsid w:val="3FCC5D8E"/>
    <w:rsid w:val="40660DE4"/>
    <w:rsid w:val="40E6510E"/>
    <w:rsid w:val="42A761FE"/>
    <w:rsid w:val="42BC1B70"/>
    <w:rsid w:val="43A322EA"/>
    <w:rsid w:val="45F145FA"/>
    <w:rsid w:val="462875DA"/>
    <w:rsid w:val="46D34284"/>
    <w:rsid w:val="47C36906"/>
    <w:rsid w:val="497B5257"/>
    <w:rsid w:val="49F2635D"/>
    <w:rsid w:val="4A2B4DA2"/>
    <w:rsid w:val="4AA57E22"/>
    <w:rsid w:val="4B276AF2"/>
    <w:rsid w:val="4B31251E"/>
    <w:rsid w:val="4BC4671E"/>
    <w:rsid w:val="4D152E59"/>
    <w:rsid w:val="4D2D2074"/>
    <w:rsid w:val="516627E1"/>
    <w:rsid w:val="52E46243"/>
    <w:rsid w:val="53C472FE"/>
    <w:rsid w:val="54BF26A4"/>
    <w:rsid w:val="561817EF"/>
    <w:rsid w:val="56A33F7F"/>
    <w:rsid w:val="59E60A81"/>
    <w:rsid w:val="5AD00BAC"/>
    <w:rsid w:val="616D3BE9"/>
    <w:rsid w:val="61BB243B"/>
    <w:rsid w:val="655D40E3"/>
    <w:rsid w:val="66620D56"/>
    <w:rsid w:val="67E95BA3"/>
    <w:rsid w:val="68AC6419"/>
    <w:rsid w:val="690C4B90"/>
    <w:rsid w:val="692D0629"/>
    <w:rsid w:val="6A11019F"/>
    <w:rsid w:val="6AB972F3"/>
    <w:rsid w:val="6C4C7DC1"/>
    <w:rsid w:val="6C7B6AC8"/>
    <w:rsid w:val="6F154FDE"/>
    <w:rsid w:val="6F8312B7"/>
    <w:rsid w:val="71F046E7"/>
    <w:rsid w:val="72BD088B"/>
    <w:rsid w:val="742930CA"/>
    <w:rsid w:val="75E25F84"/>
    <w:rsid w:val="7A2E1C6F"/>
    <w:rsid w:val="7A83519C"/>
    <w:rsid w:val="7B020E99"/>
    <w:rsid w:val="7B264BEC"/>
    <w:rsid w:val="7B6A5853"/>
    <w:rsid w:val="7DA718F4"/>
    <w:rsid w:val="7DB87774"/>
    <w:rsid w:val="7DF67C7C"/>
    <w:rsid w:val="7F0843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line="560" w:lineRule="exact"/>
      <w:ind w:firstLine="629"/>
      <w:outlineLvl w:val="0"/>
    </w:pPr>
    <w:rPr>
      <w:rFonts w:eastAsia="黑体"/>
      <w:b/>
      <w:kern w:val="44"/>
    </w:rPr>
  </w:style>
  <w:style w:type="paragraph" w:styleId="4">
    <w:name w:val="heading 2"/>
    <w:basedOn w:val="1"/>
    <w:next w:val="1"/>
    <w:semiHidden/>
    <w:unhideWhenUsed/>
    <w:qFormat/>
    <w:uiPriority w:val="0"/>
    <w:pPr>
      <w:keepNext/>
      <w:keepLines/>
      <w:spacing w:line="560" w:lineRule="exact"/>
      <w:outlineLvl w:val="1"/>
    </w:pPr>
    <w:rPr>
      <w:rFonts w:ascii="Arial" w:hAnsi="Arial" w:eastAsia="楷体_GB2312"/>
    </w:rPr>
  </w:style>
  <w:style w:type="paragraph" w:styleId="5">
    <w:name w:val="heading 3"/>
    <w:basedOn w:val="1"/>
    <w:next w:val="1"/>
    <w:semiHidden/>
    <w:unhideWhenUsed/>
    <w:qFormat/>
    <w:uiPriority w:val="0"/>
    <w:pPr>
      <w:keepNext/>
      <w:keepLines/>
      <w:spacing w:line="560" w:lineRule="exact"/>
      <w:outlineLvl w:val="2"/>
    </w:pPr>
  </w:style>
  <w:style w:type="paragraph" w:styleId="2">
    <w:name w:val="heading 4"/>
    <w:basedOn w:val="1"/>
    <w:next w:val="1"/>
    <w:semiHidden/>
    <w:unhideWhenUsed/>
    <w:qFormat/>
    <w:uiPriority w:val="0"/>
    <w:pPr>
      <w:keepNext/>
      <w:keepLines/>
      <w:spacing w:line="560" w:lineRule="exact"/>
      <w:outlineLvl w:val="3"/>
    </w:pPr>
    <w:rPr>
      <w:rFonts w:ascii="Cambria" w:hAnsi="Cambria" w:eastAsia="仿宋_GB2312" w:cstheme="minorBidi"/>
      <w:b/>
      <w:bCs/>
      <w:sz w:val="32"/>
      <w:szCs w:val="28"/>
    </w:rPr>
  </w:style>
  <w:style w:type="paragraph" w:styleId="6">
    <w:name w:val="heading 5"/>
    <w:basedOn w:val="1"/>
    <w:next w:val="1"/>
    <w:semiHidden/>
    <w:unhideWhenUsed/>
    <w:qFormat/>
    <w:uiPriority w:val="0"/>
    <w:pPr>
      <w:keepNext/>
      <w:keepLines/>
      <w:spacing w:line="560" w:lineRule="exact"/>
      <w:outlineLvl w:val="4"/>
    </w:pPr>
    <w:rPr>
      <w:rFonts w:eastAsia="仿宋_GB2312"/>
      <w:b/>
      <w:sz w:val="32"/>
      <w:szCs w:val="2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Layout w:type="fixed"/>
      <w:tblCellMar>
        <w:top w:w="0" w:type="dxa"/>
        <w:left w:w="108" w:type="dxa"/>
        <w:bottom w:w="0" w:type="dxa"/>
        <w:right w:w="108" w:type="dxa"/>
      </w:tblCellMar>
    </w:tblPr>
  </w:style>
  <w:style w:type="paragraph" w:styleId="7">
    <w:name w:val="annotation text"/>
    <w:basedOn w:val="1"/>
    <w:qFormat/>
    <w:uiPriority w:val="0"/>
    <w:pPr>
      <w:jc w:val="left"/>
    </w:pPr>
  </w:style>
  <w:style w:type="paragraph" w:styleId="8">
    <w:name w:val="Body Text"/>
    <w:basedOn w:val="1"/>
    <w:qFormat/>
    <w:uiPriority w:val="1"/>
    <w:rPr>
      <w:rFonts w:ascii="仿宋_GB2312" w:hAnsi="仿宋_GB2312" w:eastAsia="仿宋_GB2312" w:cs="仿宋_GB2312"/>
      <w:sz w:val="32"/>
      <w:szCs w:val="32"/>
    </w:rPr>
  </w:style>
  <w:style w:type="paragraph" w:styleId="9">
    <w:name w:val="footer"/>
    <w:basedOn w:val="1"/>
    <w:link w:val="16"/>
    <w:qFormat/>
    <w:uiPriority w:val="99"/>
    <w:pPr>
      <w:tabs>
        <w:tab w:val="center" w:pos="4153"/>
        <w:tab w:val="right" w:pos="8306"/>
      </w:tabs>
      <w:snapToGrid w:val="0"/>
      <w:jc w:val="left"/>
    </w:pPr>
    <w:rPr>
      <w:sz w:val="18"/>
      <w:szCs w:val="18"/>
    </w:rPr>
  </w:style>
  <w:style w:type="paragraph" w:styleId="10">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spacing w:beforeAutospacing="1" w:afterAutospacing="1"/>
      <w:jc w:val="left"/>
    </w:pPr>
    <w:rPr>
      <w:kern w:val="0"/>
      <w:sz w:val="24"/>
    </w:rPr>
  </w:style>
  <w:style w:type="table" w:customStyle="1" w:styleId="14">
    <w:name w:val="网格型1"/>
    <w:basedOn w:val="12"/>
    <w:qFormat/>
    <w:uiPriority w:val="59"/>
    <w:rPr>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15">
    <w:name w:val="页眉 字符"/>
    <w:basedOn w:val="13"/>
    <w:link w:val="10"/>
    <w:qFormat/>
    <w:uiPriority w:val="0"/>
    <w:rPr>
      <w:rFonts w:ascii="Times New Roman" w:hAnsi="Times New Roman" w:eastAsia="宋体" w:cs="Times New Roman"/>
      <w:kern w:val="2"/>
      <w:sz w:val="18"/>
      <w:szCs w:val="18"/>
    </w:rPr>
  </w:style>
  <w:style w:type="character" w:customStyle="1" w:styleId="16">
    <w:name w:val="页脚 字符"/>
    <w:basedOn w:val="13"/>
    <w:link w:val="9"/>
    <w:qFormat/>
    <w:uiPriority w:val="99"/>
    <w:rPr>
      <w:rFonts w:ascii="Times New Roman" w:hAnsi="Times New Roman" w:eastAsia="宋体" w:cs="Times New Roman"/>
      <w:kern w:val="2"/>
      <w:sz w:val="18"/>
      <w:szCs w:val="18"/>
    </w:rPr>
  </w:style>
  <w:style w:type="paragraph" w:customStyle="1" w:styleId="17">
    <w:name w:val="修订1"/>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BCE2BFA-D725-4D3C-8B90-5FCE0BBF5026}">
  <ds:schemaRefs/>
</ds:datastoreItem>
</file>

<file path=docProps/app.xml><?xml version="1.0" encoding="utf-8"?>
<Properties xmlns="http://schemas.openxmlformats.org/officeDocument/2006/extended-properties" xmlns:vt="http://schemas.openxmlformats.org/officeDocument/2006/docPropsVTypes">
  <Template>Normal</Template>
  <Pages>6</Pages>
  <Words>353</Words>
  <Characters>2016</Characters>
  <Lines>16</Lines>
  <Paragraphs>4</Paragraphs>
  <TotalTime>108</TotalTime>
  <ScaleCrop>false</ScaleCrop>
  <LinksUpToDate>false</LinksUpToDate>
  <CharactersWithSpaces>2365</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2024-03-26T15:48:00Z</dcterms:created>
  <dc:creator>办公用</dc:creator>
  <cp:lastModifiedBy>Administrator</cp:lastModifiedBy>
  <dcterms:modified xsi:type="dcterms:W3CDTF">2024-04-08T09:58:21Z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EADEC41659C54B1387320EDDCC5B8564_13</vt:lpwstr>
  </property>
</Properties>
</file>