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简体" w:hAnsi="黑体" w:eastAsia="方正小标宋简体"/>
          <w:sz w:val="44"/>
          <w:szCs w:val="44"/>
          <w:lang w:eastAsia="zh-CN"/>
        </w:rPr>
      </w:pPr>
      <w:bookmarkStart w:id="0" w:name="OLE_LINK1"/>
      <w:r>
        <w:rPr>
          <w:rFonts w:hint="eastAsia" w:ascii="方正小标宋简体" w:hAnsi="方正小标宋简体" w:eastAsia="方正小标宋简体" w:cs="方正小标宋简体"/>
          <w:color w:val="auto"/>
          <w:sz w:val="44"/>
          <w:szCs w:val="44"/>
          <w:lang w:eastAsia="zh-CN"/>
        </w:rPr>
        <w:t>《</w:t>
      </w:r>
      <w:bookmarkEnd w:id="0"/>
      <w:r>
        <w:rPr>
          <w:rFonts w:hint="eastAsia" w:ascii="方正小标宋简体" w:hAnsi="方正小标宋简体" w:eastAsia="方正小标宋简体" w:cs="方正小标宋简体"/>
          <w:color w:val="auto"/>
          <w:sz w:val="44"/>
          <w:szCs w:val="44"/>
        </w:rPr>
        <w:t>北京经济技术开发区关于开展“沙盒审批”试点的工作方案（试行）</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lang w:val="en-US" w:eastAsia="zh-CN"/>
        </w:rPr>
        <w:t>征求意见稿</w:t>
      </w:r>
      <w:r>
        <w:rPr>
          <w:rFonts w:hint="eastAsia" w:ascii="方正小标宋简体" w:hAnsi="黑体" w:eastAsia="方正小标宋简体"/>
          <w:sz w:val="44"/>
          <w:szCs w:val="44"/>
          <w:lang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起草</w:t>
      </w:r>
      <w:r>
        <w:rPr>
          <w:rFonts w:hint="eastAsia" w:ascii="黑体" w:hAnsi="黑体" w:eastAsia="黑体" w:cs="黑体"/>
          <w:sz w:val="32"/>
          <w:szCs w:val="32"/>
          <w:lang w:eastAsia="zh-CN"/>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落实2026年北京市政府职能转变重点工作任务、北京经济技术开发区（以下简称“经开区”）年度工作要点中关于“探索开展沙盒审批”的工作要求，持续深化“放管服”改革、加快推进政府职能转变，健全新业态、新产业、新模式、新技术（以下简称“四新”）包容审慎监管与审批服务机制，进一步激发区内市场主体创新活力，经开区行政审批局组织起草了《北京经济技术开发区关于开展“沙盒审批”试点的工作方案（试行）</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征求意见稿</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政策起草时主要依据《优化营商环境条例》（国令第722号），以及中共中央办公厅、国务院办公厅《关于完善市场准入制度的意见》相关</w:t>
      </w:r>
      <w:r>
        <w:rPr>
          <w:rFonts w:hint="eastAsia" w:ascii="仿宋_GB2312" w:hAnsi="仿宋_GB2312" w:cs="仿宋_GB2312"/>
          <w:sz w:val="32"/>
          <w:szCs w:val="32"/>
          <w:highlight w:val="none"/>
          <w:lang w:val="en-US" w:eastAsia="zh-CN"/>
        </w:rPr>
        <w:t>规定及</w:t>
      </w:r>
      <w:r>
        <w:rPr>
          <w:rFonts w:hint="eastAsia" w:ascii="仿宋_GB2312" w:hAnsi="仿宋_GB2312" w:eastAsia="仿宋_GB2312" w:cs="仿宋_GB2312"/>
          <w:sz w:val="32"/>
          <w:szCs w:val="32"/>
          <w:highlight w:val="none"/>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lang w:val="en-US" w:eastAsia="zh-CN"/>
        </w:rPr>
        <w:t>的编制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经开区行政审批局在改革总体目标定位和</w:t>
      </w:r>
      <w:r>
        <w:rPr>
          <w:rFonts w:hint="eastAsia" w:ascii="仿宋_GB2312" w:hAnsi="仿宋_GB2312" w:cs="仿宋_GB2312"/>
          <w:sz w:val="32"/>
          <w:szCs w:val="32"/>
          <w:lang w:val="en-US" w:eastAsia="zh-CN"/>
        </w:rPr>
        <w:t>区内“四新”企业专项</w:t>
      </w:r>
      <w:r>
        <w:rPr>
          <w:rFonts w:hint="eastAsia" w:ascii="仿宋_GB2312" w:hAnsi="仿宋_GB2312" w:eastAsia="仿宋_GB2312" w:cs="仿宋_GB2312"/>
          <w:sz w:val="32"/>
          <w:szCs w:val="32"/>
          <w:lang w:val="en-US" w:eastAsia="zh-CN"/>
        </w:rPr>
        <w:t>调研的基础上，</w:t>
      </w:r>
      <w:r>
        <w:rPr>
          <w:rFonts w:hint="eastAsia" w:ascii="仿宋_GB2312" w:hAnsi="仿宋_GB2312" w:cs="仿宋_GB2312"/>
          <w:szCs w:val="32"/>
        </w:rPr>
        <w:t>多轮征求区内行业主管部门、综合执法局、营商环境局等部门意见建议</w:t>
      </w:r>
      <w:r>
        <w:rPr>
          <w:rFonts w:hint="eastAsia" w:ascii="仿宋_GB2312" w:hAnsi="仿宋_GB2312" w:cs="仿宋_GB2312"/>
          <w:szCs w:val="32"/>
          <w:lang w:eastAsia="zh-CN"/>
        </w:rPr>
        <w:t>，</w:t>
      </w:r>
      <w:r>
        <w:rPr>
          <w:rFonts w:hint="eastAsia" w:ascii="仿宋_GB2312" w:hAnsi="仿宋_GB2312" w:cs="仿宋_GB2312"/>
          <w:sz w:val="32"/>
          <w:szCs w:val="32"/>
          <w:lang w:val="en-US" w:eastAsia="zh-CN"/>
        </w:rPr>
        <w:t>起草了</w:t>
      </w:r>
      <w:r>
        <w:rPr>
          <w:rFonts w:hint="eastAsia" w:ascii="仿宋_GB2312" w:hAnsi="仿宋_GB2312" w:eastAsia="仿宋_GB2312" w:cs="仿宋_GB2312"/>
          <w:sz w:val="32"/>
          <w:szCs w:val="32"/>
          <w:lang w:val="en-US" w:eastAsia="zh-CN"/>
        </w:rPr>
        <w:t>《工作方案》讨论稿</w:t>
      </w:r>
      <w:r>
        <w:rPr>
          <w:rFonts w:hint="eastAsia" w:ascii="仿宋_GB2312" w:hAnsi="仿宋_GB2312" w:cs="仿宋_GB2312"/>
          <w:sz w:val="32"/>
          <w:szCs w:val="32"/>
          <w:lang w:val="en-US" w:eastAsia="zh-CN"/>
        </w:rPr>
        <w:t>，充分征求相关部门的意见建议</w:t>
      </w:r>
      <w:r>
        <w:rPr>
          <w:rFonts w:hint="eastAsia" w:ascii="仿宋_GB2312" w:eastAsia="仿宋_GB2312"/>
          <w:sz w:val="32"/>
          <w:szCs w:val="32"/>
          <w:lang w:val="en-US" w:eastAsia="zh-CN"/>
        </w:rPr>
        <w:t>，</w:t>
      </w:r>
      <w:r>
        <w:rPr>
          <w:rFonts w:hint="eastAsia" w:ascii="仿宋_GB2312"/>
          <w:sz w:val="32"/>
          <w:szCs w:val="32"/>
          <w:highlight w:val="none"/>
          <w:lang w:val="en-US" w:eastAsia="zh-CN"/>
        </w:rPr>
        <w:t>报主任</w:t>
      </w:r>
      <w:r>
        <w:rPr>
          <w:rFonts w:hint="eastAsia" w:ascii="仿宋_GB2312" w:hAnsi="仿宋_GB2312" w:cs="仿宋_GB2312"/>
          <w:szCs w:val="32"/>
          <w:highlight w:val="none"/>
        </w:rPr>
        <w:t>专题会审议通过</w:t>
      </w:r>
      <w:r>
        <w:rPr>
          <w:rFonts w:hint="eastAsia" w:ascii="仿宋_GB2312" w:hAnsi="仿宋_GB2312" w:cs="仿宋_GB2312"/>
          <w:szCs w:val="32"/>
          <w:highlight w:val="none"/>
          <w:lang w:val="en-US" w:eastAsia="zh-CN"/>
        </w:rPr>
        <w:t>后</w:t>
      </w:r>
      <w:r>
        <w:rPr>
          <w:rFonts w:hint="eastAsia" w:ascii="仿宋_GB2312" w:hAnsi="仿宋_GB2312" w:cs="仿宋_GB2312"/>
          <w:szCs w:val="32"/>
          <w:lang w:val="en-US" w:eastAsia="zh-CN"/>
        </w:rPr>
        <w:t>，</w:t>
      </w:r>
      <w:r>
        <w:rPr>
          <w:rFonts w:hint="eastAsia" w:ascii="仿宋_GB2312" w:hAnsi="仿宋_GB2312" w:cs="仿宋_GB2312"/>
          <w:sz w:val="32"/>
          <w:szCs w:val="32"/>
          <w:lang w:val="en-US" w:eastAsia="zh-CN"/>
        </w:rPr>
        <w:t>最终形成了</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lang w:val="en-US" w:eastAsia="zh-CN"/>
        </w:rPr>
        <w:t>征求意见</w:t>
      </w:r>
      <w:r>
        <w:rPr>
          <w:rFonts w:hint="eastAsia" w:ascii="仿宋_GB2312" w:hAnsi="仿宋_GB2312" w:eastAsia="仿宋_GB2312" w:cs="仿宋_GB2312"/>
          <w:b w:val="0"/>
          <w:bCs w:val="0"/>
          <w:sz w:val="32"/>
          <w:szCs w:val="32"/>
          <w:lang w:val="en-US" w:eastAsia="zh-CN"/>
        </w:rPr>
        <w:t>稿。</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、主要内容</w:t>
      </w:r>
      <w:r>
        <w:rPr>
          <w:rFonts w:hint="eastAsia" w:ascii="黑体" w:hAnsi="黑体" w:eastAsia="黑体"/>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工作</w:t>
      </w:r>
      <w:r>
        <w:rPr>
          <w:rFonts w:hint="eastAsia" w:ascii="仿宋_GB2312" w:hAnsi="仿宋_GB2312" w:eastAsia="仿宋_GB2312" w:cs="仿宋_GB2312"/>
          <w:sz w:val="32"/>
          <w:szCs w:val="32"/>
          <w:highlight w:val="none"/>
          <w:lang w:eastAsia="zh-CN"/>
        </w:rPr>
        <w:t>方案</w:t>
      </w:r>
      <w:r>
        <w:rPr>
          <w:rFonts w:hint="eastAsia" w:ascii="仿宋_GB2312" w:hAnsi="仿宋_GB2312" w:eastAsia="仿宋_GB2312" w:cs="仿宋_GB2312"/>
          <w:sz w:val="32"/>
          <w:szCs w:val="32"/>
          <w:highlight w:val="none"/>
        </w:rPr>
        <w:t>》共</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大部分</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对“沙盒审批”改革的总体要求、定义、申请主体、部门职责、工作程序、工作要求和负责进行了说明。</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（一）总体要求和定义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要求方面，坚持统筹发展和安全，坚守安全底线，立足经开区产业发展定位，以优化审批模式为突破口，为“四新”市场主体营造安全可控的创新发展空间。坚持稳慎探索原则，健全风险动态评估与问题调整退出机制，确保试点全链条风险可控。定义方面，沙盒审批是指通过划定风险可控的“安全试错空间”（即“沙盒”），在严守安全底线、筑牢风险防线的基础上，允许与当前条件标准、技术规范不一致，或暂无相关技术规范明确要求的创新产品、服务及商业模式等，在“盒内”开展合规试验的创新审批模式。</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（二）申请主体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于亦庄新城范围内从事“四新”业态、涉及经开区管委会履职行权范围内准入准营事项的各类市场主体及经营行为，可单独申请，也可联合申请。同时设定准入红线，沙盒试点内容必须符合法律法规要求，确保安全风险可控，不得危害人民群众生命财产安全与国家安全。</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（三）部门职责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行政审批局作为沙盒审批工作的牵头单位，负责统筹沙盒审批全流程组织实施、协调推进。行业主管部门、综合执法局作为配合单位，承担沙盒试点运行期间的监管、执法职责。</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（四）工作程序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沙盒审批工作遵循规范有序、全程可控的原则，主要包括入盒申请、符合性审查、沙盒试验、出盒审批等环节。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1.入盒申请。</w:t>
      </w:r>
      <w:r>
        <w:rPr>
          <w:rFonts w:hint="eastAsia" w:ascii="仿宋_GB2312" w:hAnsi="仿宋_GB2312" w:eastAsia="仿宋_GB2312" w:cs="仿宋_GB2312"/>
          <w:sz w:val="32"/>
          <w:szCs w:val="32"/>
          <w:lang w:val="en-US" w:eastAsia="zh-CN"/>
        </w:rPr>
        <w:t>申请主体向行政审批局提交试点申请及相关材料，由行政审批局统一做好材料指导与受理初审工作。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2.符合性审查。</w:t>
      </w:r>
      <w:r>
        <w:rPr>
          <w:rFonts w:hint="eastAsia" w:ascii="仿宋_GB2312" w:hAnsi="仿宋_GB2312" w:eastAsia="仿宋_GB2312" w:cs="仿宋_GB2312"/>
          <w:sz w:val="32"/>
          <w:szCs w:val="32"/>
          <w:lang w:val="en-US" w:eastAsia="zh-CN"/>
        </w:rPr>
        <w:t>行政审批局组织相关行业主管部门、综合执法局，围绕申请项目的合规性、风险可控性、行业适配性等维度开展综合研判，核定是否属于沙盒审批适用范围、是否满足入盒条件。对已在本市其他区域开展创新试点并形成成熟方案的“四新”项目，可在报备后直接入盒试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3.沙盒试验。一是编制计划书，</w:t>
      </w:r>
      <w:r>
        <w:rPr>
          <w:rFonts w:hint="eastAsia" w:ascii="仿宋_GB2312" w:hAnsi="仿宋_GB2312" w:eastAsia="仿宋_GB2312" w:cs="仿宋_GB2312"/>
          <w:sz w:val="32"/>
          <w:szCs w:val="32"/>
          <w:lang w:val="en-US" w:eastAsia="zh-CN"/>
        </w:rPr>
        <w:t>申请主体须科学编制试点计划书，明确实施范围、运行周期、安全管理规范、风险防控与应急处置措施、退出终止条件等核心内容。</w:t>
      </w:r>
      <w:r>
        <w:rPr>
          <w:rFonts w:hint="eastAsia" w:ascii="仿宋_GB2312" w:hAnsi="仿宋_GB2312" w:eastAsia="仿宋_GB2312" w:cs="仿宋_GB2312"/>
          <w:b/>
          <w:bCs/>
          <w:sz w:val="32"/>
          <w:szCs w:val="32"/>
          <w:lang w:val="en-US" w:eastAsia="zh-CN"/>
        </w:rPr>
        <w:t>二是计划书评审，</w:t>
      </w:r>
      <w:r>
        <w:rPr>
          <w:rFonts w:hint="eastAsia" w:ascii="仿宋_GB2312" w:hAnsi="仿宋_GB2312" w:eastAsia="仿宋_GB2312" w:cs="仿宋_GB2312"/>
          <w:sz w:val="32"/>
          <w:szCs w:val="32"/>
          <w:lang w:val="en-US" w:eastAsia="zh-CN"/>
        </w:rPr>
        <w:t>行政审批局根据需要会同行业主管部门、综合执法局、第三方机构或相关领域专家等对计划书进行评审，决定是否同意开展试验性生产或运营。</w:t>
      </w:r>
      <w:r>
        <w:rPr>
          <w:rFonts w:hint="eastAsia" w:ascii="仿宋_GB2312" w:hAnsi="仿宋_GB2312" w:eastAsia="仿宋_GB2312" w:cs="仿宋_GB2312"/>
          <w:b/>
          <w:bCs/>
          <w:sz w:val="32"/>
          <w:szCs w:val="32"/>
          <w:lang w:val="en-US" w:eastAsia="zh-CN"/>
        </w:rPr>
        <w:t>三是试点实施，</w:t>
      </w:r>
      <w:r>
        <w:rPr>
          <w:rFonts w:hint="eastAsia" w:ascii="仿宋_GB2312" w:hAnsi="仿宋_GB2312" w:eastAsia="仿宋_GB2312" w:cs="仿宋_GB2312"/>
          <w:sz w:val="32"/>
          <w:szCs w:val="32"/>
          <w:lang w:val="en-US" w:eastAsia="zh-CN"/>
        </w:rPr>
        <w:t>评审同意后正式开展试点，申请主体应完整保存试点数据记录，确保过程可追溯，同时鼓励购买保险。</w:t>
      </w:r>
      <w:r>
        <w:rPr>
          <w:rFonts w:hint="eastAsia" w:ascii="仿宋_GB2312" w:hAnsi="仿宋_GB2312" w:eastAsia="仿宋_GB2312" w:cs="仿宋_GB2312"/>
          <w:b/>
          <w:bCs/>
          <w:sz w:val="32"/>
          <w:szCs w:val="32"/>
          <w:lang w:val="en-US" w:eastAsia="zh-CN"/>
        </w:rPr>
        <w:t>四是过程监督，</w:t>
      </w:r>
      <w:r>
        <w:rPr>
          <w:rFonts w:hint="eastAsia" w:ascii="仿宋_GB2312" w:hAnsi="仿宋_GB2312" w:eastAsia="仿宋_GB2312" w:cs="仿宋_GB2312"/>
          <w:sz w:val="32"/>
          <w:szCs w:val="32"/>
          <w:lang w:val="en-US" w:eastAsia="zh-CN"/>
        </w:rPr>
        <w:t>行政审批局会同行业主管部门、综合执法局实行全流程跟踪督导，按时间节点开展风险排查，确保试点安全有序、风险可控。</w:t>
      </w:r>
      <w:r>
        <w:rPr>
          <w:rFonts w:hint="eastAsia" w:ascii="仿宋_GB2312" w:hAnsi="仿宋_GB2312" w:eastAsia="仿宋_GB2312" w:cs="仿宋_GB2312"/>
          <w:b/>
          <w:bCs/>
          <w:sz w:val="32"/>
          <w:szCs w:val="32"/>
          <w:lang w:val="en-US" w:eastAsia="zh-CN"/>
        </w:rPr>
        <w:t>五是计划变更与终止，</w:t>
      </w:r>
      <w:r>
        <w:rPr>
          <w:rFonts w:hint="eastAsia" w:ascii="仿宋_GB2312" w:hAnsi="仿宋_GB2312" w:eastAsia="仿宋_GB2312" w:cs="仿宋_GB2312"/>
          <w:sz w:val="32"/>
          <w:szCs w:val="32"/>
          <w:lang w:val="en-US" w:eastAsia="zh-CN"/>
        </w:rPr>
        <w:t>申请主体试点期间因故需调整计划的，须提前报备并经行政审批局会同相关部门审核同意；可主动申请终止；发现重大隐患或未达预期效果的，监管部门可责令终止试点。终止后须停止相关生产运营活动，并妥善善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4.出盒审批。</w:t>
      </w:r>
      <w:r>
        <w:rPr>
          <w:rFonts w:hint="eastAsia" w:ascii="仿宋_GB2312" w:hAnsi="仿宋_GB2312" w:eastAsia="仿宋_GB2312" w:cs="仿宋_GB2312"/>
          <w:sz w:val="32"/>
          <w:szCs w:val="32"/>
          <w:lang w:val="en-US" w:eastAsia="zh-CN"/>
        </w:rPr>
        <w:t>完成既定试点任务并达到预期效果后，申请主体应提交出盒审批申请及试点总结报告。行政审批局会同相关部门组织出盒评审，根据评审结论依法依规办理后续准入手续或作出终止试点决定。</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一是强化安全监管，</w:t>
      </w:r>
      <w:r>
        <w:rPr>
          <w:rFonts w:hint="eastAsia" w:ascii="仿宋_GB2312" w:hAnsi="仿宋_GB2312" w:eastAsia="仿宋_GB2312" w:cs="仿宋_GB2312"/>
          <w:sz w:val="32"/>
          <w:szCs w:val="32"/>
          <w:lang w:val="en-US" w:eastAsia="zh-CN"/>
        </w:rPr>
        <w:t>确保沙盒内风险与外部环境有效隔离，风险严格管控在规定范围内；</w:t>
      </w:r>
      <w:r>
        <w:rPr>
          <w:rFonts w:hint="eastAsia" w:ascii="仿宋_GB2312" w:hAnsi="仿宋_GB2312" w:eastAsia="仿宋_GB2312" w:cs="仿宋_GB2312"/>
          <w:b/>
          <w:bCs/>
          <w:sz w:val="32"/>
          <w:szCs w:val="32"/>
          <w:lang w:val="en-US" w:eastAsia="zh-CN"/>
        </w:rPr>
        <w:t>二是压实企业主体责任，</w:t>
      </w:r>
      <w:r>
        <w:rPr>
          <w:rFonts w:hint="eastAsia" w:ascii="仿宋_GB2312" w:hAnsi="仿宋_GB2312" w:eastAsia="仿宋_GB2312" w:cs="仿宋_GB2312"/>
          <w:sz w:val="32"/>
          <w:szCs w:val="32"/>
          <w:lang w:val="en-US" w:eastAsia="zh-CN"/>
        </w:rPr>
        <w:t>入盒主体作为试点安全与合规运营第一责任人，须建立健全全流程内控管理、风险防控与应急处置体系，主动接受并配合监管部门全过程监督检查；</w:t>
      </w:r>
      <w:r>
        <w:rPr>
          <w:rFonts w:hint="eastAsia" w:ascii="仿宋_GB2312" w:hAnsi="仿宋_GB2312" w:eastAsia="仿宋_GB2312" w:cs="仿宋_GB2312"/>
          <w:b/>
          <w:bCs/>
          <w:sz w:val="32"/>
          <w:szCs w:val="32"/>
          <w:lang w:val="en-US" w:eastAsia="zh-CN"/>
        </w:rPr>
        <w:t>三是严明工作纪律，</w:t>
      </w:r>
      <w:r>
        <w:rPr>
          <w:rFonts w:hint="eastAsia" w:ascii="仿宋_GB2312" w:hAnsi="仿宋_GB2312" w:eastAsia="仿宋_GB2312" w:cs="仿宋_GB2312"/>
          <w:sz w:val="32"/>
          <w:szCs w:val="32"/>
          <w:lang w:val="en-US" w:eastAsia="zh-CN"/>
        </w:rPr>
        <w:t>要求参与部门及工作人员廉洁自律，不得泄露技术信息和商业秘密；</w:t>
      </w:r>
      <w:r>
        <w:rPr>
          <w:rFonts w:hint="eastAsia" w:ascii="仿宋_GB2312" w:hAnsi="仿宋_GB2312" w:eastAsia="仿宋_GB2312" w:cs="仿宋_GB2312"/>
          <w:b/>
          <w:bCs/>
          <w:sz w:val="32"/>
          <w:szCs w:val="32"/>
          <w:lang w:val="en-US" w:eastAsia="zh-CN"/>
        </w:rPr>
        <w:t>四是深化部门协同，</w:t>
      </w:r>
      <w:r>
        <w:rPr>
          <w:rFonts w:hint="eastAsia" w:ascii="仿宋_GB2312" w:hAnsi="仿宋_GB2312" w:eastAsia="仿宋_GB2312" w:cs="仿宋_GB2312"/>
          <w:sz w:val="32"/>
          <w:szCs w:val="32"/>
          <w:lang w:val="en-US" w:eastAsia="zh-CN"/>
        </w:rPr>
        <w:t>行政审批局牵头统筹，监管、执法部门对沙盒试点内容给予监管豁免，营商环境局配合做好诉求响应，各部门协同加强舆情监测与引导，保障试点工作平稳推进。</w:t>
      </w:r>
    </w:p>
    <w:p>
      <w:pPr>
        <w:pStyle w:val="3"/>
        <w:keepNext w:val="0"/>
        <w:keepLines w:val="0"/>
        <w:bidi w:val="0"/>
        <w:spacing w:beforeLines="-2147483648" w:beforeAutospacing="0" w:afterLines="-2147483648" w:afterAutospacing="0"/>
        <w:ind w:firstLine="640" w:firstLineChars="200"/>
        <w:rPr>
          <w:rFonts w:hint="eastAsia" w:ascii="楷体_GB2312" w:hAnsi="楷体_GB2312" w:eastAsia="楷体_GB2312" w:cs="楷体_GB2312"/>
          <w:bCs w:val="0"/>
          <w:color w:val="auto"/>
          <w:kern w:val="2"/>
          <w:szCs w:val="32"/>
          <w:lang w:val="en-US" w:eastAsia="zh-CN" w:bidi="ar-SA"/>
        </w:rPr>
      </w:pPr>
      <w:r>
        <w:rPr>
          <w:rFonts w:hint="eastAsia" w:ascii="楷体_GB2312" w:hAnsi="楷体_GB2312" w:eastAsia="楷体_GB2312" w:cs="楷体_GB2312"/>
          <w:bCs w:val="0"/>
          <w:color w:val="auto"/>
          <w:kern w:val="2"/>
          <w:szCs w:val="32"/>
          <w:lang w:val="en-US" w:eastAsia="zh-CN" w:bidi="ar-SA"/>
        </w:rPr>
        <w:t>（六）附则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《工作方案》自发布之日起施行，试行期1年。</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月2</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50D8DE-EB8F-4771-AE60-0371764A7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857C719-5DC4-42B5-89B2-3576256DAF17}"/>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3BB47BD3-4A9E-4676-BF8A-803E739ED443}"/>
  </w:font>
  <w:font w:name="楷体_GB2312">
    <w:panose1 w:val="02010609030101010101"/>
    <w:charset w:val="86"/>
    <w:family w:val="modern"/>
    <w:pitch w:val="default"/>
    <w:sig w:usb0="00000001" w:usb1="080E0000" w:usb2="00000000" w:usb3="00000000" w:csb0="00040000" w:csb1="00000000"/>
    <w:embedRegular r:id="rId4" w:fontKey="{39898810-2C3B-4E04-A389-02FA9B592C1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NzcwYmRhYTAxNGI0NDQ3YTJjODQ3ZWJmZjAyZWYifQ=="/>
  </w:docVars>
  <w:rsids>
    <w:rsidRoot w:val="00000000"/>
    <w:rsid w:val="02A93B2F"/>
    <w:rsid w:val="03106C54"/>
    <w:rsid w:val="036363D4"/>
    <w:rsid w:val="074B1659"/>
    <w:rsid w:val="0ADB66C2"/>
    <w:rsid w:val="15B50D11"/>
    <w:rsid w:val="175C4422"/>
    <w:rsid w:val="1B542D7A"/>
    <w:rsid w:val="1D4330A6"/>
    <w:rsid w:val="1FF266BE"/>
    <w:rsid w:val="23863CED"/>
    <w:rsid w:val="239655CC"/>
    <w:rsid w:val="2A954815"/>
    <w:rsid w:val="2AF7102C"/>
    <w:rsid w:val="2C464019"/>
    <w:rsid w:val="323A7BDD"/>
    <w:rsid w:val="40D2072D"/>
    <w:rsid w:val="483373B5"/>
    <w:rsid w:val="4AC62A9D"/>
    <w:rsid w:val="4B393B69"/>
    <w:rsid w:val="4F6208BA"/>
    <w:rsid w:val="521560B8"/>
    <w:rsid w:val="64E57B6C"/>
    <w:rsid w:val="661A55F3"/>
    <w:rsid w:val="699D27C3"/>
    <w:rsid w:val="70DB5DCB"/>
    <w:rsid w:val="77FD2916"/>
    <w:rsid w:val="78BE62B2"/>
    <w:rsid w:val="7E6B2A38"/>
    <w:rsid w:val="7EFB6617"/>
    <w:rsid w:val="897B4632"/>
    <w:rsid w:val="DDDE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autoRedefine/>
    <w:qFormat/>
    <w:uiPriority w:val="0"/>
    <w:pPr>
      <w:keepNext/>
      <w:keepLines/>
      <w:widowControl w:val="0"/>
      <w:spacing w:line="560" w:lineRule="exact"/>
      <w:ind w:firstLine="800" w:firstLineChars="200"/>
      <w:jc w:val="left"/>
      <w:outlineLvl w:val="0"/>
    </w:pPr>
    <w:rPr>
      <w:rFonts w:ascii="Calibri" w:hAnsi="Calibri" w:eastAsia="黑体" w:cs="宋体"/>
      <w:color w:val="000000"/>
      <w:kern w:val="44"/>
      <w:sz w:val="32"/>
      <w:szCs w:val="32"/>
      <w:lang w:val="en-US" w:eastAsia="zh-CN" w:bidi="ar-SA"/>
    </w:rPr>
  </w:style>
  <w:style w:type="paragraph" w:styleId="3">
    <w:name w:val="heading 2"/>
    <w:basedOn w:val="1"/>
    <w:next w:val="1"/>
    <w:autoRedefine/>
    <w:qFormat/>
    <w:uiPriority w:val="0"/>
    <w:pPr>
      <w:keepNext/>
      <w:keepLines/>
      <w:widowControl w:val="0"/>
      <w:spacing w:line="560" w:lineRule="exact"/>
      <w:ind w:firstLine="800" w:firstLineChars="200"/>
      <w:jc w:val="both"/>
      <w:outlineLvl w:val="1"/>
    </w:pPr>
    <w:rPr>
      <w:rFonts w:ascii="Calibri Light" w:hAnsi="Calibri Light" w:eastAsia="楷体" w:cs="宋体"/>
      <w:bCs/>
      <w:color w:val="000000"/>
      <w:kern w:val="2"/>
      <w:sz w:val="32"/>
      <w:szCs w:val="32"/>
      <w:lang w:val="en-US" w:eastAsia="zh-CN" w:bidi="ar-SA"/>
    </w:rPr>
  </w:style>
  <w:style w:type="paragraph" w:styleId="4">
    <w:name w:val="heading 4"/>
    <w:basedOn w:val="1"/>
    <w:next w:val="1"/>
    <w:autoRedefine/>
    <w:qFormat/>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Body Text"/>
    <w:basedOn w:val="1"/>
    <w:autoRedefine/>
    <w:unhideWhenUsed/>
    <w:qFormat/>
    <w:uiPriority w:val="0"/>
    <w:pPr>
      <w:spacing w:after="120"/>
    </w:pPr>
    <w:rPr>
      <w:rFonts w:ascii="Times New Roman" w:hAnsi="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2024-11-25T09:32:00Z</dcterms:created>
  <dc:creator>BB1</dc:creator>
  <cp:lastModifiedBy>高鑫</cp:lastModifiedBy>
  <cp:lastPrinted>2026-04-23T07:30:00Z</cp:lastPrinted>
  <dcterms:modified xsi:type="dcterms:W3CDTF">2026-04-27T10:13:19Z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A88E84F266DF47A0A7650BD63A320642_12</vt:lpwstr>
  </property>
</Properties>
</file>