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jc w:val="center"/>
        <w:textAlignment w:val="baseline"/>
        <w:rPr>
          <w:rStyle w:val="11"/>
          <w:rFonts w:hint="eastAsia" w:eastAsia="方正小标宋_GBK" w:cs="方正小标宋_GBK"/>
          <w:b w:val="0"/>
          <w:bCs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Style w:val="11"/>
          <w:rFonts w:hint="eastAsia" w:eastAsia="方正小标宋_GBK" w:cs="方正小标宋_GBK"/>
          <w:b w:val="0"/>
          <w:bCs/>
          <w:sz w:val="44"/>
          <w:szCs w:val="44"/>
          <w:highlight w:val="none"/>
          <w:shd w:val="clear" w:color="auto" w:fill="FFFFFF"/>
        </w:rPr>
        <w:t>北京经济技术开发区关于促进</w:t>
      </w:r>
      <w:r>
        <w:rPr>
          <w:rStyle w:val="11"/>
          <w:rFonts w:hint="eastAsia" w:eastAsia="方正小标宋_GBK" w:cs="方正小标宋_GBK"/>
          <w:b w:val="0"/>
          <w:bCs/>
          <w:sz w:val="44"/>
          <w:szCs w:val="44"/>
          <w:highlight w:val="none"/>
          <w:shd w:val="clear" w:color="auto" w:fill="FFFFFF"/>
          <w:lang w:val="en-US" w:eastAsia="zh-CN"/>
        </w:rPr>
        <w:t>游戏电竞产业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jc w:val="center"/>
        <w:textAlignment w:val="baseline"/>
        <w:rPr>
          <w:rStyle w:val="11"/>
          <w:rFonts w:hint="eastAsia" w:eastAsia="方正小标宋_GBK" w:cs="方正小标宋_GBK"/>
          <w:b w:val="0"/>
          <w:bCs/>
          <w:sz w:val="44"/>
          <w:szCs w:val="44"/>
          <w:highlight w:val="none"/>
          <w:shd w:val="clear" w:color="auto" w:fill="FFFFFF"/>
        </w:rPr>
      </w:pPr>
      <w:r>
        <w:rPr>
          <w:rStyle w:val="11"/>
          <w:rFonts w:hint="eastAsia" w:eastAsia="方正小标宋_GBK" w:cs="方正小标宋_GBK"/>
          <w:b w:val="0"/>
          <w:bCs/>
          <w:sz w:val="44"/>
          <w:szCs w:val="44"/>
          <w:highlight w:val="none"/>
          <w:shd w:val="clear" w:color="auto" w:fill="FFFFFF"/>
          <w:lang w:val="en-US" w:eastAsia="zh-CN"/>
        </w:rPr>
        <w:t>高质量发展</w:t>
      </w:r>
      <w:r>
        <w:rPr>
          <w:rStyle w:val="11"/>
          <w:rFonts w:hint="eastAsia" w:eastAsia="方正小标宋_GBK" w:cs="方正小标宋_GBK"/>
          <w:b w:val="0"/>
          <w:bCs/>
          <w:sz w:val="44"/>
          <w:szCs w:val="44"/>
          <w:highlight w:val="none"/>
          <w:shd w:val="clear" w:color="auto" w:fill="FFFFFF"/>
        </w:rPr>
        <w:t>若干措施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420" w:firstLine="0" w:firstLineChars="0"/>
        <w:jc w:val="center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征求意见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稿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）</w:t>
      </w:r>
    </w:p>
    <w:p>
      <w:pPr>
        <w:pStyle w:val="8"/>
        <w:keepNext w:val="0"/>
        <w:keepLines w:val="0"/>
        <w:pageBreakBefore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snapToGrid/>
        <w:spacing w:before="0" w:after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/>
        <w:textAlignment w:val="baseline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为全面贯彻党的二十大和二十届三中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、四中</w:t>
      </w:r>
      <w:r>
        <w:rPr>
          <w:rFonts w:ascii="Times New Roman" w:hAnsi="Times New Roman" w:eastAsia="仿宋_GB2312"/>
          <w:sz w:val="32"/>
          <w:szCs w:val="32"/>
          <w:highlight w:val="none"/>
        </w:rPr>
        <w:t>全会精神，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依据《关于推动文化高质量发展的若干经济政策》《关于促进北京市游戏电竞行业高质量发展的支持办法（暂行）》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等文件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要求，立足亦庄新城发展实际，加快发展文化领域新质生产力，大力培育新业态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助力全国文化中心建设注入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亦庄动能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ascii="Times New Roman" w:hAnsi="Times New Roman" w:eastAsia="仿宋_GB2312"/>
          <w:sz w:val="32"/>
          <w:szCs w:val="32"/>
          <w:highlight w:val="none"/>
        </w:rPr>
        <w:t>制定本措施。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firstLine="0" w:firstLineChars="0"/>
        <w:jc w:val="center"/>
        <w:textAlignment w:val="baseline"/>
        <w:outlineLvl w:val="0"/>
        <w:rPr>
          <w:rFonts w:hint="eastAsia" w:ascii="Times New Roman" w:hAnsi="Times New Roman" w:eastAsia="黑体" w:cs="黑体"/>
          <w:b w:val="0"/>
          <w:bCs/>
          <w:sz w:val="32"/>
          <w:szCs w:val="32"/>
          <w:highlight w:val="none"/>
        </w:rPr>
      </w:pPr>
      <w:r>
        <w:rPr>
          <w:rStyle w:val="11"/>
          <w:rFonts w:hint="eastAsia" w:eastAsia="黑体" w:cs="黑体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 xml:space="preserve">第一章  </w:t>
      </w:r>
      <w:r>
        <w:rPr>
          <w:rStyle w:val="11"/>
          <w:rFonts w:hint="eastAsia" w:eastAsia="黑体" w:cs="黑体"/>
          <w:b w:val="0"/>
          <w:bCs/>
          <w:sz w:val="32"/>
          <w:szCs w:val="32"/>
          <w:highlight w:val="none"/>
          <w:shd w:val="clear" w:color="auto" w:fill="FFFFFF"/>
        </w:rPr>
        <w:t>总体要求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vertAlign w:val="baseline"/>
          <w:lang w:val="en-US" w:eastAsia="zh-CN"/>
        </w:rPr>
        <w:t>集聚一批国内顶尖的游戏研发企业、电竞俱乐部和赛事运营机构，建成全国领先的游戏电竞技术创新高地、赛事运营中心及国际顶级赛事承载地，促进游戏电竞相关市场主体数量、产业营收规模实现倍增。到2028年底，全力打造“E-Sports Park”电竞活力示范街区，实现“三个未来”核心引擎项基本建成，累计举办职业电竞赛事不少于300场；聚集游戏电竞及相关企业超过150家，营收规模达150亿元以上，累计上线原创游戏超过100项，形成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“技术研发-运营发行-赛事活动-人才培育-平台服务”全产业链条，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vertAlign w:val="baseline"/>
          <w:lang w:val="en-US" w:eastAsia="zh-CN"/>
        </w:rPr>
        <w:t>构建具有国际影响力的游戏电竞产业创新集群。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firstLine="0" w:firstLineChars="0"/>
        <w:jc w:val="center"/>
        <w:textAlignment w:val="baseline"/>
        <w:outlineLvl w:val="0"/>
        <w:rPr>
          <w:rStyle w:val="11"/>
          <w:rFonts w:hint="default" w:ascii="Times New Roman" w:hAnsi="Times New Roman" w:eastAsia="黑体" w:cs="黑体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Style w:val="11"/>
          <w:rFonts w:hint="eastAsia" w:ascii="Times New Roman" w:hAnsi="Times New Roman" w:eastAsia="黑体" w:cs="黑体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第二章  政策措施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635" w:leftChars="0" w:right="-733" w:rightChars="-349"/>
        <w:textAlignment w:val="baseline"/>
        <w:outlineLvl w:val="2"/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  <w:lang w:val="en-US" w:eastAsia="zh-CN"/>
        </w:rPr>
        <w:t>（一）依托人工智能技术，赋能原创游戏研发应用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635" w:leftChars="0" w:right="0" w:rightChars="0"/>
        <w:textAlignment w:val="baseline"/>
        <w:outlineLvl w:val="2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1.鼓励游戏电竞领域技术创新与场景融合发展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vertAlign w:val="baseline"/>
          <w:lang w:val="en-US" w:eastAsia="zh-CN" w:bidi="ar-SA"/>
        </w:rPr>
        <w:t>支持企业开展虚拟现实、云计算、区块链等前沿技术在游戏电竞领域的技术研发，与高校、科研院所开展技术对接，推动人工智能、机器学习、脑机接口等前沿技术向游戏领域转化，加速新技术、新产品落地应用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vertAlign w:val="baseline"/>
          <w:lang w:val="en" w:eastAsia="zh-CN" w:bidi="ar-SA"/>
        </w:rPr>
        <w:t>;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vertAlign w:val="baseline"/>
          <w:lang w:val="en-US" w:eastAsia="zh-CN" w:bidi="ar-SA"/>
        </w:rPr>
        <w:t>鼓励企业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vertAlign w:val="baseline"/>
          <w:lang w:val="en" w:eastAsia="zh-CN" w:bidi="ar-SA"/>
        </w:rPr>
        <w:t>打造游戏电竞领域行业大模型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vertAlign w:val="baseline"/>
          <w:lang w:val="en" w:eastAsia="zh-CN" w:bidi="ar-SA"/>
        </w:rPr>
        <w:t>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vertAlign w:val="baseline"/>
          <w:lang w:val="en" w:eastAsia="zh-CN" w:bidi="ar-SA"/>
        </w:rPr>
        <w:t>赋能剧情创作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vertAlign w:val="baseline"/>
          <w:lang w:val="en" w:eastAsia="zh-CN" w:bidi="ar-SA"/>
        </w:rPr>
        <w:t>、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vertAlign w:val="baseline"/>
          <w:lang w:val="en" w:eastAsia="zh-CN" w:bidi="ar-SA"/>
        </w:rPr>
        <w:t>智能NPC交互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vertAlign w:val="baseline"/>
          <w:lang w:val="en" w:eastAsia="zh-CN" w:bidi="ar-SA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vertAlign w:val="baseline"/>
          <w:lang w:val="en-US" w:eastAsia="zh-CN" w:bidi="ar-SA"/>
        </w:rPr>
        <w:t>场景构建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vertAlign w:val="baseline"/>
          <w:lang w:val="en" w:eastAsia="zh-CN" w:bidi="ar-SA"/>
        </w:rPr>
        <w:t>等环节提质升级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vertAlign w:val="baseline"/>
          <w:lang w:val="en" w:eastAsia="zh-CN" w:bidi="ar-SA"/>
        </w:rPr>
        <w:t>；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vertAlign w:val="baseline"/>
          <w:lang w:val="en" w:eastAsia="zh-CN" w:bidi="ar-SA"/>
        </w:rPr>
        <w:t>鼓励游戏企业与智能</w:t>
      </w:r>
      <w:bookmarkStart w:id="0" w:name="_GoBack"/>
      <w:bookmarkEnd w:id="0"/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vertAlign w:val="baseline"/>
          <w:lang w:val="en" w:eastAsia="zh-CN" w:bidi="ar-SA"/>
        </w:rPr>
        <w:t>网联汽车、机器人等优势产业深度融合，推进车机交互轻量化娱乐游戏、机器人交互游戏等跨界产品研发，在亦庄新城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vertAlign w:val="baseline"/>
          <w:lang w:val="en" w:eastAsia="zh-CN" w:bidi="ar-SA"/>
        </w:rPr>
        <w:t>范围内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vertAlign w:val="baseline"/>
          <w:lang w:val="en" w:eastAsia="zh-CN" w:bidi="ar-SA"/>
        </w:rPr>
        <w:t>打造一批示范应用场景项目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vertAlign w:val="baseline"/>
          <w:lang w:val="en" w:eastAsia="zh-CN" w:bidi="ar-SA"/>
        </w:rPr>
        <w:t>。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（责任单位：宣传文化部、科技和产业促进局、信息技术产业局、高端汽车和新能源产业局、机器人及智能制造局）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635" w:leftChars="0" w:right="0" w:rightChars="0"/>
        <w:textAlignment w:val="baseline"/>
        <w:outlineLvl w:val="2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auto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auto"/>
          <w:lang w:eastAsia="zh-CN"/>
        </w:rPr>
        <w:t>支持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auto"/>
        </w:rPr>
        <w:t>游戏电竞领域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auto"/>
          <w:lang w:eastAsia="zh-CN"/>
        </w:rPr>
        <w:t>技术创新攻坚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深化人工智能技术与游戏电竞产业融合应用，支持游戏引擎、图形渲染、动作捕捉、感知交互、虚拟现实、高精度物理模拟、人工智能生成内容（AIGC）等核心技术研发与创新突破。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vertAlign w:val="baseline"/>
          <w:lang w:val="en-US" w:eastAsia="zh-CN"/>
        </w:rPr>
        <w:t>对上年度前述研发投入250万元以下的，按照实际研发投入的20%，给予一次性最高支持50万元。对于研发投入250万元以上的，按照实际研发投入的30%，给予一次性最高支持500万元。（责任单位：宣传文化部）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3.加速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auto"/>
          <w:lang w:eastAsia="zh-CN"/>
        </w:rPr>
        <w:t>原创精品游戏上线运营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vertAlign w:val="baseline"/>
          <w:lang w:val="en-US" w:eastAsia="zh-CN"/>
        </w:rPr>
        <w:t>对经审批获准正式上线运营的原创游戏（含移动、客户端、主机、云游戏等），对上线游戏项目运营主体年度营收未达到2000万元的，每款上线游戏给予运营主体20万元奖励，同一企业年度累计奖励金额最高不超过60万元；对年度对上线游戏项目主体单位年度营收2000万元以上且不到1亿元的，按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游戏开发运营费用的20%给予奖励，最高不超过500万元。对上线游戏项目主体单位年度营收达到1亿元以上，按该游戏开发运营费用的30%给予奖励，最高不超过1000万元。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vertAlign w:val="baseline"/>
          <w:lang w:val="en-US" w:eastAsia="zh-CN"/>
        </w:rPr>
        <w:t>对获得北京市、国家、国际相关奖项荣誉的游戏，给予30万元、50万元、100万元一次性奖励，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单个企业不重复支持，晋级享受差额奖励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vertAlign w:val="baseli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vertAlign w:val="baseline"/>
        </w:rPr>
        <w:t>（责任单位：宣传文化部）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635" w:leftChars="0" w:right="-733" w:rightChars="-349"/>
        <w:jc w:val="both"/>
        <w:textAlignment w:val="baseline"/>
        <w:outlineLvl w:val="2"/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  <w:lang w:val="en-US" w:eastAsia="zh-CN"/>
        </w:rPr>
        <w:t>（二）健全电竞支撑体系，提升区域赛事专业能级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635" w:leftChars="0" w:right="0" w:rightChars="0"/>
        <w:jc w:val="both"/>
        <w:textAlignment w:val="baseline"/>
        <w:outlineLvl w:val="2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4.构建多层次人才支撑体系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支持企业与高校院所、职业学校深化产教融合，建设游戏电竞产业人才培养基地，着力培养游戏电竞产业领域的专业人才。鼓励电竞俱乐部联合专业机构建立“测—选—育”一体化青训机制，推动电竞人才在赛事运营、内容制作等领域的创新发展。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鼓励游戏电竞企业优秀人才申报国家级和市级重点人才项目，推荐申报“亦城人才”政策，畅通人才发展通道。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（责任单位：宣传文化部、组织人事部）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635" w:leftChars="0" w:right="0" w:rightChars="0"/>
        <w:jc w:val="both"/>
        <w:textAlignment w:val="baseline"/>
        <w:outlineLvl w:val="2"/>
        <w:rPr>
          <w:rFonts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5.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支持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职业电竞俱乐部运营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发展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/>
        <w:jc w:val="both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对于当年度参加国际、全国职业电竞赛事的职业电竞俱乐部，按照俱乐部当年度在亦庄新城实际支出的运动员培训、商业保险、设备及材料购置、软件系统、空间改造、网络费用、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宣传推广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等运营费用的50%给予支持，每年最高支持200万元。（责任单位：宣传文化部）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635" w:leftChars="0" w:right="0" w:rightChars="0"/>
        <w:jc w:val="both"/>
        <w:textAlignment w:val="baseline"/>
        <w:outlineLvl w:val="2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auto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6.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auto"/>
          <w:lang w:eastAsia="zh-CN"/>
        </w:rPr>
        <w:t>鼓励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auto"/>
        </w:rPr>
        <w:t>职业电竞俱乐部参赛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获奖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支持本区域俱乐部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eastAsia="zh-CN"/>
        </w:rPr>
        <w:t>首年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参加职业电子竞技赛事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给予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职业电竞俱乐部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单位，一次性50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万元资金支持。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对于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当年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在国际职业电竞赛事中取得季军以上成绩的职业电竞俱乐部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每个赛事给予总部单位最高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300万元一次性支持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给予分部单位最高15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0万元一次性支持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最高给予600万元支持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；对于在全国职业电竞赛事中取得季军以上成绩的职业电竞俱乐部，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每个赛事给予总部单位最高1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00万元一次性支持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给予分部单位最高5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0万元一次性支持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最高给予200万元支持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。（责任单位：宣传文化部）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635" w:leftChars="0" w:right="0" w:rightChars="0"/>
        <w:jc w:val="left"/>
        <w:textAlignment w:val="baseline"/>
        <w:outlineLvl w:val="2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7.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支持举办职业电竞赛事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支持首次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举办职业电子竞技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主场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赛事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给予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职业电竞联赛（杯赛）联盟俱乐部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单位一次性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500万元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支持在亦庄新城举办的国际、全国性职业电竞赛事，按照赛事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主办方或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承办方每年度实际支出的赛事奖金、场地租金、赛场搭建、设备租赁费用、赛事宣传推广等赛事相关费用投入的30%给予支持，国际或全国性电竞赛事活动每年最高支持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00万元。（责任单位：宣传文化部）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635" w:leftChars="0" w:right="-733" w:rightChars="-349"/>
        <w:textAlignment w:val="baseline"/>
        <w:outlineLvl w:val="2"/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  <w:lang w:val="en-US" w:eastAsia="zh-CN"/>
        </w:rPr>
        <w:t>（三）强化要素供给，助力产业生态协同发展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635" w:leftChars="0" w:right="0" w:rightChars="0"/>
        <w:jc w:val="both"/>
        <w:textAlignment w:val="baseline"/>
        <w:outlineLvl w:val="2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 xml:space="preserve">8.着力推进游戏电竞品牌建设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深入实施“亦庄电竞”品牌培育工程，高标准打造“E-Sports Park”活力示范街区，持续拓展“电竞+”融合应用场景，大力培育自主电竞赛事品牌，积极引进国内外高端电竞赛事IP，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联动区内商圈、商场、商业综合体等优质资源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，推动电竞与文化、商业、旅游、体育产业深度融合，激活消费新动能，带动周边餐饮、住宿、文创等相关产业协同发展，构建集赛事观演、互动体验、潮流消费、文化展示于一体的沉浸式电竞文化地标。推荐优秀项目单位申请市级创新应用场景及优秀解决方案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消费新业态新模式新场景试点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，持续提升“亦庄电竞”品牌影响力和辨识度，打造具有全国影响力的电竞产业集聚区和文商旅体融合消费新标杆。（责任单位：宣传文化部、信息技术产业局、商务金融局）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635" w:leftChars="0" w:right="0" w:rightChars="0"/>
        <w:jc w:val="both"/>
        <w:textAlignment w:val="baseline"/>
        <w:outlineLvl w:val="2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9.鼓励游戏电竞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</w:rPr>
        <w:t>标准制定与引领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各类市场主体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组织开展游戏引擎、电竞赛事运营、虚拟现实交互等关键领域的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等标准制定及发布，对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牵头制定并发布游戏电竞领域相关国际标准、国家标准、行业标准、地方标准和团体标准，分别给予100万元、50万元、30万元、20万元、10万元一次性支持。（责任单位：宣传文化部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商务金融局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635" w:leftChars="0" w:right="0" w:rightChars="0"/>
        <w:jc w:val="both"/>
        <w:textAlignment w:val="baseline"/>
        <w:outlineLvl w:val="2"/>
        <w:rPr>
          <w:rFonts w:hint="default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10.培育游戏电竞服务平台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支持各类市场主体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建设运营游戏电竞服务平台，为游戏电竞企业及产业链上下游企业，提供视觉优化、内容制作、版权申请与测试、算力支持、游戏选题策划、上线投放及出海规划等发展服务。按照上年度为企业提供的服务类别不少于3项，提供各类服务内容不少于100家次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服务覆盖企业不少于30家，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每年给予服务单位运营经费30%支持，最高支持300万元。（责任单位：宣传文化部）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firstLine="0" w:firstLineChars="0"/>
        <w:jc w:val="center"/>
        <w:textAlignment w:val="baseline"/>
        <w:outlineLvl w:val="0"/>
        <w:rPr>
          <w:rStyle w:val="11"/>
          <w:rFonts w:hint="eastAsia" w:ascii="Times New Roman" w:hAnsi="Times New Roman" w:eastAsia="黑体" w:cs="黑体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Style w:val="11"/>
          <w:rFonts w:hint="eastAsia" w:ascii="Times New Roman" w:hAnsi="Times New Roman" w:eastAsia="黑体" w:cs="黑体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第三章  附则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firstLine="640" w:firstLineChars="0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本措施自公布之日起施行，政策事项有效期至202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年12月31日，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《《北京经济技术开发区关于促进科技与文化产业融合发展的若干措施》（京技管发〔2024〕31号）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第二章第二款、第四款、第六款、第十一款、第十二款、第十八款第二项等涉及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职业电竞赛事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eastAsia="zh-CN"/>
        </w:rPr>
        <w:t>的条款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同时废止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。施行期间如遇国家或北京市相关政策调整的，按照国家或北京市相关规定执行。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firstLine="640" w:firstLineChars="0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本措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施申报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各类市场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主体应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在亦庄新城范围内合法经营，近三年无重大行政处罚公示信息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、无失信记录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和刑事犯罪记录。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firstLine="640" w:firstLine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国际职业电竞赛事及全国职业电竞赛事标准参考团体标准《北京市电子竞技赛事分级标准》（T / 2020BEIDA-001-2025）。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firstLine="640" w:firstLine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游戏开发运营费用是指游戏研发费、游戏测试费、版权申请服务费、上线市场推广等相关费用。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firstLine="640" w:firstLineChars="0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职业电竞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俱乐部总部单位是指：总部在亦庄新城范围注册经营，且拥有3个及以上分部的职业电竞俱乐部单位。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职业电竞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俱乐部分部单位是指：总部未在亦庄新城范围注册经营，分部在亦庄新城注册经营的单位。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不足3个分部的职业电竞俱乐部单位视同为分部单位.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firstLine="640" w:firstLineChars="0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申报主体所提交全部材料均须真实、准确、有效，留存备查；接受并积极配合市区相关部门不定期抽查。如企业存在瞒报、虚假申报等行为，经查实后，追缴所获支持并追究相关法律责任。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firstLine="640" w:firstLineChars="0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同一企业的同一项目同时符合本政策不同条款、经开区其他政策规定的，按照“从优不重复”原则予以支持，另有规定的除外。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firstLine="640" w:firstLineChars="0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本措施由北京经济技术开发区管理委员会负责解释，具体解释工作由宣传文化部承担。</w:t>
      </w:r>
    </w:p>
    <w:sectPr>
      <w:footerReference r:id="rId3" w:type="default"/>
      <w:pgSz w:w="11906" w:h="16838"/>
      <w:pgMar w:top="2098" w:right="1474" w:bottom="1984" w:left="1587" w:header="85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  <w:p/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0WrDzrEBAABR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tabs>
                        <w:tab w:val="center" w:pos="4153"/>
                        <w:tab w:val="right" w:pos="8306"/>
                      </w:tabs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3848F3"/>
    <w:multiLevelType w:val="singleLevel"/>
    <w:tmpl w:val="0A3848F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40F90"/>
    <w:rsid w:val="04376BAE"/>
    <w:rsid w:val="04912ACD"/>
    <w:rsid w:val="04A62A1C"/>
    <w:rsid w:val="057C5A9B"/>
    <w:rsid w:val="068B60B1"/>
    <w:rsid w:val="071023CF"/>
    <w:rsid w:val="07B77E12"/>
    <w:rsid w:val="085C2FC2"/>
    <w:rsid w:val="0B0B35D9"/>
    <w:rsid w:val="0B8D66E4"/>
    <w:rsid w:val="0D223568"/>
    <w:rsid w:val="0F046E28"/>
    <w:rsid w:val="0F7FCF80"/>
    <w:rsid w:val="10350A51"/>
    <w:rsid w:val="116A26E4"/>
    <w:rsid w:val="119B4F8B"/>
    <w:rsid w:val="129640D0"/>
    <w:rsid w:val="145B3E78"/>
    <w:rsid w:val="15C40F54"/>
    <w:rsid w:val="1797736D"/>
    <w:rsid w:val="17FA5357"/>
    <w:rsid w:val="188E5849"/>
    <w:rsid w:val="18C140E3"/>
    <w:rsid w:val="19B25567"/>
    <w:rsid w:val="1AB23AD1"/>
    <w:rsid w:val="1AED4AA9"/>
    <w:rsid w:val="1B086E06"/>
    <w:rsid w:val="1C2E319B"/>
    <w:rsid w:val="1C6A2129"/>
    <w:rsid w:val="2031368A"/>
    <w:rsid w:val="20F052F3"/>
    <w:rsid w:val="21D4251F"/>
    <w:rsid w:val="21D97A24"/>
    <w:rsid w:val="22274D44"/>
    <w:rsid w:val="22804455"/>
    <w:rsid w:val="22835CF3"/>
    <w:rsid w:val="28A836EF"/>
    <w:rsid w:val="28E31299"/>
    <w:rsid w:val="29096346"/>
    <w:rsid w:val="2A636B36"/>
    <w:rsid w:val="2AF6688D"/>
    <w:rsid w:val="2D54790D"/>
    <w:rsid w:val="2DA050CC"/>
    <w:rsid w:val="2F2820FC"/>
    <w:rsid w:val="311F752F"/>
    <w:rsid w:val="34396B4D"/>
    <w:rsid w:val="34A42225"/>
    <w:rsid w:val="352769B2"/>
    <w:rsid w:val="35E23FDD"/>
    <w:rsid w:val="374875B7"/>
    <w:rsid w:val="37AF7E6E"/>
    <w:rsid w:val="383E029A"/>
    <w:rsid w:val="38F930B9"/>
    <w:rsid w:val="3BCE5DD9"/>
    <w:rsid w:val="3D5C9A62"/>
    <w:rsid w:val="3D6A7D83"/>
    <w:rsid w:val="3F3146B5"/>
    <w:rsid w:val="3F5D194E"/>
    <w:rsid w:val="3FA532F5"/>
    <w:rsid w:val="3FEF4FD1"/>
    <w:rsid w:val="3FF859FC"/>
    <w:rsid w:val="4150553B"/>
    <w:rsid w:val="415E2462"/>
    <w:rsid w:val="427009D4"/>
    <w:rsid w:val="475A2C17"/>
    <w:rsid w:val="47BC742D"/>
    <w:rsid w:val="48F055E1"/>
    <w:rsid w:val="498D72D3"/>
    <w:rsid w:val="49E47691"/>
    <w:rsid w:val="4BD623FF"/>
    <w:rsid w:val="4E1A6C5C"/>
    <w:rsid w:val="4F261AE6"/>
    <w:rsid w:val="5322283B"/>
    <w:rsid w:val="53FF4053"/>
    <w:rsid w:val="5452714F"/>
    <w:rsid w:val="581A7F84"/>
    <w:rsid w:val="58BA45A1"/>
    <w:rsid w:val="59A860E0"/>
    <w:rsid w:val="5A4C3F9B"/>
    <w:rsid w:val="5AC643F3"/>
    <w:rsid w:val="5B351432"/>
    <w:rsid w:val="5B39B7BC"/>
    <w:rsid w:val="5C074CC3"/>
    <w:rsid w:val="5E7D126D"/>
    <w:rsid w:val="609B1E7E"/>
    <w:rsid w:val="60B34B89"/>
    <w:rsid w:val="60E32902"/>
    <w:rsid w:val="620A72BB"/>
    <w:rsid w:val="632C5010"/>
    <w:rsid w:val="64243F39"/>
    <w:rsid w:val="657568B7"/>
    <w:rsid w:val="65F17205"/>
    <w:rsid w:val="67652A6F"/>
    <w:rsid w:val="68EB3277"/>
    <w:rsid w:val="69A41DA4"/>
    <w:rsid w:val="69FF0EF4"/>
    <w:rsid w:val="6B3D2E00"/>
    <w:rsid w:val="6B7ED5BB"/>
    <w:rsid w:val="6DF3C217"/>
    <w:rsid w:val="6F63625D"/>
    <w:rsid w:val="72343EE1"/>
    <w:rsid w:val="72E66F89"/>
    <w:rsid w:val="75581C94"/>
    <w:rsid w:val="76C84BF7"/>
    <w:rsid w:val="777D1373"/>
    <w:rsid w:val="77E618E8"/>
    <w:rsid w:val="77F008AA"/>
    <w:rsid w:val="77F263D0"/>
    <w:rsid w:val="77FD8153"/>
    <w:rsid w:val="7B2D3022"/>
    <w:rsid w:val="7C273225"/>
    <w:rsid w:val="7C7BF6A1"/>
    <w:rsid w:val="7E17093E"/>
    <w:rsid w:val="7E576F8D"/>
    <w:rsid w:val="7E6E7F29"/>
    <w:rsid w:val="7F9F4DF4"/>
    <w:rsid w:val="7FD820EA"/>
    <w:rsid w:val="CF6F5291"/>
    <w:rsid w:val="DF9EE422"/>
    <w:rsid w:val="E6AE22B4"/>
    <w:rsid w:val="EBEE2165"/>
    <w:rsid w:val="EEEE2B4E"/>
    <w:rsid w:val="F39DBE2F"/>
    <w:rsid w:val="F7BFC9C2"/>
    <w:rsid w:val="F8FE667C"/>
    <w:rsid w:val="FBEBB2DB"/>
    <w:rsid w:val="FF7F82E7"/>
    <w:rsid w:val="FFAF7A4A"/>
    <w:rsid w:val="FFCFC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5"/>
    <w:next w:val="1"/>
    <w:link w:val="12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FFFFFF"/>
      <w:spacing w:before="0" w:beforeAutospacing="0" w:after="0" w:afterAutospacing="0" w:line="560" w:lineRule="exact"/>
      <w:ind w:left="642"/>
      <w:textAlignment w:val="baseline"/>
      <w:outlineLvl w:val="1"/>
    </w:pPr>
    <w:rPr>
      <w:rFonts w:ascii="楷体_GB2312" w:hAnsi="楷体_GB2312" w:eastAsia="楷体_GB2312" w:cs="楷体_GB2312"/>
      <w:b/>
      <w:color w:val="auto"/>
      <w:sz w:val="32"/>
      <w:szCs w:val="32"/>
      <w:highlight w:val="none"/>
      <w:shd w:val="clear" w:color="auto" w:fill="FFFFFF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pacing w:before="0" w:after="120"/>
      <w:ind w:left="0" w:right="0" w:firstLine="42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widowControl w:val="0"/>
      <w:spacing w:before="0" w:after="120"/>
      <w:ind w:left="420" w:leftChars="200" w:right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/>
    </w:rPr>
  </w:style>
  <w:style w:type="paragraph" w:styleId="6">
    <w:name w:val="Body Text"/>
    <w:basedOn w:val="1"/>
    <w:next w:val="1"/>
    <w:qFormat/>
    <w:uiPriority w:val="0"/>
    <w:pPr>
      <w:widowControl w:val="0"/>
      <w:tabs>
        <w:tab w:val="left" w:pos="560"/>
      </w:tabs>
      <w:spacing w:before="120" w:after="0" w:line="22" w:lineRule="atLeast"/>
      <w:ind w:left="0" w:right="0"/>
      <w:jc w:val="both"/>
    </w:pPr>
    <w:rPr>
      <w:rFonts w:ascii="宋体" w:hAnsi="宋体" w:eastAsia="宋体" w:cs="宋体"/>
      <w:kern w:val="2"/>
      <w:sz w:val="28"/>
      <w:szCs w:val="22"/>
      <w:lang w:val="en-US" w:eastAsia="zh-CN" w:bidi="ar-SA"/>
    </w:rPr>
  </w:style>
  <w:style w:type="paragraph" w:styleId="7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8">
    <w:name w:val="Body Text First Indent"/>
    <w:basedOn w:val="6"/>
    <w:qFormat/>
    <w:uiPriority w:val="0"/>
    <w:pPr>
      <w:widowControl w:val="0"/>
      <w:spacing w:before="120" w:after="120" w:line="22" w:lineRule="atLeast"/>
      <w:ind w:left="0" w:right="0" w:firstLine="420" w:firstLineChars="10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character" w:styleId="11">
    <w:name w:val="Strong"/>
    <w:qFormat/>
    <w:uiPriority w:val="0"/>
    <w:rPr>
      <w:rFonts w:ascii="Times New Roman" w:hAnsi="Times New Roman" w:eastAsia="宋体" w:cs="Times New Roman"/>
      <w:b/>
      <w:sz w:val="21"/>
    </w:rPr>
  </w:style>
  <w:style w:type="character" w:customStyle="1" w:styleId="12">
    <w:name w:val="标题 2 Char"/>
    <w:link w:val="4"/>
    <w:qFormat/>
    <w:uiPriority w:val="0"/>
    <w:rPr>
      <w:rFonts w:ascii="楷体_GB2312" w:hAnsi="楷体_GB2312" w:eastAsia="楷体_GB2312" w:cs="楷体_GB2312"/>
      <w:b/>
      <w:color w:val="auto"/>
      <w:sz w:val="32"/>
      <w:szCs w:val="32"/>
      <w:highlight w:val="none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3154</Words>
  <Characters>3297</Characters>
  <Lines>0</Lines>
  <Paragraphs>0</Paragraphs>
  <TotalTime>188</TotalTime>
  <ScaleCrop>false</ScaleCrop>
  <LinksUpToDate>false</LinksUpToDate>
  <CharactersWithSpaces>3313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2026-03-05T05:37:00Z</dcterms:created>
  <dc:creator>GF</dc:creator>
  <cp:lastModifiedBy>BDA</cp:lastModifiedBy>
  <cp:lastPrinted>2026-03-20T03:26:00Z</cp:lastPrinted>
  <dcterms:modified xsi:type="dcterms:W3CDTF">2026-03-20T11:20:09Z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TemplateDocerSaveRecord">
    <vt:lpwstr>eyJoZGlkIjoiMDI4OGRiNmI3ODJjMmJlZTg5NWEyMWE5ZTdmNjQyNTYiLCJ1c2VySWQiOiI0NzY1NzgwMjIifQ==</vt:lpwstr>
  </property>
  <property fmtid="{D5CDD505-2E9C-101B-9397-08002B2CF9AE}" pid="4" name="ICV">
    <vt:lpwstr>0D9CBD3C100843B5816FA1F634274A09_13</vt:lpwstr>
  </property>
</Properties>
</file>