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both"/>
        <w:rPr>
          <w:rFonts w:hint="eastAsia" w:ascii="黑体" w:hAnsi="黑体" w:eastAsia="黑体" w:cs="黑体"/>
          <w:color w:val="212121"/>
          <w:sz w:val="32"/>
          <w:szCs w:val="32"/>
          <w:lang w:val="en-US" w:eastAsia="zh-CN"/>
        </w:rPr>
      </w:pPr>
      <w:bookmarkStart w:id="0" w:name="_Hlk186820228"/>
      <w:bookmarkStart w:id="1" w:name="OLE_LINK4"/>
      <w:r>
        <w:rPr>
          <w:rFonts w:hint="eastAsia" w:ascii="黑体" w:hAnsi="黑体" w:eastAsia="黑体" w:cs="黑体"/>
          <w:color w:val="212121"/>
          <w:sz w:val="32"/>
          <w:szCs w:val="32"/>
          <w:lang w:val="en-US" w:eastAsia="zh-CN"/>
        </w:rPr>
        <w:t>附件1</w:t>
      </w:r>
    </w:p>
    <w:p>
      <w:pPr>
        <w:pStyle w:val="2"/>
        <w:rPr>
          <w:rFonts w:hint="eastAsia"/>
          <w:lang w:val="en-US" w:eastAsia="zh-CN"/>
        </w:rPr>
      </w:pPr>
    </w:p>
    <w:p>
      <w:pPr>
        <w:spacing w:line="560" w:lineRule="exact"/>
        <w:jc w:val="center"/>
        <w:rPr>
          <w:rFonts w:hint="eastAsia" w:ascii="方正小标宋简体" w:hAnsi="方正小标宋简体" w:eastAsia="方正小标宋简体" w:cs="方正小标宋简体"/>
          <w:color w:val="212121"/>
          <w:sz w:val="44"/>
          <w:szCs w:val="44"/>
        </w:rPr>
      </w:pPr>
      <w:r>
        <w:rPr>
          <w:rFonts w:hint="eastAsia" w:ascii="方正小标宋简体" w:hAnsi="方正小标宋简体" w:eastAsia="方正小标宋简体" w:cs="方正小标宋简体"/>
          <w:color w:val="212121"/>
          <w:sz w:val="44"/>
          <w:szCs w:val="44"/>
        </w:rPr>
        <w:t>北京经济技术开发区促进商业提振消费</w:t>
      </w:r>
    </w:p>
    <w:p>
      <w:pPr>
        <w:spacing w:line="560" w:lineRule="exact"/>
        <w:jc w:val="center"/>
        <w:rPr>
          <w:rFonts w:hint="eastAsia" w:ascii="方正小标宋简体" w:hAnsi="方正小标宋简体" w:eastAsia="方正小标宋简体" w:cs="方正小标宋简体"/>
          <w:color w:val="212121"/>
          <w:sz w:val="44"/>
          <w:szCs w:val="44"/>
        </w:rPr>
      </w:pPr>
      <w:r>
        <w:rPr>
          <w:rFonts w:hint="eastAsia" w:ascii="方正小标宋简体" w:hAnsi="方正小标宋简体" w:eastAsia="方正小标宋简体" w:cs="方正小标宋简体"/>
          <w:color w:val="212121"/>
          <w:sz w:val="44"/>
          <w:szCs w:val="44"/>
        </w:rPr>
        <w:t>高质量发展的若干措施</w:t>
      </w:r>
    </w:p>
    <w:p>
      <w:pPr>
        <w:spacing w:line="560" w:lineRule="exact"/>
        <w:jc w:val="center"/>
        <w:rPr>
          <w:rFonts w:hint="eastAsia" w:ascii="楷体_GB2312" w:hAnsi="楷体_GB2312" w:eastAsia="楷体_GB2312" w:cs="楷体_GB2312"/>
          <w:color w:val="212121"/>
          <w:sz w:val="32"/>
          <w:szCs w:val="32"/>
          <w:lang w:eastAsia="zh-CN"/>
        </w:rPr>
      </w:pPr>
      <w:r>
        <w:rPr>
          <w:rFonts w:hint="eastAsia" w:ascii="楷体_GB2312" w:hAnsi="楷体_GB2312" w:eastAsia="楷体_GB2312" w:cs="楷体_GB2312"/>
          <w:color w:val="212121"/>
          <w:sz w:val="32"/>
          <w:szCs w:val="32"/>
          <w:lang w:eastAsia="zh-CN"/>
        </w:rPr>
        <w:t>（</w:t>
      </w:r>
      <w:r>
        <w:rPr>
          <w:rFonts w:hint="eastAsia" w:ascii="楷体_GB2312" w:hAnsi="楷体_GB2312" w:eastAsia="楷体_GB2312" w:cs="楷体_GB2312"/>
          <w:color w:val="212121"/>
          <w:sz w:val="32"/>
          <w:szCs w:val="32"/>
          <w:lang w:val="en-US" w:eastAsia="zh-CN"/>
        </w:rPr>
        <w:t>征求意见稿</w:t>
      </w:r>
      <w:r>
        <w:rPr>
          <w:rFonts w:hint="eastAsia" w:ascii="楷体_GB2312" w:hAnsi="楷体_GB2312" w:eastAsia="楷体_GB2312" w:cs="楷体_GB2312"/>
          <w:color w:val="212121"/>
          <w:sz w:val="32"/>
          <w:szCs w:val="32"/>
          <w:lang w:eastAsia="zh-CN"/>
        </w:rPr>
        <w:t>）</w:t>
      </w:r>
    </w:p>
    <w:bookmarkEnd w:id="0"/>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p>
    <w:bookmarkEnd w:id="1"/>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2" w:name="OLE_LINK5"/>
      <w:r>
        <w:rPr>
          <w:rFonts w:hint="eastAsia" w:ascii="Times New Roman" w:hAnsi="Times New Roman" w:eastAsia="仿宋_GB2312"/>
          <w:color w:val="212121"/>
          <w:sz w:val="32"/>
          <w:szCs w:val="32"/>
          <w:shd w:val="clear" w:color="auto" w:fill="FFFFFF"/>
          <w:lang w:val="en-US" w:eastAsia="zh-CN"/>
        </w:rPr>
        <w:t>为</w:t>
      </w:r>
      <w:bookmarkStart w:id="110" w:name="_GoBack"/>
      <w:bookmarkEnd w:id="110"/>
      <w:r>
        <w:rPr>
          <w:rFonts w:hint="eastAsia" w:ascii="Times New Roman" w:hAnsi="Times New Roman" w:eastAsia="仿宋_GB2312"/>
          <w:color w:val="212121"/>
          <w:sz w:val="32"/>
          <w:szCs w:val="32"/>
          <w:shd w:val="clear" w:color="auto" w:fill="FFFFFF"/>
        </w:rPr>
        <w:t>深入贯彻党的二十届三中全会、中央经济工作会议精神，认真落实国家和北京市决策部署，大力提振经开区餐饮、汽车、科文融合等消费，不断提升商业气、人气、烟火气，</w:t>
      </w:r>
      <w:bookmarkStart w:id="3" w:name="OLE_LINK44"/>
      <w:r>
        <w:rPr>
          <w:rFonts w:hint="eastAsia" w:ascii="Times New Roman" w:hAnsi="Times New Roman" w:eastAsia="仿宋_GB2312"/>
          <w:color w:val="212121"/>
          <w:sz w:val="32"/>
          <w:szCs w:val="32"/>
          <w:shd w:val="clear" w:color="auto" w:fill="FFFFFF"/>
        </w:rPr>
        <w:t>进一步推动产业和消费双升级，为首都国际消费中心城市建设注入亦庄活力，</w:t>
      </w:r>
      <w:bookmarkEnd w:id="3"/>
      <w:r>
        <w:rPr>
          <w:rFonts w:hint="eastAsia" w:ascii="Times New Roman" w:hAnsi="Times New Roman" w:eastAsia="仿宋_GB2312"/>
          <w:color w:val="212121"/>
          <w:sz w:val="32"/>
          <w:szCs w:val="32"/>
          <w:shd w:val="clear" w:color="auto" w:fill="FFFFFF"/>
        </w:rPr>
        <w:t>特制定本措施。</w:t>
      </w:r>
    </w:p>
    <w:bookmarkEnd w:id="2"/>
    <w:p>
      <w:pPr>
        <w:pStyle w:val="4"/>
        <w:keepNext w:val="0"/>
        <w:keepLines w:val="0"/>
        <w:adjustRightInd w:val="0"/>
        <w:spacing w:before="0" w:after="0" w:line="560" w:lineRule="exact"/>
        <w:ind w:firstLine="640" w:firstLineChars="200"/>
        <w:rPr>
          <w:rFonts w:ascii="Times New Roman" w:hAnsi="Times New Roman" w:eastAsia="黑体"/>
          <w:b w:val="0"/>
          <w:color w:val="212121"/>
          <w:sz w:val="32"/>
          <w:szCs w:val="32"/>
        </w:rPr>
      </w:pPr>
      <w:r>
        <w:rPr>
          <w:rFonts w:ascii="Times New Roman" w:hAnsi="Times New Roman" w:eastAsia="黑体"/>
          <w:b w:val="0"/>
          <w:color w:val="212121"/>
          <w:sz w:val="32"/>
          <w:szCs w:val="32"/>
        </w:rPr>
        <w:t>一、总体目标</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到2027年，经开区消费市场总体保持稳定增长，</w:t>
      </w:r>
      <w:bookmarkStart w:id="4" w:name="OLE_LINK60"/>
      <w:r>
        <w:rPr>
          <w:rFonts w:hint="eastAsia" w:ascii="Times New Roman" w:hAnsi="Times New Roman" w:eastAsia="仿宋_GB2312"/>
          <w:color w:val="212121"/>
          <w:sz w:val="32"/>
          <w:szCs w:val="32"/>
          <w:shd w:val="clear" w:color="auto" w:fill="FFFFFF"/>
        </w:rPr>
        <w:t>前沿消费品牌不断集聚、高品质消费空间持续升级、特色消费新业态加速发展、市场主体进一步做大，时尚魅力与科技创新深度融合，为经开区新质生产力和高质量发展注入强劲动力，全力打造成为一座有活力、有温度、有底蕴、有情调、国际范儿的</w:t>
      </w:r>
      <w:bookmarkStart w:id="5" w:name="OLE_LINK102"/>
      <w:r>
        <w:rPr>
          <w:rFonts w:hint="eastAsia" w:ascii="Times New Roman" w:hAnsi="Times New Roman" w:eastAsia="仿宋_GB2312"/>
          <w:color w:val="212121"/>
          <w:sz w:val="32"/>
          <w:szCs w:val="32"/>
          <w:shd w:val="clear" w:color="auto" w:fill="FFFFFF"/>
        </w:rPr>
        <w:t>一流高端幸福产业新城。</w:t>
      </w:r>
      <w:bookmarkEnd w:id="5"/>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6" w:name="OLE_LINK72"/>
      <w:r>
        <w:rPr>
          <w:rFonts w:hint="eastAsia" w:ascii="Times New Roman" w:hAnsi="Times New Roman" w:eastAsia="仿宋_GB2312"/>
          <w:color w:val="212121"/>
          <w:sz w:val="32"/>
          <w:szCs w:val="32"/>
          <w:shd w:val="clear" w:color="auto" w:fill="FFFFFF"/>
        </w:rPr>
        <w:t>到2027年末，规上批零销售额力争达到2万亿元左右，社零额力争实现450亿元</w:t>
      </w:r>
      <w:r>
        <w:rPr>
          <w:rStyle w:val="28"/>
          <w:rFonts w:ascii="Times New Roman" w:hAnsi="Times New Roman" w:eastAsia="仿宋_GB2312"/>
          <w:color w:val="212121"/>
          <w:sz w:val="32"/>
          <w:szCs w:val="32"/>
          <w:shd w:val="clear" w:color="auto" w:fill="FFFFFF"/>
        </w:rPr>
        <w:footnoteReference w:id="0"/>
      </w:r>
      <w:r>
        <w:rPr>
          <w:rFonts w:hint="eastAsia" w:ascii="Times New Roman" w:hAnsi="Times New Roman" w:eastAsia="仿宋_GB2312"/>
          <w:color w:val="212121"/>
          <w:sz w:val="32"/>
          <w:szCs w:val="32"/>
          <w:shd w:val="clear" w:color="auto" w:fill="FFFFFF"/>
        </w:rPr>
        <w:t>左右，规上批发零售企业力争达到700家左右，累计培育建设2—3条商业步行街区，累计培育打造3—5条特色餐饮聚集街区，累计培育建设6—8个一刻钟便民生活圈。力争每年举办首发活动3—5场，引入首店品牌5-8家。</w:t>
      </w:r>
      <w:bookmarkEnd w:id="6"/>
    </w:p>
    <w:bookmarkEnd w:id="4"/>
    <w:p>
      <w:pPr>
        <w:pStyle w:val="4"/>
        <w:keepNext w:val="0"/>
        <w:keepLines w:val="0"/>
        <w:adjustRightInd w:val="0"/>
        <w:spacing w:before="0" w:after="0" w:line="560" w:lineRule="exact"/>
        <w:ind w:firstLine="640" w:firstLineChars="200"/>
        <w:rPr>
          <w:rFonts w:ascii="Times New Roman" w:hAnsi="Times New Roman" w:eastAsia="黑体"/>
          <w:b w:val="0"/>
          <w:color w:val="212121"/>
          <w:sz w:val="32"/>
          <w:szCs w:val="32"/>
        </w:rPr>
      </w:pPr>
      <w:r>
        <w:rPr>
          <w:rFonts w:hint="eastAsia" w:ascii="Times New Roman" w:hAnsi="Times New Roman" w:eastAsia="黑体"/>
          <w:b w:val="0"/>
          <w:color w:val="212121"/>
          <w:sz w:val="32"/>
          <w:szCs w:val="32"/>
        </w:rPr>
        <w:t>二</w:t>
      </w:r>
      <w:r>
        <w:rPr>
          <w:rFonts w:ascii="Times New Roman" w:hAnsi="Times New Roman" w:eastAsia="黑体"/>
          <w:b w:val="0"/>
          <w:color w:val="212121"/>
          <w:sz w:val="32"/>
          <w:szCs w:val="32"/>
        </w:rPr>
        <w:t>、</w:t>
      </w:r>
      <w:r>
        <w:rPr>
          <w:rFonts w:hint="eastAsia" w:ascii="Times New Roman" w:hAnsi="Times New Roman" w:eastAsia="黑体"/>
          <w:b w:val="0"/>
          <w:color w:val="212121"/>
          <w:sz w:val="32"/>
          <w:szCs w:val="32"/>
        </w:rPr>
        <w:t>发展举措</w:t>
      </w:r>
    </w:p>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着力构建亦庄消费新名片</w:t>
      </w:r>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实施亦庄消费升级行动</w:t>
      </w:r>
    </w:p>
    <w:p>
      <w:pPr>
        <w:widowControl/>
        <w:adjustRightInd w:val="0"/>
        <w:snapToGrid w:val="0"/>
        <w:spacing w:line="560" w:lineRule="exact"/>
        <w:ind w:firstLine="643" w:firstLineChars="200"/>
        <w:rPr>
          <w:rFonts w:ascii="Times New Roman" w:hAnsi="Times New Roman" w:eastAsia="仿宋_GB2312"/>
          <w:color w:val="212121"/>
          <w:sz w:val="32"/>
          <w:szCs w:val="32"/>
          <w:shd w:val="clear" w:color="auto" w:fill="FFFFFF"/>
        </w:rPr>
      </w:pPr>
      <w:bookmarkStart w:id="7" w:name="OLE_LINK17"/>
      <w:bookmarkStart w:id="8" w:name="OLE_LINK71"/>
      <w:r>
        <w:rPr>
          <w:rFonts w:hint="eastAsia" w:ascii="Times New Roman" w:hAnsi="Times New Roman" w:eastAsia="仿宋_GB2312"/>
          <w:b/>
          <w:bCs/>
          <w:color w:val="212121"/>
          <w:sz w:val="32"/>
          <w:szCs w:val="32"/>
          <w:shd w:val="clear" w:color="auto" w:fill="FFFFFF"/>
        </w:rPr>
        <w:t>——满足多元化消费需求。</w:t>
      </w:r>
      <w:r>
        <w:rPr>
          <w:rFonts w:hint="eastAsia" w:ascii="Times New Roman" w:hAnsi="Times New Roman" w:eastAsia="仿宋_GB2312"/>
          <w:color w:val="212121"/>
          <w:sz w:val="32"/>
          <w:szCs w:val="32"/>
          <w:shd w:val="clear" w:color="auto" w:fill="FFFFFF"/>
        </w:rPr>
        <w:t>持续丰富多元化消费供给，全面满足亦城</w:t>
      </w:r>
      <w:bookmarkStart w:id="9" w:name="OLE_LINK103"/>
      <w:r>
        <w:rPr>
          <w:rFonts w:hint="eastAsia" w:ascii="Times New Roman" w:hAnsi="Times New Roman" w:eastAsia="仿宋_GB2312"/>
          <w:color w:val="212121"/>
          <w:sz w:val="32"/>
          <w:szCs w:val="32"/>
          <w:shd w:val="clear" w:color="auto" w:fill="FFFFFF"/>
        </w:rPr>
        <w:t>居民、产业职工、外来游客</w:t>
      </w:r>
      <w:bookmarkEnd w:id="9"/>
      <w:r>
        <w:rPr>
          <w:rFonts w:hint="eastAsia" w:ascii="Times New Roman" w:hAnsi="Times New Roman" w:eastAsia="仿宋_GB2312"/>
          <w:color w:val="212121"/>
          <w:sz w:val="32"/>
          <w:szCs w:val="32"/>
          <w:shd w:val="clear" w:color="auto" w:fill="FFFFFF"/>
        </w:rPr>
        <w:t>等多层次消费需求，打造覆盖全年龄段、全天候、全场景、全档位消费体系。</w:t>
      </w:r>
    </w:p>
    <w:p>
      <w:pPr>
        <w:widowControl/>
        <w:adjustRightInd w:val="0"/>
        <w:snapToGrid w:val="0"/>
        <w:spacing w:line="560" w:lineRule="exact"/>
        <w:ind w:firstLine="643"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b/>
          <w:bCs/>
          <w:color w:val="212121"/>
          <w:sz w:val="32"/>
          <w:szCs w:val="32"/>
          <w:shd w:val="clear" w:color="auto" w:fill="FFFFFF"/>
        </w:rPr>
        <w:t>——创新主题化消费场景。</w:t>
      </w:r>
      <w:r>
        <w:rPr>
          <w:rFonts w:hint="eastAsia" w:ascii="Times New Roman" w:hAnsi="Times New Roman" w:eastAsia="仿宋_GB2312"/>
          <w:color w:val="212121"/>
          <w:sz w:val="32"/>
          <w:szCs w:val="32"/>
          <w:shd w:val="clear" w:color="auto" w:fill="FFFFFF"/>
        </w:rPr>
        <w:t>瞄准首发、网红、时尚等消费潮流，打造具有特色鲜明的消费载体和设施，培育体验式、个性化的消费新业态，打造亦庄特色主题消费范式。</w:t>
      </w:r>
    </w:p>
    <w:p>
      <w:pPr>
        <w:widowControl/>
        <w:adjustRightInd w:val="0"/>
        <w:snapToGrid w:val="0"/>
        <w:spacing w:line="560" w:lineRule="exact"/>
        <w:ind w:firstLine="643"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b/>
          <w:bCs/>
          <w:color w:val="212121"/>
          <w:sz w:val="32"/>
          <w:szCs w:val="32"/>
          <w:shd w:val="clear" w:color="auto" w:fill="FFFFFF"/>
        </w:rPr>
        <w:t>——打造科技化消费体验。</w:t>
      </w:r>
      <w:r>
        <w:rPr>
          <w:rFonts w:hint="eastAsia" w:ascii="Times New Roman" w:hAnsi="Times New Roman" w:eastAsia="仿宋_GB2312"/>
          <w:color w:val="212121"/>
          <w:sz w:val="32"/>
          <w:szCs w:val="32"/>
          <w:shd w:val="clear" w:color="auto" w:fill="FFFFFF"/>
        </w:rPr>
        <w:t>抢抓“消费+科技”双轮驱动发展机遇，支持创新企业和商业主体利用人工智能、自动驾驶等前沿技术，加快智能化消费布局，引领消费升级新潮流。</w:t>
      </w:r>
    </w:p>
    <w:p>
      <w:pPr>
        <w:widowControl/>
        <w:adjustRightInd w:val="0"/>
        <w:snapToGrid w:val="0"/>
        <w:spacing w:line="560" w:lineRule="exact"/>
        <w:ind w:firstLine="643"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b/>
          <w:bCs/>
          <w:color w:val="212121"/>
          <w:sz w:val="32"/>
          <w:szCs w:val="32"/>
          <w:shd w:val="clear" w:color="auto" w:fill="FFFFFF"/>
        </w:rPr>
        <w:t>——搭建全域化消费生态</w:t>
      </w:r>
      <w:r>
        <w:rPr>
          <w:rFonts w:hint="eastAsia" w:ascii="Times New Roman" w:hAnsi="Times New Roman" w:eastAsia="仿宋_GB2312"/>
          <w:color w:val="212121"/>
          <w:sz w:val="32"/>
          <w:szCs w:val="32"/>
          <w:shd w:val="clear" w:color="auto" w:fill="FFFFFF"/>
        </w:rPr>
        <w:t>。全面优化整合商区、社区、园区、景区等多维空间资源，建成覆盖全域、联动共享的消费网络体系，打造便捷、高效、可持续的消费格局。</w:t>
      </w:r>
    </w:p>
    <w:p>
      <w:pPr>
        <w:widowControl/>
        <w:adjustRightInd w:val="0"/>
        <w:snapToGrid w:val="0"/>
        <w:spacing w:line="560" w:lineRule="exact"/>
        <w:ind w:firstLine="643"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b/>
          <w:bCs/>
          <w:color w:val="212121"/>
          <w:sz w:val="32"/>
          <w:szCs w:val="32"/>
          <w:shd w:val="clear" w:color="auto" w:fill="FFFFFF"/>
        </w:rPr>
        <w:t>——营造便利化消费环境</w:t>
      </w:r>
      <w:r>
        <w:rPr>
          <w:rFonts w:hint="eastAsia" w:ascii="Times New Roman" w:hAnsi="Times New Roman" w:eastAsia="仿宋_GB2312"/>
          <w:color w:val="212121"/>
          <w:sz w:val="32"/>
          <w:szCs w:val="32"/>
          <w:shd w:val="clear" w:color="auto" w:fill="FFFFFF"/>
        </w:rPr>
        <w:t>。持续提升商圈、生活圈、办公圈及休闲圈等多维空间服务效能，打造智慧化、人性化消费场所，让消费者享受高效、舒适、无缝衔接消费环境。</w:t>
      </w:r>
    </w:p>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全面提升消费品牌吸引力</w:t>
      </w:r>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积极发展首发活动</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充分发挥首发经济的聚客引流效应，全方位、大力度鼓励国内外知名品牌在经开区开展新品首发、首秀、首展等活动，锚准消费潮流风向，全面激活消费潜能。激活产业园区、工业园区、商业综合体、创新集聚区等资源，培育打造首发空间，搭建多功能、创新性展示交易平台，促进空间载体、优势产业、时尚消费品牌的有机融合。引导经开区科技创新企业开发更多的智能、绿色等消费品牌，丰富产品供给，推动经开区成为消费活力和科技创新竞相迸发的新高地。</w:t>
      </w:r>
      <w:bookmarkEnd w:id="7"/>
      <w:bookmarkStart w:id="10" w:name="OLE_LINK22"/>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11" w:name="OLE_LINK70"/>
      <w:bookmarkStart w:id="12" w:name="_Hlk191677547"/>
      <w:r>
        <w:rPr>
          <w:rFonts w:hint="eastAsia" w:ascii="Times New Roman" w:hAnsi="Times New Roman" w:eastAsia="仿宋_GB2312"/>
          <w:color w:val="212121"/>
          <w:sz w:val="32"/>
          <w:szCs w:val="32"/>
          <w:shd w:val="clear" w:color="auto" w:fill="FFFFFF"/>
        </w:rPr>
        <w:t>对在经开区</w:t>
      </w:r>
      <w:bookmarkStart w:id="13" w:name="OLE_LINK47"/>
      <w:r>
        <w:rPr>
          <w:rFonts w:hint="eastAsia" w:ascii="Times New Roman" w:hAnsi="Times New Roman" w:eastAsia="仿宋_GB2312"/>
          <w:color w:val="212121"/>
          <w:sz w:val="32"/>
          <w:szCs w:val="32"/>
          <w:shd w:val="clear" w:color="auto" w:fill="FFFFFF"/>
        </w:rPr>
        <w:t>举办首发活动的</w:t>
      </w:r>
      <w:bookmarkEnd w:id="13"/>
      <w:r>
        <w:rPr>
          <w:rFonts w:hint="eastAsia" w:ascii="Times New Roman" w:hAnsi="Times New Roman" w:eastAsia="仿宋_GB2312"/>
          <w:color w:val="212121"/>
          <w:sz w:val="32"/>
          <w:szCs w:val="32"/>
          <w:shd w:val="clear" w:color="auto" w:fill="FFFFFF"/>
        </w:rPr>
        <w:t>，经综合评估后，按照实际发生费用（场租、搭建、宣传推广）的30%给予支持，最高给予100万元支持。</w:t>
      </w:r>
      <w:bookmarkEnd w:id="8"/>
      <w:bookmarkEnd w:id="10"/>
      <w:bookmarkEnd w:id="11"/>
    </w:p>
    <w:bookmarkEnd w:id="12"/>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大力引入首店品牌</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围绕零售、餐饮等业态，吸引全球知名品牌在经开区开设亚洲首店、中国（内地）首店、北京首店、旗舰店以及创新概念店，鼓励商业街区、商业综合体等引进国内外知名品牌，全力打造时尚消费地标。</w:t>
      </w:r>
      <w:bookmarkStart w:id="14" w:name="OLE_LINK41"/>
      <w:r>
        <w:rPr>
          <w:rFonts w:hint="eastAsia" w:ascii="Times New Roman" w:hAnsi="Times New Roman" w:eastAsia="仿宋_GB2312"/>
          <w:color w:val="212121"/>
          <w:sz w:val="32"/>
          <w:szCs w:val="32"/>
          <w:shd w:val="clear" w:color="auto" w:fill="FFFFFF"/>
        </w:rPr>
        <w:t>积极探索街区＋首店、园区+首店、公园＋首店新模式，助力品牌拓展发展空间；发挥经开区高端制造、科文融合的优势，鼓励企业探索就地开设线下实体首店。</w:t>
      </w:r>
      <w:bookmarkEnd w:id="14"/>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在经开区新开设国内外品牌亚洲首店、中国（内地）首店、北京首店、旗舰店、创新概念店的主体，项目核定实际投资（含装修设计费、设备购置及配套硬件设施建设等）超过50万元，业绩稳定且具有良好成长性，给予资金支持。</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15" w:name="OLE_LINK23"/>
      <w:r>
        <w:rPr>
          <w:rFonts w:hint="eastAsia" w:ascii="Times New Roman" w:hAnsi="Times New Roman" w:eastAsia="仿宋_GB2312"/>
          <w:color w:val="212121"/>
          <w:sz w:val="32"/>
          <w:szCs w:val="32"/>
          <w:shd w:val="clear" w:color="auto" w:fill="FFFFFF"/>
        </w:rPr>
        <w:t>其中，</w:t>
      </w:r>
      <w:bookmarkStart w:id="16" w:name="_Hlk191677664"/>
      <w:r>
        <w:rPr>
          <w:rFonts w:hint="eastAsia" w:ascii="Times New Roman" w:hAnsi="Times New Roman" w:eastAsia="仿宋_GB2312"/>
          <w:color w:val="212121"/>
          <w:sz w:val="32"/>
          <w:szCs w:val="32"/>
          <w:shd w:val="clear" w:color="auto" w:fill="FFFFFF"/>
        </w:rPr>
        <w:t>零售企业</w:t>
      </w:r>
      <w:bookmarkStart w:id="17" w:name="_Hlk191982709"/>
      <w:r>
        <w:rPr>
          <w:rFonts w:hint="eastAsia" w:ascii="Times New Roman" w:hAnsi="Times New Roman" w:eastAsia="仿宋_GB2312"/>
          <w:color w:val="212121"/>
          <w:sz w:val="32"/>
          <w:szCs w:val="32"/>
          <w:shd w:val="clear" w:color="auto" w:fill="FFFFFF"/>
        </w:rPr>
        <w:t>按照项目核定实际投资总额的30%</w:t>
      </w:r>
      <w:bookmarkEnd w:id="17"/>
      <w:r>
        <w:rPr>
          <w:rFonts w:hint="eastAsia" w:ascii="Times New Roman" w:hAnsi="Times New Roman" w:eastAsia="仿宋_GB2312"/>
          <w:color w:val="212121"/>
          <w:sz w:val="32"/>
          <w:szCs w:val="32"/>
          <w:shd w:val="clear" w:color="auto" w:fill="FFFFFF"/>
        </w:rPr>
        <w:t>，亚洲首店最高给予300万元支持，中国（内地）首店最高给予100万元支持，北京首店、旗舰店、创新概念店最高给予50万元支持；餐饮企业按照项目核定实际投资总额的10%，最高给予30万元支持。</w:t>
      </w:r>
      <w:bookmarkEnd w:id="15"/>
    </w:p>
    <w:bookmarkEnd w:id="16"/>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18" w:name="OLE_LINK84"/>
      <w:bookmarkStart w:id="19" w:name="OLE_LINK77"/>
      <w:r>
        <w:rPr>
          <w:rFonts w:hint="eastAsia" w:ascii="Times New Roman" w:hAnsi="Times New Roman" w:eastAsia="仿宋_GB2312"/>
          <w:color w:val="212121"/>
          <w:sz w:val="32"/>
          <w:szCs w:val="32"/>
          <w:shd w:val="clear" w:color="auto" w:fill="FFFFFF"/>
        </w:rPr>
        <w:t>对引进零售行业首店、旗舰店、创新概念店且与之签订2年及以上入驻协议的商业载体，按照每引进1家最高10万元的标准支持</w:t>
      </w:r>
      <w:bookmarkEnd w:id="18"/>
      <w:r>
        <w:rPr>
          <w:rFonts w:hint="eastAsia" w:ascii="Times New Roman" w:hAnsi="Times New Roman" w:eastAsia="仿宋_GB2312"/>
          <w:color w:val="212121"/>
          <w:sz w:val="32"/>
          <w:szCs w:val="32"/>
          <w:shd w:val="clear" w:color="auto" w:fill="FFFFFF"/>
        </w:rPr>
        <w:t>，单个引进方每年支持额度累计不超过50万元。</w:t>
      </w:r>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吸引</w:t>
      </w:r>
      <w:bookmarkStart w:id="20" w:name="OLE_LINK89"/>
      <w:r>
        <w:rPr>
          <w:rFonts w:hint="eastAsia" w:ascii="Times New Roman" w:hAnsi="Times New Roman" w:eastAsia="仿宋_GB2312" w:cstheme="minorBidi"/>
          <w:b/>
          <w:bCs/>
          <w:color w:val="000000" w:themeColor="text1"/>
          <w:spacing w:val="-4"/>
          <w:sz w:val="32"/>
          <w:szCs w:val="32"/>
          <w14:textFill>
            <w14:solidFill>
              <w14:schemeClr w14:val="tx1"/>
            </w14:solidFill>
          </w14:textFill>
        </w:rPr>
        <w:t>知名零售消费品牌</w:t>
      </w:r>
      <w:bookmarkEnd w:id="20"/>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积极与国际接轨，大力引进知名零售消费品牌，推动商业设施和服务水平的提升，营造优越的消费环境，满足消费者多元化的需求，完善消费体验场景，促进消费升级，打造高能级、高品质、高颜值的商圈，进一步强化经开区城市的商业吸引力，提升经开区消费市场的国际化水平。</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对在经开区首次投资开设旗舰店的知名零售消费品牌，经综合评审后，按照项目核定实际投资（含装修设计费、设备购置及配套硬件设施建设等）总额的50%给予一次性资金支持，其中，零售</w:t>
      </w:r>
      <w:bookmarkStart w:id="21" w:name="OLE_LINK87"/>
      <w:r>
        <w:rPr>
          <w:rFonts w:hint="eastAsia" w:ascii="Times New Roman" w:hAnsi="Times New Roman" w:eastAsia="仿宋_GB2312"/>
          <w:color w:val="212121"/>
          <w:sz w:val="32"/>
          <w:szCs w:val="32"/>
          <w:shd w:val="clear" w:color="auto" w:fill="FFFFFF"/>
        </w:rPr>
        <w:t>品牌门店</w:t>
      </w:r>
      <w:bookmarkEnd w:id="21"/>
      <w:r>
        <w:rPr>
          <w:rFonts w:hint="eastAsia" w:ascii="Times New Roman" w:hAnsi="Times New Roman" w:eastAsia="仿宋_GB2312"/>
          <w:color w:val="212121"/>
          <w:sz w:val="32"/>
          <w:szCs w:val="32"/>
          <w:shd w:val="clear" w:color="auto" w:fill="FFFFFF"/>
        </w:rPr>
        <w:t>，最高给予500万元支持；餐饮品牌门店，最高给予50万元支持。</w:t>
      </w:r>
    </w:p>
    <w:bookmarkEnd w:id="19"/>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22" w:name="OLE_LINK14"/>
      <w:bookmarkStart w:id="23" w:name="OLE_LINK8"/>
      <w:r>
        <w:rPr>
          <w:rFonts w:hint="eastAsia" w:ascii="Times New Roman" w:hAnsi="Times New Roman" w:eastAsia="仿宋_GB2312" w:cstheme="minorBidi"/>
          <w:b/>
          <w:bCs/>
          <w:color w:val="000000" w:themeColor="text1"/>
          <w:spacing w:val="-4"/>
          <w:sz w:val="32"/>
          <w:szCs w:val="32"/>
          <w14:textFill>
            <w14:solidFill>
              <w14:schemeClr w14:val="tx1"/>
            </w14:solidFill>
          </w14:textFill>
        </w:rPr>
        <w:t>培育优质餐饮品牌</w:t>
      </w:r>
    </w:p>
    <w:bookmarkEnd w:id="22"/>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24" w:name="OLE_LINK2"/>
      <w:r>
        <w:rPr>
          <w:rFonts w:hint="eastAsia" w:ascii="Times New Roman" w:hAnsi="Times New Roman" w:eastAsia="仿宋_GB2312"/>
          <w:color w:val="212121"/>
          <w:sz w:val="32"/>
          <w:szCs w:val="32"/>
          <w:shd w:val="clear" w:color="auto" w:fill="FFFFFF"/>
        </w:rPr>
        <w:t>支持引入国际国内优质餐饮或连锁品牌，全面提升餐饮业质量安全水平，推动餐饮单位结合外部环境、品牌特色，营造体现经开区文化与创新的就餐氛围，</w:t>
      </w:r>
      <w:bookmarkStart w:id="25" w:name="OLE_LINK28"/>
      <w:r>
        <w:rPr>
          <w:rFonts w:hint="eastAsia" w:ascii="Times New Roman" w:hAnsi="Times New Roman" w:eastAsia="仿宋_GB2312"/>
          <w:color w:val="212121"/>
          <w:sz w:val="32"/>
          <w:szCs w:val="32"/>
          <w:shd w:val="clear" w:color="auto" w:fill="FFFFFF"/>
        </w:rPr>
        <w:t>提升餐饮业品质，助力提升“亦城”烟火气。大力吸引更多高端精致餐饮落户，积极发展和培育“米其林”“黑珍珠”“必吃榜”等权威性与影响力的高品质餐饮入驻</w:t>
      </w:r>
      <w:bookmarkEnd w:id="25"/>
      <w:r>
        <w:rPr>
          <w:rFonts w:hint="eastAsia" w:ascii="Times New Roman" w:hAnsi="Times New Roman" w:eastAsia="仿宋_GB2312"/>
          <w:color w:val="212121"/>
          <w:sz w:val="32"/>
          <w:szCs w:val="32"/>
          <w:shd w:val="clear" w:color="auto" w:fill="FFFFFF"/>
        </w:rPr>
        <w:t>，不断完善经开区高端餐饮市场，持续丰富餐饮业态。</w:t>
      </w:r>
      <w:bookmarkStart w:id="26" w:name="OLE_LINK46"/>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27" w:name="OLE_LINK82"/>
      <w:r>
        <w:rPr>
          <w:rFonts w:hint="eastAsia" w:ascii="Times New Roman" w:hAnsi="Times New Roman" w:eastAsia="仿宋_GB2312"/>
          <w:color w:val="212121"/>
          <w:sz w:val="32"/>
          <w:szCs w:val="32"/>
          <w:shd w:val="clear" w:color="auto" w:fill="FFFFFF"/>
        </w:rPr>
        <w:t>每年遴选10家有特色、高品质、优质服务的餐饮品牌</w:t>
      </w:r>
      <w:bookmarkEnd w:id="26"/>
      <w:r>
        <w:rPr>
          <w:rFonts w:hint="eastAsia" w:ascii="Times New Roman" w:hAnsi="Times New Roman" w:eastAsia="仿宋_GB2312"/>
          <w:color w:val="212121"/>
          <w:sz w:val="32"/>
          <w:szCs w:val="32"/>
          <w:shd w:val="clear" w:color="auto" w:fill="FFFFFF"/>
        </w:rPr>
        <w:t>，形成北京亦庄十大餐饮品牌，并对外公开集中发布，</w:t>
      </w:r>
      <w:bookmarkStart w:id="28" w:name="OLE_LINK30"/>
      <w:r>
        <w:rPr>
          <w:rFonts w:hint="eastAsia" w:ascii="Times New Roman" w:hAnsi="Times New Roman" w:eastAsia="仿宋_GB2312"/>
          <w:color w:val="212121"/>
          <w:sz w:val="32"/>
          <w:szCs w:val="32"/>
          <w:shd w:val="clear" w:color="auto" w:fill="FFFFFF"/>
        </w:rPr>
        <w:t>为经开区餐饮企业树立标杆，</w:t>
      </w:r>
      <w:bookmarkEnd w:id="28"/>
      <w:bookmarkStart w:id="29" w:name="OLE_LINK36"/>
      <w:r>
        <w:rPr>
          <w:rFonts w:hint="eastAsia" w:ascii="Times New Roman" w:hAnsi="Times New Roman" w:eastAsia="仿宋_GB2312"/>
          <w:color w:val="212121"/>
          <w:sz w:val="32"/>
          <w:szCs w:val="32"/>
          <w:shd w:val="clear" w:color="auto" w:fill="FFFFFF"/>
        </w:rPr>
        <w:t>对入选北京亦庄十大餐饮品牌的</w:t>
      </w:r>
      <w:bookmarkEnd w:id="29"/>
      <w:r>
        <w:rPr>
          <w:rFonts w:hint="eastAsia" w:ascii="Times New Roman" w:hAnsi="Times New Roman" w:eastAsia="仿宋_GB2312"/>
          <w:color w:val="212121"/>
          <w:sz w:val="32"/>
          <w:szCs w:val="32"/>
          <w:shd w:val="clear" w:color="auto" w:fill="FFFFFF"/>
        </w:rPr>
        <w:t>，</w:t>
      </w:r>
      <w:bookmarkStart w:id="30" w:name="_Hlk191678022"/>
      <w:r>
        <w:rPr>
          <w:rFonts w:hint="eastAsia" w:ascii="Times New Roman" w:hAnsi="Times New Roman" w:eastAsia="仿宋_GB2312"/>
          <w:color w:val="212121"/>
          <w:sz w:val="32"/>
          <w:szCs w:val="32"/>
          <w:shd w:val="clear" w:color="auto" w:fill="FFFFFF"/>
        </w:rPr>
        <w:t>给予20万元一次性支持</w:t>
      </w:r>
      <w:bookmarkEnd w:id="30"/>
      <w:r>
        <w:rPr>
          <w:rFonts w:hint="eastAsia" w:ascii="Times New Roman" w:hAnsi="Times New Roman" w:eastAsia="仿宋_GB2312"/>
          <w:color w:val="212121"/>
          <w:sz w:val="32"/>
          <w:szCs w:val="32"/>
          <w:shd w:val="clear" w:color="auto" w:fill="FFFFFF"/>
        </w:rPr>
        <w:t>。</w:t>
      </w:r>
      <w:bookmarkStart w:id="31" w:name="OLE_LINK53"/>
      <w:bookmarkStart w:id="32" w:name="_Hlk190417059"/>
    </w:p>
    <w:p>
      <w:pPr>
        <w:widowControl/>
        <w:adjustRightInd w:val="0"/>
        <w:snapToGrid w:val="0"/>
        <w:spacing w:line="560" w:lineRule="exact"/>
        <w:ind w:firstLine="640" w:firstLineChars="200"/>
        <w:rPr>
          <w:rFonts w:ascii="Times New Roman" w:hAnsi="Times New Roman" w:eastAsia="仿宋_GB2312"/>
          <w:color w:val="212121"/>
          <w:sz w:val="32"/>
          <w:szCs w:val="32"/>
          <w:u w:val="single"/>
          <w:shd w:val="clear" w:color="auto" w:fill="FFFFFF"/>
        </w:rPr>
      </w:pPr>
      <w:bookmarkStart w:id="33" w:name="OLE_LINK64"/>
      <w:r>
        <w:rPr>
          <w:rFonts w:hint="eastAsia" w:ascii="Times New Roman" w:hAnsi="Times New Roman" w:eastAsia="仿宋_GB2312"/>
          <w:color w:val="212121"/>
          <w:sz w:val="32"/>
          <w:szCs w:val="32"/>
          <w:shd w:val="clear" w:color="auto" w:fill="FFFFFF"/>
        </w:rPr>
        <w:t>对在经开区设有核心运营等职能机构的全国或全市连锁餐饮总部企业，</w:t>
      </w:r>
      <w:bookmarkStart w:id="34" w:name="_Hlk191678059"/>
      <w:r>
        <w:rPr>
          <w:rFonts w:hint="eastAsia" w:ascii="Times New Roman" w:hAnsi="Times New Roman" w:eastAsia="仿宋_GB2312"/>
          <w:color w:val="212121"/>
          <w:sz w:val="32"/>
          <w:szCs w:val="32"/>
          <w:shd w:val="clear" w:color="auto" w:fill="FFFFFF"/>
        </w:rPr>
        <w:t>营收超过10亿元以上的且增速为正的，经综合评审后，每年给予30万元一次性支持</w:t>
      </w:r>
      <w:bookmarkEnd w:id="34"/>
      <w:r>
        <w:rPr>
          <w:rFonts w:hint="eastAsia" w:ascii="Times New Roman" w:hAnsi="Times New Roman" w:eastAsia="仿宋_GB2312"/>
          <w:color w:val="212121"/>
          <w:sz w:val="32"/>
          <w:szCs w:val="32"/>
          <w:shd w:val="clear" w:color="auto" w:fill="FFFFFF"/>
        </w:rPr>
        <w:t>。</w:t>
      </w:r>
      <w:bookmarkEnd w:id="31"/>
      <w:bookmarkEnd w:id="33"/>
    </w:p>
    <w:bookmarkEnd w:id="23"/>
    <w:bookmarkEnd w:id="24"/>
    <w:bookmarkEnd w:id="27"/>
    <w:bookmarkEnd w:id="32"/>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bookmarkStart w:id="35" w:name="OLE_LINK11"/>
      <w:r>
        <w:rPr>
          <w:rFonts w:hint="eastAsia" w:ascii="仿宋_GB2312" w:hAnsi="仿宋" w:eastAsia="仿宋_GB2312"/>
          <w:b/>
          <w:bCs/>
          <w:sz w:val="32"/>
          <w:szCs w:val="32"/>
        </w:rPr>
        <w:t>加速完善消费空间磁场力</w:t>
      </w:r>
      <w:bookmarkEnd w:id="35"/>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36" w:name="OLE_LINK6"/>
      <w:r>
        <w:rPr>
          <w:rFonts w:hint="eastAsia" w:ascii="Times New Roman" w:hAnsi="Times New Roman" w:eastAsia="仿宋_GB2312" w:cstheme="minorBidi"/>
          <w:b/>
          <w:bCs/>
          <w:color w:val="000000" w:themeColor="text1"/>
          <w:spacing w:val="-4"/>
          <w:sz w:val="32"/>
          <w:szCs w:val="32"/>
          <w14:textFill>
            <w14:solidFill>
              <w14:schemeClr w14:val="tx1"/>
            </w14:solidFill>
          </w14:textFill>
        </w:rPr>
        <w:t>支持零售餐饮门店建设</w:t>
      </w:r>
    </w:p>
    <w:p>
      <w:pPr>
        <w:widowControl/>
        <w:adjustRightInd w:val="0"/>
        <w:snapToGrid w:val="0"/>
        <w:spacing w:line="560" w:lineRule="exact"/>
        <w:ind w:firstLine="640" w:firstLineChars="200"/>
        <w:rPr>
          <w:rFonts w:ascii="Times New Roman" w:hAnsi="Times New Roman" w:eastAsia="仿宋_GB2312"/>
          <w:color w:val="212121"/>
          <w:sz w:val="32"/>
          <w:szCs w:val="32"/>
          <w:u w:val="single"/>
          <w:shd w:val="clear" w:color="auto" w:fill="FFFFFF"/>
        </w:rPr>
      </w:pPr>
      <w:r>
        <w:rPr>
          <w:rFonts w:hint="eastAsia" w:ascii="Times New Roman" w:hAnsi="Times New Roman" w:eastAsia="仿宋_GB2312"/>
          <w:color w:val="212121"/>
          <w:sz w:val="32"/>
          <w:szCs w:val="32"/>
          <w:shd w:val="clear" w:color="auto" w:fill="FFFFFF"/>
        </w:rPr>
        <w:t>支持</w:t>
      </w:r>
      <w:bookmarkStart w:id="37" w:name="OLE_LINK66"/>
      <w:r>
        <w:rPr>
          <w:rFonts w:hint="eastAsia" w:ascii="Times New Roman" w:hAnsi="Times New Roman" w:eastAsia="仿宋_GB2312"/>
          <w:color w:val="212121"/>
          <w:sz w:val="32"/>
          <w:szCs w:val="32"/>
          <w:shd w:val="clear" w:color="auto" w:fill="FFFFFF"/>
        </w:rPr>
        <w:t>零售、餐饮</w:t>
      </w:r>
      <w:bookmarkEnd w:id="37"/>
      <w:r>
        <w:rPr>
          <w:rFonts w:hint="eastAsia" w:ascii="Times New Roman" w:hAnsi="Times New Roman" w:eastAsia="仿宋_GB2312"/>
          <w:color w:val="212121"/>
          <w:sz w:val="32"/>
          <w:szCs w:val="32"/>
          <w:shd w:val="clear" w:color="auto" w:fill="FFFFFF"/>
        </w:rPr>
        <w:t>门店落地经开区，丰富经开区消费品牌体系，打造更具烟火气的氛围。鼓励运营商、市场主体强化功能定位，应用新技术、引入国际国内时尚设计，新建零售、餐饮网点或对网点进行改造升级和智慧化提升，</w:t>
      </w:r>
      <w:bookmarkStart w:id="38" w:name="OLE_LINK24"/>
      <w:r>
        <w:rPr>
          <w:rFonts w:hint="eastAsia" w:ascii="Times New Roman" w:hAnsi="Times New Roman" w:eastAsia="仿宋_GB2312"/>
          <w:color w:val="212121"/>
          <w:sz w:val="32"/>
          <w:szCs w:val="32"/>
          <w:shd w:val="clear" w:color="auto" w:fill="FFFFFF"/>
        </w:rPr>
        <w:t>优化内外环境、增设人性化服务设施、打造风貌特色，</w:t>
      </w:r>
      <w:bookmarkEnd w:id="38"/>
      <w:r>
        <w:rPr>
          <w:rFonts w:hint="eastAsia" w:ascii="Times New Roman" w:hAnsi="Times New Roman" w:eastAsia="仿宋_GB2312"/>
          <w:color w:val="212121"/>
          <w:sz w:val="32"/>
          <w:szCs w:val="32"/>
          <w:shd w:val="clear" w:color="auto" w:fill="FFFFFF"/>
        </w:rPr>
        <w:t>全方位提升区域商业品牌吸引力与居民消费品质。</w:t>
      </w:r>
      <w:bookmarkStart w:id="39" w:name="OLE_LINK34"/>
      <w:bookmarkStart w:id="40" w:name="OLE_LINK54"/>
      <w:r>
        <w:rPr>
          <w:rFonts w:hint="eastAsia" w:ascii="Times New Roman" w:hAnsi="Times New Roman" w:eastAsia="仿宋_GB2312"/>
          <w:color w:val="212121"/>
          <w:sz w:val="32"/>
          <w:szCs w:val="32"/>
          <w:shd w:val="clear" w:color="auto" w:fill="FFFFFF"/>
        </w:rPr>
        <w:t>对门店新建项目、改造升级项目（包括门店外立面改造、店内装修、设备购置及水电气热等配套设施）和智慧化建设的项目（包括建设智慧设施、提供智慧服务场景、实施智慧管理等），经综合评估后，给予支持。</w:t>
      </w:r>
      <w:bookmarkStart w:id="41" w:name="OLE_LINK56"/>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42" w:name="OLE_LINK80"/>
      <w:bookmarkStart w:id="43" w:name="_Hlk191677886"/>
      <w:r>
        <w:rPr>
          <w:rFonts w:hint="eastAsia" w:ascii="Times New Roman" w:hAnsi="Times New Roman" w:eastAsia="仿宋_GB2312"/>
          <w:color w:val="212121"/>
          <w:sz w:val="32"/>
          <w:szCs w:val="32"/>
          <w:shd w:val="clear" w:color="auto" w:fill="FFFFFF"/>
        </w:rPr>
        <w:t>对零售门店营业面积达1000平方米及以上，新建投资额500万元（含）以上，改造扩建（含智慧化改造）投资额200万元（含）以上的，</w:t>
      </w:r>
      <w:bookmarkStart w:id="44" w:name="OLE_LINK59"/>
      <w:bookmarkStart w:id="45" w:name="OLE_LINK90"/>
      <w:r>
        <w:rPr>
          <w:rFonts w:hint="eastAsia" w:ascii="Times New Roman" w:hAnsi="Times New Roman" w:eastAsia="仿宋_GB2312"/>
          <w:color w:val="212121"/>
          <w:sz w:val="32"/>
          <w:szCs w:val="32"/>
          <w:shd w:val="clear" w:color="auto" w:fill="FFFFFF"/>
        </w:rPr>
        <w:t>按实际投资总额的30％给予一次性支持，单个项目最高支持额度不超过200万元。</w:t>
      </w:r>
      <w:bookmarkEnd w:id="44"/>
    </w:p>
    <w:bookmarkEnd w:id="42"/>
    <w:bookmarkEnd w:id="45"/>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对餐饮门店营业面积达500平方米及以上，新建投资额200万元（含）以上，改造扩建（含智慧化改造）投资额100万元（含）以上的，按实际投资总额的10％给予一次性支持，单个项目最高支持额度不超过50万元。</w:t>
      </w:r>
      <w:bookmarkEnd w:id="39"/>
      <w:bookmarkEnd w:id="40"/>
      <w:bookmarkEnd w:id="41"/>
      <w:bookmarkEnd w:id="43"/>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支持商业综合体</w:t>
      </w:r>
      <w:bookmarkEnd w:id="36"/>
      <w:r>
        <w:rPr>
          <w:rFonts w:hint="eastAsia" w:ascii="Times New Roman" w:hAnsi="Times New Roman" w:eastAsia="仿宋_GB2312" w:cstheme="minorBidi"/>
          <w:b/>
          <w:bCs/>
          <w:color w:val="000000" w:themeColor="text1"/>
          <w:spacing w:val="-4"/>
          <w:sz w:val="32"/>
          <w:szCs w:val="32"/>
          <w14:textFill>
            <w14:solidFill>
              <w14:schemeClr w14:val="tx1"/>
            </w14:solidFill>
          </w14:textFill>
        </w:rPr>
        <w:t>建设</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46" w:name="OLE_LINK31"/>
      <w:r>
        <w:rPr>
          <w:rFonts w:hint="eastAsia" w:ascii="Times New Roman" w:hAnsi="Times New Roman" w:eastAsia="仿宋_GB2312"/>
          <w:color w:val="212121"/>
          <w:sz w:val="32"/>
          <w:szCs w:val="32"/>
          <w:shd w:val="clear" w:color="auto" w:fill="FFFFFF"/>
        </w:rPr>
        <w:t>大力推动经开区大型商业载体成为汇聚人气、激发消费活力、引领城市发展的核心引擎，不断丰富经开区商业载体矩阵。鼓励在本区以高规格、高标准建设并运营大型商业载体，推动现有大型商业载体项目通过升级改造，对接国际消费中心，接轨国际前沿消费模式。</w:t>
      </w:r>
      <w:bookmarkEnd w:id="46"/>
      <w:r>
        <w:rPr>
          <w:rFonts w:hint="eastAsia" w:ascii="Times New Roman" w:hAnsi="Times New Roman" w:eastAsia="仿宋_GB2312"/>
          <w:color w:val="212121"/>
          <w:sz w:val="32"/>
          <w:szCs w:val="32"/>
          <w:shd w:val="clear" w:color="auto" w:fill="FFFFFF"/>
        </w:rPr>
        <w:t>鼓励商业综合体学习借鉴全球知名商业中心的成功经验，引入限时快闪店、沉浸式体验消费场景、无人零售等新颖业态，让消费者在家门口感受世界潮流消费风向。</w:t>
      </w:r>
      <w:bookmarkStart w:id="47" w:name="OLE_LINK37"/>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48" w:name="OLE_LINK85"/>
      <w:r>
        <w:rPr>
          <w:rFonts w:hint="eastAsia" w:ascii="Times New Roman" w:hAnsi="Times New Roman" w:eastAsia="仿宋_GB2312"/>
          <w:color w:val="212121"/>
          <w:sz w:val="32"/>
          <w:szCs w:val="32"/>
          <w:shd w:val="clear" w:color="auto" w:fill="FFFFFF"/>
        </w:rPr>
        <w:t>对新建或改造、扩建投资额2000万元以上，5万平方米（含）以上、运营一年内（含），店铺开业率达到70%（含）以上的大型商业综合体，经综合评定后，按实际投资总额20％给予支持，分2年按照60%、40%的比例支付，企业第二年营业收入增速应不低于当年经开区平均增速，单个项目支持额度不超过500万元。</w:t>
      </w:r>
      <w:bookmarkEnd w:id="47"/>
      <w:bookmarkEnd w:id="48"/>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49" w:name="_Hlk187524114"/>
      <w:r>
        <w:rPr>
          <w:rFonts w:hint="eastAsia" w:ascii="Times New Roman" w:hAnsi="Times New Roman" w:eastAsia="仿宋_GB2312" w:cstheme="minorBidi"/>
          <w:b/>
          <w:bCs/>
          <w:color w:val="000000" w:themeColor="text1"/>
          <w:spacing w:val="-4"/>
          <w:sz w:val="32"/>
          <w:szCs w:val="32"/>
          <w14:textFill>
            <w14:solidFill>
              <w14:schemeClr w14:val="tx1"/>
            </w14:solidFill>
          </w14:textFill>
        </w:rPr>
        <w:t>积极建设培育商业街区</w:t>
      </w:r>
      <w:bookmarkEnd w:id="49"/>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50" w:name="OLE_LINK33"/>
      <w:bookmarkStart w:id="51" w:name="OLE_LINK42"/>
      <w:r>
        <w:rPr>
          <w:rFonts w:hint="eastAsia" w:ascii="Times New Roman" w:hAnsi="Times New Roman" w:eastAsia="仿宋_GB2312"/>
          <w:color w:val="212121"/>
          <w:sz w:val="32"/>
          <w:szCs w:val="32"/>
          <w:shd w:val="clear" w:color="auto" w:fill="FFFFFF"/>
        </w:rPr>
        <w:t>加强特色商业街区建设的规范和指导，着力培育5—8条具有示范引领和辐射带动作用的特色商业街区，包括商业步行街和特色餐饮街区，全力促进消费提质升级，为经开区商业和消费发展打造新引擎。支持餐饮、零售、文化、娱乐、旅游等各类市场主体延长营业时间，丰富夜间消费供给，创新夜间消费场景和产品，加快建设夜间消费品牌和集聚区，积极培育一批“夜京城”特色消费地标，打造具有特色魅力和烟火气息的夜间经济。</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打造不少于2—3条集餐饮、购物、休闲、娱乐、文化展示于一体充满活力与魅力的商业步行街，满足市民多元消费需求的重要平台和亮丽名片。</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对获得北京市商业步行街认定的项目，经评审后给予一次性20万元的支持；对获得市级商业步行街政策资金支持的项目，按照北京市级支持资金给予50%配套资金支持，最高给予200万元支持。</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精心打造3—5条具有独特魅力的特色餐饮街区，规划布局合理，门店集中分布，菜系丰富多样，满足不同顾客群体的多样化口味需求和轻松便捷的就餐体验，为城市增添更多烟火气与活力。</w:t>
      </w:r>
      <w:bookmarkStart w:id="52" w:name="OLE_LINK21"/>
      <w:bookmarkStart w:id="53" w:name="OLE_LINK86"/>
      <w:bookmarkStart w:id="54" w:name="OLE_LINK78"/>
    </w:p>
    <w:p>
      <w:pPr>
        <w:widowControl/>
        <w:adjustRightInd w:val="0"/>
        <w:snapToGrid w:val="0"/>
        <w:spacing w:line="560" w:lineRule="exact"/>
        <w:ind w:firstLine="640" w:firstLineChars="200"/>
        <w:rPr>
          <w:rFonts w:ascii="Times New Roman" w:hAnsi="Times New Roman" w:eastAsia="仿宋_GB2312"/>
          <w:color w:val="FF0000"/>
          <w:sz w:val="32"/>
          <w:szCs w:val="32"/>
          <w:shd w:val="clear" w:color="auto" w:fill="FFFFFF"/>
        </w:rPr>
      </w:pPr>
      <w:r>
        <w:rPr>
          <w:rFonts w:hint="eastAsia" w:ascii="Times New Roman" w:hAnsi="Times New Roman" w:eastAsia="仿宋_GB2312"/>
          <w:color w:val="212121"/>
          <w:sz w:val="32"/>
          <w:szCs w:val="32"/>
          <w:shd w:val="clear" w:color="auto" w:fill="FFFFFF"/>
        </w:rPr>
        <w:t>对获得北京市特色餐饮聚集街区认定的项目，经评审后给予一次性10万元支持；对获得市级特色餐饮聚集街区政策资金支持的项目，按照北京市级支持资金给予50%配套资金支持，最高给予50万元支持</w:t>
      </w:r>
      <w:bookmarkEnd w:id="52"/>
      <w:r>
        <w:rPr>
          <w:rFonts w:hint="eastAsia" w:ascii="Times New Roman" w:hAnsi="Times New Roman" w:eastAsia="仿宋_GB2312"/>
          <w:color w:val="212121"/>
          <w:sz w:val="32"/>
          <w:szCs w:val="32"/>
          <w:shd w:val="clear" w:color="auto" w:fill="FFFFFF"/>
        </w:rPr>
        <w:t>。</w:t>
      </w:r>
      <w:bookmarkEnd w:id="50"/>
      <w:bookmarkEnd w:id="51"/>
      <w:bookmarkEnd w:id="53"/>
    </w:p>
    <w:bookmarkEnd w:id="54"/>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加快</w:t>
      </w:r>
      <w:bookmarkStart w:id="55" w:name="OLE_LINK12"/>
      <w:r>
        <w:rPr>
          <w:rFonts w:hint="eastAsia" w:ascii="Times New Roman" w:hAnsi="Times New Roman" w:eastAsia="仿宋_GB2312" w:cstheme="minorBidi"/>
          <w:b/>
          <w:bCs/>
          <w:color w:val="000000" w:themeColor="text1"/>
          <w:spacing w:val="-4"/>
          <w:sz w:val="32"/>
          <w:szCs w:val="32"/>
          <w14:textFill>
            <w14:solidFill>
              <w14:schemeClr w14:val="tx1"/>
            </w14:solidFill>
          </w14:textFill>
        </w:rPr>
        <w:t>一刻钟便民生活圈</w:t>
      </w:r>
      <w:bookmarkEnd w:id="55"/>
      <w:r>
        <w:rPr>
          <w:rFonts w:hint="eastAsia" w:ascii="Times New Roman" w:hAnsi="Times New Roman" w:eastAsia="仿宋_GB2312" w:cstheme="minorBidi"/>
          <w:b/>
          <w:bCs/>
          <w:color w:val="000000" w:themeColor="text1"/>
          <w:spacing w:val="-4"/>
          <w:sz w:val="32"/>
          <w:szCs w:val="32"/>
          <w14:textFill>
            <w14:solidFill>
              <w14:schemeClr w14:val="tx1"/>
            </w14:solidFill>
          </w14:textFill>
        </w:rPr>
        <w:t>建设</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以满足社区居民日常生活的便利化品质为核心，不断拓展完善社区商业服务功能和商业设施配套，巩固基本保障业态，扩大品质提升类业态，持续推动生活圈便利化、品质化、智慧化。推进一刻钟便民生活圈建设，进一步优化调整社区商业业态，建设一批网点布局合理、业态丰富、品质优良、价格实惠、服务有序、智慧便捷的一刻钟便民生活圈。</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56" w:name="OLE_LINK69"/>
      <w:r>
        <w:rPr>
          <w:rFonts w:hint="eastAsia" w:ascii="Times New Roman" w:hAnsi="Times New Roman" w:eastAsia="仿宋_GB2312"/>
          <w:color w:val="212121"/>
          <w:sz w:val="32"/>
          <w:szCs w:val="32"/>
          <w:shd w:val="clear" w:color="auto" w:fill="FFFFFF"/>
        </w:rPr>
        <w:t>对</w:t>
      </w:r>
      <w:bookmarkStart w:id="57" w:name="OLE_LINK1"/>
      <w:r>
        <w:rPr>
          <w:rFonts w:hint="eastAsia" w:ascii="Times New Roman" w:hAnsi="Times New Roman" w:eastAsia="仿宋_GB2312"/>
          <w:color w:val="212121"/>
          <w:sz w:val="32"/>
          <w:szCs w:val="32"/>
          <w:shd w:val="clear" w:color="auto" w:fill="FFFFFF"/>
        </w:rPr>
        <w:t>经市级评估验收的一刻钟便民生活圈的，对一店多能网点和一站式商业便民服务中心</w:t>
      </w:r>
      <w:bookmarkStart w:id="58" w:name="OLE_LINK81"/>
      <w:r>
        <w:rPr>
          <w:rFonts w:hint="eastAsia" w:ascii="Times New Roman" w:hAnsi="Times New Roman" w:eastAsia="仿宋_GB2312"/>
          <w:color w:val="212121"/>
          <w:sz w:val="32"/>
          <w:szCs w:val="32"/>
          <w:shd w:val="clear" w:color="auto" w:fill="FFFFFF"/>
        </w:rPr>
        <w:t>的运营主体</w:t>
      </w:r>
      <w:bookmarkEnd w:id="58"/>
      <w:r>
        <w:rPr>
          <w:rFonts w:hint="eastAsia" w:ascii="Times New Roman" w:hAnsi="Times New Roman" w:eastAsia="仿宋_GB2312"/>
          <w:color w:val="212121"/>
          <w:sz w:val="32"/>
          <w:szCs w:val="32"/>
          <w:shd w:val="clear" w:color="auto" w:fill="FFFFFF"/>
        </w:rPr>
        <w:t>，最高一次性给予100万元支持。在每个生活圈择优选取8-10家服务品质好、补足缺口业态的门店，</w:t>
      </w:r>
      <w:bookmarkStart w:id="59" w:name="OLE_LINK55"/>
      <w:r>
        <w:rPr>
          <w:rFonts w:hint="eastAsia" w:ascii="Times New Roman" w:hAnsi="Times New Roman" w:eastAsia="仿宋_GB2312"/>
          <w:color w:val="212121"/>
          <w:sz w:val="32"/>
          <w:szCs w:val="32"/>
          <w:shd w:val="clear" w:color="auto" w:fill="FFFFFF"/>
        </w:rPr>
        <w:t>经综合评审后，</w:t>
      </w:r>
      <w:bookmarkEnd w:id="59"/>
      <w:r>
        <w:rPr>
          <w:rFonts w:hint="eastAsia" w:ascii="Times New Roman" w:hAnsi="Times New Roman" w:eastAsia="仿宋_GB2312"/>
          <w:color w:val="212121"/>
          <w:sz w:val="32"/>
          <w:szCs w:val="32"/>
          <w:shd w:val="clear" w:color="auto" w:fill="FFFFFF"/>
        </w:rPr>
        <w:t>给予一次性10万元支持。</w:t>
      </w:r>
      <w:bookmarkEnd w:id="57"/>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对完善一刻钟便民服务圈基本保障业态中“小修小补小配”服务种类的运营主体，持续稳定运营1年的，经综合评审后，给予一次性5万元支持。</w:t>
      </w:r>
      <w:bookmarkEnd w:id="56"/>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对上述活动支持的主体，三年内不重复享受。</w:t>
      </w:r>
    </w:p>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持续激发消费业态新活力</w:t>
      </w:r>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60" w:name="OLE_LINK108"/>
      <w:bookmarkStart w:id="61" w:name="OLE_LINK110"/>
      <w:r>
        <w:rPr>
          <w:rFonts w:hint="eastAsia" w:ascii="Times New Roman" w:hAnsi="Times New Roman" w:eastAsia="仿宋_GB2312" w:cstheme="minorBidi"/>
          <w:b/>
          <w:bCs/>
          <w:color w:val="000000" w:themeColor="text1"/>
          <w:spacing w:val="-4"/>
          <w:sz w:val="32"/>
          <w:szCs w:val="32"/>
          <w14:textFill>
            <w14:solidFill>
              <w14:schemeClr w14:val="tx1"/>
            </w14:solidFill>
          </w14:textFill>
        </w:rPr>
        <w:t>打造国际化</w:t>
      </w:r>
      <w:bookmarkEnd w:id="60"/>
      <w:r>
        <w:rPr>
          <w:rFonts w:hint="eastAsia" w:ascii="Times New Roman" w:hAnsi="Times New Roman" w:eastAsia="仿宋_GB2312" w:cstheme="minorBidi"/>
          <w:b/>
          <w:bCs/>
          <w:color w:val="000000" w:themeColor="text1"/>
          <w:spacing w:val="-4"/>
          <w:sz w:val="32"/>
          <w:szCs w:val="32"/>
          <w14:textFill>
            <w14:solidFill>
              <w14:schemeClr w14:val="tx1"/>
            </w14:solidFill>
          </w14:textFill>
        </w:rPr>
        <w:t>年轻化消费新生态</w:t>
      </w:r>
    </w:p>
    <w:bookmarkEnd w:id="61"/>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62" w:name="OLE_LINK111"/>
      <w:r>
        <w:rPr>
          <w:rFonts w:hint="eastAsia" w:ascii="Times New Roman" w:hAnsi="Times New Roman" w:eastAsia="仿宋_GB2312"/>
          <w:color w:val="212121"/>
          <w:sz w:val="32"/>
          <w:szCs w:val="32"/>
          <w:shd w:val="clear" w:color="auto" w:fill="FFFFFF"/>
        </w:rPr>
        <w:t>积极推动多语种语言环境建设，优化重点商业设施国际化标识改造提升，扩大国际化标识的覆盖面。支持旅游景区、文化场所、宾馆酒店、餐饮场地、商业综合体、产业园区等主体新建或增设多语种服务咨询台、外卡POS机、多语种标识标牌系统、行李寄存设备等国际化、便利化、多语种消费服务设施，提升涉外消费服务功能和品质。</w:t>
      </w:r>
    </w:p>
    <w:bookmarkEnd w:id="62"/>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63" w:name="OLE_LINK109"/>
      <w:r>
        <w:rPr>
          <w:rFonts w:hint="eastAsia" w:ascii="Times New Roman" w:hAnsi="Times New Roman" w:eastAsia="仿宋_GB2312"/>
          <w:color w:val="212121"/>
          <w:sz w:val="32"/>
          <w:szCs w:val="32"/>
          <w:shd w:val="clear" w:color="auto" w:fill="FFFFFF"/>
        </w:rPr>
        <w:t>加快推进消费创新场景建设，不断植入数字科技、品牌企业、文化IP等亦庄元素，培育集科技体验、时尚购物、文化创意于一体</w:t>
      </w:r>
      <w:r>
        <w:rPr>
          <w:rFonts w:hint="eastAsia" w:ascii="Times New Roman" w:hAnsi="Times New Roman" w:eastAsia="仿宋_GB2312"/>
          <w:color w:val="212121"/>
          <w:sz w:val="32"/>
          <w:szCs w:val="32"/>
          <w:shd w:val="clear" w:color="auto" w:fill="FFFFFF"/>
          <w:lang w:eastAsia="zh-CN"/>
        </w:rPr>
        <w:t>的</w:t>
      </w:r>
      <w:r>
        <w:rPr>
          <w:rFonts w:hint="eastAsia" w:ascii="Times New Roman" w:hAnsi="Times New Roman" w:eastAsia="仿宋_GB2312"/>
          <w:color w:val="212121"/>
          <w:sz w:val="32"/>
          <w:szCs w:val="32"/>
          <w:shd w:val="clear" w:color="auto" w:fill="FFFFFF"/>
        </w:rPr>
        <w:t>沉浸式消费场所</w:t>
      </w:r>
      <w:bookmarkStart w:id="64" w:name="OLE_LINK116"/>
      <w:bookmarkStart w:id="65" w:name="OLE_LINK113"/>
      <w:bookmarkStart w:id="66" w:name="OLE_LINK112"/>
      <w:r>
        <w:rPr>
          <w:rFonts w:hint="eastAsia" w:ascii="Times New Roman" w:hAnsi="Times New Roman" w:eastAsia="仿宋_GB2312"/>
          <w:color w:val="212121"/>
          <w:sz w:val="32"/>
          <w:szCs w:val="32"/>
          <w:shd w:val="clear" w:color="auto" w:fill="FFFFFF"/>
        </w:rPr>
        <w:t>。围绕青年消费偏好，打造更多的网红创意打卡地、新奇互动点等，满足青年群体“晒、玩、聚”的多元需求</w:t>
      </w:r>
      <w:bookmarkStart w:id="67" w:name="OLE_LINK117"/>
      <w:r>
        <w:rPr>
          <w:rFonts w:hint="eastAsia" w:ascii="Times New Roman" w:hAnsi="Times New Roman" w:eastAsia="仿宋_GB2312"/>
          <w:color w:val="212121"/>
          <w:sz w:val="32"/>
          <w:szCs w:val="32"/>
          <w:shd w:val="clear" w:color="auto" w:fill="FFFFFF"/>
        </w:rPr>
        <w:t>。</w:t>
      </w:r>
      <w:bookmarkEnd w:id="64"/>
      <w:bookmarkEnd w:id="65"/>
      <w:bookmarkEnd w:id="67"/>
      <w:bookmarkStart w:id="68" w:name="OLE_LINK115"/>
      <w:bookmarkStart w:id="69" w:name="OLE_LINK114"/>
      <w:r>
        <w:rPr>
          <w:rFonts w:hint="eastAsia" w:ascii="Times New Roman" w:hAnsi="Times New Roman" w:eastAsia="仿宋_GB2312"/>
          <w:color w:val="212121"/>
          <w:sz w:val="32"/>
          <w:szCs w:val="32"/>
          <w:shd w:val="clear" w:color="auto" w:fill="FFFFFF"/>
        </w:rPr>
        <w:t>定</w:t>
      </w:r>
      <w:bookmarkEnd w:id="68"/>
      <w:r>
        <w:rPr>
          <w:rFonts w:hint="eastAsia" w:ascii="Times New Roman" w:hAnsi="Times New Roman" w:eastAsia="仿宋_GB2312"/>
          <w:color w:val="212121"/>
          <w:sz w:val="32"/>
          <w:szCs w:val="32"/>
          <w:shd w:val="clear" w:color="auto" w:fill="FFFFFF"/>
        </w:rPr>
        <w:t>期</w:t>
      </w:r>
      <w:bookmarkEnd w:id="69"/>
      <w:r>
        <w:rPr>
          <w:rFonts w:hint="eastAsia" w:ascii="Times New Roman" w:hAnsi="Times New Roman" w:eastAsia="仿宋_GB2312"/>
          <w:color w:val="212121"/>
          <w:sz w:val="32"/>
          <w:szCs w:val="32"/>
          <w:shd w:val="clear" w:color="auto" w:fill="FFFFFF"/>
        </w:rPr>
        <w:t>举办青年创意市集、街头艺术节等活动，为年轻创作者提供展示平台，持续注入新鲜消费活力。</w:t>
      </w:r>
      <w:bookmarkEnd w:id="63"/>
      <w:bookmarkEnd w:id="66"/>
    </w:p>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70" w:name="OLE_LINK45"/>
      <w:bookmarkStart w:id="71" w:name="_Hlk187524271"/>
      <w:r>
        <w:rPr>
          <w:rFonts w:hint="eastAsia" w:ascii="Times New Roman" w:hAnsi="Times New Roman" w:eastAsia="仿宋_GB2312" w:cstheme="minorBidi"/>
          <w:b/>
          <w:bCs/>
          <w:color w:val="000000" w:themeColor="text1"/>
          <w:spacing w:val="-4"/>
          <w:sz w:val="32"/>
          <w:szCs w:val="32"/>
          <w14:textFill>
            <w14:solidFill>
              <w14:schemeClr w14:val="tx1"/>
            </w14:solidFill>
          </w14:textFill>
        </w:rPr>
        <w:t>丰富促消费活动</w:t>
      </w:r>
      <w:bookmarkEnd w:id="70"/>
      <w:r>
        <w:rPr>
          <w:rFonts w:hint="eastAsia" w:ascii="Times New Roman" w:hAnsi="Times New Roman" w:eastAsia="仿宋_GB2312" w:cstheme="minorBidi"/>
          <w:b/>
          <w:bCs/>
          <w:color w:val="000000" w:themeColor="text1"/>
          <w:spacing w:val="-4"/>
          <w:sz w:val="32"/>
          <w:szCs w:val="32"/>
          <w14:textFill>
            <w14:solidFill>
              <w14:schemeClr w14:val="tx1"/>
            </w14:solidFill>
          </w14:textFill>
        </w:rPr>
        <w:t>体系</w:t>
      </w:r>
      <w:bookmarkEnd w:id="71"/>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72" w:name="OLE_LINK35"/>
      <w:r>
        <w:rPr>
          <w:rFonts w:hint="eastAsia" w:ascii="Times New Roman" w:hAnsi="Times New Roman" w:eastAsia="仿宋_GB2312"/>
          <w:color w:val="212121"/>
          <w:sz w:val="32"/>
          <w:szCs w:val="32"/>
          <w:shd w:val="clear" w:color="auto" w:fill="FFFFFF"/>
        </w:rPr>
        <w:t>落实好国家和北京市“以旧换新”政策，围绕汽车、家电、家居等重点领域，全方位、深层次、多渠道开展政策宣传推广。积极发挥大宗商品消费的带动效能，根据市场动态与消费趋势，根据需要适时推出汽车消费券、电子产品消费券等，发挥消费券撬动作用，促进消费市场的繁荣发展。</w:t>
      </w:r>
      <w:bookmarkStart w:id="73" w:name="OLE_LINK61"/>
      <w:r>
        <w:rPr>
          <w:rFonts w:hint="eastAsia" w:ascii="Times New Roman" w:hAnsi="Times New Roman" w:eastAsia="仿宋_GB2312"/>
          <w:color w:val="212121"/>
          <w:sz w:val="32"/>
          <w:szCs w:val="32"/>
          <w:shd w:val="clear" w:color="auto" w:fill="FFFFFF"/>
        </w:rPr>
        <w:t>强化业态融合，促进要素聚合，充分调动商旅文体展活动组织单位、专业服务机构、社交平台等开展联动促消费活动，推动商旅文体展融合发展，形成促消费长效机制，全面激发“大消费”潜力。</w:t>
      </w:r>
      <w:bookmarkEnd w:id="73"/>
    </w:p>
    <w:bookmarkEnd w:id="72"/>
    <w:p>
      <w:pPr>
        <w:pStyle w:val="44"/>
        <w:widowControl/>
        <w:numPr>
          <w:ilvl w:val="0"/>
          <w:numId w:val="2"/>
        </w:numPr>
        <w:spacing w:line="560" w:lineRule="exact"/>
        <w:ind w:left="1081"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74" w:name="OLE_LINK3"/>
      <w:bookmarkStart w:id="75" w:name="_Hlk187524348"/>
      <w:r>
        <w:rPr>
          <w:rFonts w:hint="eastAsia" w:ascii="Times New Roman" w:hAnsi="Times New Roman" w:eastAsia="仿宋_GB2312" w:cstheme="minorBidi"/>
          <w:b/>
          <w:bCs/>
          <w:color w:val="000000" w:themeColor="text1"/>
          <w:spacing w:val="-4"/>
          <w:sz w:val="32"/>
          <w:szCs w:val="32"/>
          <w14:textFill>
            <w14:solidFill>
              <w14:schemeClr w14:val="tx1"/>
            </w14:solidFill>
          </w14:textFill>
        </w:rPr>
        <w:t>激活</w:t>
      </w:r>
      <w:bookmarkEnd w:id="74"/>
      <w:r>
        <w:rPr>
          <w:rFonts w:hint="eastAsia" w:ascii="Times New Roman" w:hAnsi="Times New Roman" w:eastAsia="仿宋_GB2312" w:cstheme="minorBidi"/>
          <w:b/>
          <w:bCs/>
          <w:color w:val="000000" w:themeColor="text1"/>
          <w:spacing w:val="-4"/>
          <w:sz w:val="32"/>
          <w:szCs w:val="32"/>
          <w14:textFill>
            <w14:solidFill>
              <w14:schemeClr w14:val="tx1"/>
            </w14:solidFill>
          </w14:textFill>
        </w:rPr>
        <w:t>服务性消费潜能</w:t>
      </w:r>
      <w:bookmarkEnd w:id="75"/>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发挥区域创新发展优势和科文融合资源优势，不断丰富数字消费，强化人工智能、虚拟现实、机器人、数字人、高清显示等新技术在消费场景的应用。围绕智能网联汽车、消费级机器人、智能穿戴设备、虚拟现实等，全力</w:t>
      </w:r>
      <w:bookmarkStart w:id="76" w:name="OLE_LINK128"/>
      <w:r>
        <w:rPr>
          <w:rFonts w:hint="eastAsia" w:ascii="Times New Roman" w:hAnsi="Times New Roman" w:eastAsia="仿宋_GB2312"/>
          <w:color w:val="212121"/>
          <w:sz w:val="32"/>
          <w:szCs w:val="32"/>
          <w:shd w:val="clear" w:color="auto" w:fill="FFFFFF"/>
        </w:rPr>
        <w:t>拓</w:t>
      </w:r>
      <w:bookmarkEnd w:id="76"/>
      <w:r>
        <w:rPr>
          <w:rFonts w:hint="eastAsia" w:ascii="Times New Roman" w:hAnsi="Times New Roman" w:eastAsia="仿宋_GB2312"/>
          <w:color w:val="212121"/>
          <w:sz w:val="32"/>
          <w:szCs w:val="32"/>
          <w:shd w:val="clear" w:color="auto" w:fill="FFFFFF"/>
        </w:rPr>
        <w:t>展技术研发、产品升级与应用，</w:t>
      </w:r>
      <w:r>
        <w:rPr>
          <w:rFonts w:ascii="Times New Roman" w:hAnsi="Times New Roman" w:eastAsia="仿宋_GB2312"/>
          <w:color w:val="212121"/>
          <w:sz w:val="32"/>
          <w:szCs w:val="32"/>
          <w:shd w:val="clear" w:color="auto" w:fill="FFFFFF"/>
        </w:rPr>
        <w:t>做强做优智慧电竞、无人零售、自动驾驶出租等数字消费新业态，放大产业集聚效应，打造数字经济发展新引擎</w:t>
      </w:r>
      <w:r>
        <w:rPr>
          <w:rFonts w:hint="eastAsia" w:ascii="Times New Roman" w:hAnsi="Times New Roman" w:eastAsia="仿宋_GB2312"/>
          <w:color w:val="212121"/>
          <w:sz w:val="32"/>
          <w:szCs w:val="32"/>
          <w:shd w:val="clear" w:color="auto" w:fill="FFFFFF"/>
        </w:rPr>
        <w:t>。不断丰富虚拟消费场景，推动数字直播间、数字艺术馆、数字展览会等业态布局，建成区域科文融合、产业升级与消费升级协同共进的新局面。</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77" w:name="OLE_LINK121"/>
      <w:r>
        <w:rPr>
          <w:rFonts w:hint="eastAsia" w:ascii="Times New Roman" w:hAnsi="Times New Roman" w:eastAsia="仿宋_GB2312"/>
          <w:color w:val="212121"/>
          <w:sz w:val="32"/>
          <w:szCs w:val="32"/>
          <w:shd w:val="clear" w:color="auto" w:fill="FFFFFF"/>
        </w:rPr>
        <w:t>强化生活服务类业态，积极拓展文化艺术等，融合线上线下消费模式，打造沉浸式、体验式、互动式消费场景。</w:t>
      </w:r>
      <w:bookmarkEnd w:id="77"/>
      <w:r>
        <w:rPr>
          <w:rFonts w:hint="eastAsia" w:ascii="Times New Roman" w:hAnsi="Times New Roman" w:eastAsia="仿宋_GB2312"/>
          <w:color w:val="212121"/>
          <w:sz w:val="32"/>
          <w:szCs w:val="32"/>
          <w:shd w:val="clear" w:color="auto" w:fill="FFFFFF"/>
        </w:rPr>
        <w:t>把握医疗康养消费热点，加强优质服务供给，积极发展“互联网+”健康医疗、高端健康管理服务，扩大医疗健康消费，释放银发经济，持续完善社区养老助餐点。加速推进冰雪场地设施建设，丰富冰雪赛事多元供给，创新“冰雪+”“+冰雪”消费场景，全方位完善冰雪消费的体系，为消费者打造沉浸式、个性化的冰雪消费体验。</w:t>
      </w:r>
    </w:p>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bookmarkStart w:id="78" w:name="OLE_LINK7"/>
      <w:bookmarkStart w:id="79" w:name="OLE_LINK32"/>
      <w:r>
        <w:rPr>
          <w:rFonts w:hint="eastAsia" w:ascii="仿宋_GB2312" w:hAnsi="仿宋" w:eastAsia="仿宋_GB2312"/>
          <w:b/>
          <w:bCs/>
          <w:sz w:val="32"/>
          <w:szCs w:val="32"/>
        </w:rPr>
        <w:t>推动制造与消费融合发展</w:t>
      </w:r>
    </w:p>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鼓励制造业产销并进</w:t>
      </w:r>
    </w:p>
    <w:p>
      <w:pPr>
        <w:widowControl/>
        <w:adjustRightInd w:val="0"/>
        <w:snapToGrid w:val="0"/>
        <w:spacing w:line="560" w:lineRule="exact"/>
        <w:ind w:firstLine="640" w:firstLineChars="200"/>
        <w:rPr>
          <w:rFonts w:ascii="Times New Roman" w:hAnsi="Times New Roman" w:eastAsia="仿宋_GB2312"/>
          <w:color w:val="000000" w:themeColor="text1"/>
          <w:sz w:val="32"/>
          <w:szCs w:val="32"/>
          <w:shd w:val="clear" w:color="auto" w:fill="FFFFFF"/>
          <w14:textFill>
            <w14:solidFill>
              <w14:schemeClr w14:val="tx1"/>
            </w14:solidFill>
          </w14:textFill>
        </w:rPr>
      </w:pPr>
      <w:r>
        <w:rPr>
          <w:rFonts w:hint="eastAsia" w:ascii="Times New Roman" w:hAnsi="Times New Roman" w:eastAsia="仿宋_GB2312"/>
          <w:color w:val="000000" w:themeColor="text1"/>
          <w:sz w:val="32"/>
          <w:szCs w:val="32"/>
          <w:shd w:val="clear" w:color="auto" w:fill="FFFFFF"/>
          <w14:textFill>
            <w14:solidFill>
              <w14:schemeClr w14:val="tx1"/>
            </w14:solidFill>
          </w14:textFill>
        </w:rPr>
        <w:t>聚焦“两业融合”发展，大力培育汽车后市场、大健康消费、智能产品消费等“商业+高精尖”特色增长点。创新“商业+汽车”消费场景，加大智能汽车展示体验场景建设，推动汽车销售、汽车赛事等新消费业态发展。推动“商业+生物医药和健康服务”融合发展，培育医疗</w:t>
      </w:r>
      <w:bookmarkStart w:id="80" w:name="OLE_LINK130"/>
      <w:r>
        <w:rPr>
          <w:rFonts w:hint="eastAsia" w:ascii="Times New Roman" w:hAnsi="Times New Roman" w:eastAsia="仿宋_GB2312"/>
          <w:color w:val="000000" w:themeColor="text1"/>
          <w:sz w:val="32"/>
          <w:szCs w:val="32"/>
          <w:shd w:val="clear" w:color="auto" w:fill="FFFFFF"/>
          <w14:textFill>
            <w14:solidFill>
              <w14:schemeClr w14:val="tx1"/>
            </w14:solidFill>
          </w14:textFill>
        </w:rPr>
        <w:t>美容</w:t>
      </w:r>
      <w:bookmarkEnd w:id="80"/>
      <w:r>
        <w:rPr>
          <w:rFonts w:hint="eastAsia" w:ascii="Times New Roman" w:hAnsi="Times New Roman" w:eastAsia="仿宋_GB2312"/>
          <w:color w:val="000000" w:themeColor="text1"/>
          <w:sz w:val="32"/>
          <w:szCs w:val="32"/>
          <w:shd w:val="clear" w:color="auto" w:fill="FFFFFF"/>
          <w14:textFill>
            <w14:solidFill>
              <w14:schemeClr w14:val="tx1"/>
            </w14:solidFill>
          </w14:textFill>
        </w:rPr>
        <w:t>、健康管理等新兴业态。</w:t>
      </w:r>
      <w:bookmarkStart w:id="81" w:name="OLE_LINK132"/>
      <w:r>
        <w:rPr>
          <w:rFonts w:hint="eastAsia" w:ascii="Times New Roman" w:hAnsi="Times New Roman" w:eastAsia="仿宋_GB2312"/>
          <w:color w:val="000000" w:themeColor="text1"/>
          <w:sz w:val="32"/>
          <w:szCs w:val="32"/>
          <w:shd w:val="clear" w:color="auto" w:fill="FFFFFF"/>
          <w14:textFill>
            <w14:solidFill>
              <w14:schemeClr w14:val="tx1"/>
            </w14:solidFill>
          </w14:textFill>
        </w:rPr>
        <w:t>鼓励企业搭建工业品电子商务平台，开展线上线下销售。</w:t>
      </w:r>
      <w:bookmarkEnd w:id="81"/>
      <w:r>
        <w:rPr>
          <w:rFonts w:hint="eastAsia" w:ascii="Times New Roman" w:hAnsi="Times New Roman" w:eastAsia="仿宋_GB2312"/>
          <w:color w:val="000000" w:themeColor="text1"/>
          <w:sz w:val="32"/>
          <w:szCs w:val="32"/>
          <w:shd w:val="clear" w:color="auto" w:fill="FFFFFF"/>
          <w14:textFill>
            <w14:solidFill>
              <w14:schemeClr w14:val="tx1"/>
            </w14:solidFill>
          </w14:textFill>
        </w:rPr>
        <w:t>持续推进“品牌亦庄”工厂店行动，支持品牌企业及上下游产业链协同联动，加快形成“自动驾驶+工业旅游+工厂店”的产业集群</w:t>
      </w:r>
      <w:bookmarkStart w:id="82" w:name="OLE_LINK131"/>
      <w:r>
        <w:rPr>
          <w:rFonts w:hint="eastAsia" w:ascii="Times New Roman" w:hAnsi="Times New Roman" w:eastAsia="仿宋_GB2312"/>
          <w:color w:val="000000" w:themeColor="text1"/>
          <w:sz w:val="32"/>
          <w:szCs w:val="32"/>
          <w:shd w:val="clear" w:color="auto" w:fill="FFFFFF"/>
          <w14:textFill>
            <w14:solidFill>
              <w14:schemeClr w14:val="tx1"/>
            </w14:solidFill>
          </w14:textFill>
        </w:rPr>
        <w:t>，</w:t>
      </w:r>
      <w:bookmarkEnd w:id="82"/>
      <w:r>
        <w:rPr>
          <w:rFonts w:hint="eastAsia" w:ascii="Times New Roman" w:hAnsi="Times New Roman" w:eastAsia="仿宋_GB2312"/>
          <w:color w:val="000000" w:themeColor="text1"/>
          <w:sz w:val="32"/>
          <w:szCs w:val="32"/>
          <w:shd w:val="clear" w:color="auto" w:fill="FFFFFF"/>
          <w14:textFill>
            <w14:solidFill>
              <w14:schemeClr w14:val="tx1"/>
            </w14:solidFill>
          </w14:textFill>
        </w:rPr>
        <w:t>持续做强“品牌亦庄”新IP影响力。推动“商业+科技”“商业+制造”等消费业态聚集发展，为首都国际消费中心城市建设注入亦庄活力。</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000000" w:themeColor="text1"/>
          <w:sz w:val="32"/>
          <w:szCs w:val="32"/>
          <w:shd w:val="clear" w:color="auto" w:fill="FFFFFF"/>
          <w14:textFill>
            <w14:solidFill>
              <w14:schemeClr w14:val="tx1"/>
            </w14:solidFill>
          </w14:textFill>
        </w:rPr>
        <w:t>推动制造业企业产销并进、双向发力，充分释放市场活力，成立专业化销售公司，拓展</w:t>
      </w:r>
      <w:bookmarkStart w:id="83" w:name="OLE_LINK106"/>
      <w:r>
        <w:rPr>
          <w:rFonts w:hint="eastAsia" w:ascii="Times New Roman" w:hAnsi="Times New Roman" w:eastAsia="仿宋_GB2312"/>
          <w:color w:val="000000" w:themeColor="text1"/>
          <w:sz w:val="32"/>
          <w:szCs w:val="32"/>
          <w:shd w:val="clear" w:color="auto" w:fill="FFFFFF"/>
          <w14:textFill>
            <w14:solidFill>
              <w14:schemeClr w14:val="tx1"/>
            </w14:solidFill>
          </w14:textFill>
        </w:rPr>
        <w:t>战略性产业贸易业务</w:t>
      </w:r>
      <w:bookmarkEnd w:id="83"/>
      <w:r>
        <w:rPr>
          <w:rFonts w:hint="eastAsia" w:ascii="Times New Roman" w:hAnsi="Times New Roman" w:eastAsia="仿宋_GB2312"/>
          <w:color w:val="000000" w:themeColor="text1"/>
          <w:sz w:val="32"/>
          <w:szCs w:val="32"/>
          <w:shd w:val="clear" w:color="auto" w:fill="FFFFFF"/>
          <w14:textFill>
            <w14:solidFill>
              <w14:schemeClr w14:val="tx1"/>
            </w14:solidFill>
          </w14:textFill>
        </w:rPr>
        <w:t>。对制造业企业开展产销分离当年度销售额首次达到1亿元、3亿元、5亿元、10亿元、50亿元以上的，分别给予10万元、20万元、30万元、50万元、100万元一次性支持，并实行晋级补差，当年度支持金额以达到最高奖励门槛给予对应支持，不重复奖励。</w:t>
      </w:r>
    </w:p>
    <w:bookmarkEnd w:id="78"/>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84" w:name="OLE_LINK88"/>
      <w:bookmarkStart w:id="85" w:name="OLE_LINK38"/>
      <w:r>
        <w:rPr>
          <w:rFonts w:hint="eastAsia" w:ascii="Times New Roman" w:hAnsi="Times New Roman" w:eastAsia="仿宋_GB2312" w:cstheme="minorBidi"/>
          <w:b/>
          <w:bCs/>
          <w:color w:val="000000" w:themeColor="text1"/>
          <w:spacing w:val="-4"/>
          <w:sz w:val="32"/>
          <w:szCs w:val="32"/>
          <w14:textFill>
            <w14:solidFill>
              <w14:schemeClr w14:val="tx1"/>
            </w14:solidFill>
          </w14:textFill>
        </w:rPr>
        <w:t>持续扩大汽车消费</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贯彻落实国家汽车换新消费政策，搭建汽车消费新场景，引进消费新技术，持续举办各类汽车促销活动，通过加强线上线下引流推广，进一步提升经开区汽车品牌影响力和知名度。支持汽车销售企业自行发放消费券，开展消费让利活动。推动经开区汽车消费产业向高质量发展迈进，全力</w:t>
      </w:r>
      <w:bookmarkStart w:id="86" w:name="_Hlk191387188"/>
      <w:r>
        <w:rPr>
          <w:rFonts w:hint="eastAsia" w:ascii="Times New Roman" w:hAnsi="Times New Roman" w:eastAsia="仿宋_GB2312"/>
          <w:color w:val="212121"/>
          <w:sz w:val="32"/>
          <w:szCs w:val="32"/>
          <w:shd w:val="clear" w:color="auto" w:fill="FFFFFF"/>
        </w:rPr>
        <w:t>营造“买车就到亦庄”的消费风尚</w:t>
      </w:r>
      <w:bookmarkEnd w:id="86"/>
      <w:r>
        <w:rPr>
          <w:rFonts w:hint="eastAsia" w:ascii="Times New Roman" w:hAnsi="Times New Roman" w:eastAsia="仿宋_GB2312"/>
          <w:color w:val="212121"/>
          <w:sz w:val="32"/>
          <w:szCs w:val="32"/>
          <w:shd w:val="clear" w:color="auto" w:fill="FFFFFF"/>
        </w:rPr>
        <w:t>。</w:t>
      </w:r>
    </w:p>
    <w:p>
      <w:pPr>
        <w:widowControl/>
        <w:adjustRightInd w:val="0"/>
        <w:snapToGrid w:val="0"/>
        <w:spacing w:line="560" w:lineRule="exact"/>
        <w:ind w:firstLine="640" w:firstLineChars="200"/>
        <w:rPr>
          <w:rFonts w:ascii="Times New Roman" w:hAnsi="Times New Roman" w:eastAsia="仿宋_GB2312"/>
          <w:color w:val="212121"/>
          <w:sz w:val="32"/>
          <w:szCs w:val="32"/>
          <w:u w:val="single"/>
          <w:shd w:val="clear" w:color="auto" w:fill="FFFFFF"/>
        </w:rPr>
      </w:pPr>
      <w:bookmarkStart w:id="87" w:name="OLE_LINK49"/>
      <w:r>
        <w:rPr>
          <w:rFonts w:hint="eastAsia" w:ascii="Times New Roman" w:hAnsi="Times New Roman" w:eastAsia="仿宋_GB2312"/>
          <w:color w:val="212121"/>
          <w:sz w:val="32"/>
          <w:szCs w:val="32"/>
          <w:shd w:val="clear" w:color="auto" w:fill="FFFFFF"/>
        </w:rPr>
        <w:t>对汽车销售企业全年销售额增速为正但增速不足5%的，按全年销售额增量部分的0.1%给予支持；对汽车销售企业全年销售额增速达5%且全年销售额3亿元（不含）以下的，按全年销售额增量部分的0.2%给予支持；对</w:t>
      </w:r>
      <w:bookmarkStart w:id="88" w:name="OLE_LINK73"/>
      <w:r>
        <w:rPr>
          <w:rFonts w:hint="eastAsia" w:ascii="Times New Roman" w:hAnsi="Times New Roman" w:eastAsia="仿宋_GB2312"/>
          <w:color w:val="212121"/>
          <w:sz w:val="32"/>
          <w:szCs w:val="32"/>
          <w:shd w:val="clear" w:color="auto" w:fill="FFFFFF"/>
        </w:rPr>
        <w:t>全年销售额达3亿元（含）</w:t>
      </w:r>
      <w:bookmarkEnd w:id="88"/>
      <w:r>
        <w:rPr>
          <w:rFonts w:hint="eastAsia" w:ascii="Times New Roman" w:hAnsi="Times New Roman" w:eastAsia="仿宋_GB2312"/>
          <w:color w:val="212121"/>
          <w:sz w:val="32"/>
          <w:szCs w:val="32"/>
          <w:shd w:val="clear" w:color="auto" w:fill="FFFFFF"/>
        </w:rPr>
        <w:t>以上、全年销售额增速达5%的，按销售额增量部分的0.5%给予支持；全年支持额度最高不超过1000万元。</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主流新能源汽车品牌在经开区开设零售中心、交付中心、体验中心或结算中心等业态（含增设）且当年销售额超过1亿元的给予支持，按实际投资（含装修设计费、设备购置及配套硬件设施建设、信息化改造等）总额的30％给予一次性支持，单个项目最高不超过500万元。对同一品牌投资开设多个中心的，仅支持一次。</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对新能源汽车销售企业入驻当年度销售额首次达到1亿元、3亿元、5亿元、10亿元、50亿元以上的，分别给予10万元、20万元、30万元、50万元、200万元一次性支持，当年度支持金额以达到最高奖励门槛给予对应支持，不重复支持。</w:t>
      </w:r>
    </w:p>
    <w:bookmarkEnd w:id="87"/>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大力提升园区商业业态</w:t>
      </w:r>
      <w:bookmarkEnd w:id="84"/>
    </w:p>
    <w:p>
      <w:pPr>
        <w:widowControl/>
        <w:adjustRightInd w:val="0"/>
        <w:snapToGrid w:val="0"/>
        <w:spacing w:line="560" w:lineRule="exact"/>
        <w:ind w:firstLine="640" w:firstLineChars="200"/>
        <w:rPr>
          <w:rFonts w:ascii="Times New Roman" w:hAnsi="Times New Roman" w:eastAsia="仿宋_GB2312"/>
          <w:color w:val="000000" w:themeColor="text1"/>
          <w:sz w:val="32"/>
          <w:szCs w:val="32"/>
          <w:shd w:val="clear" w:color="auto" w:fill="FFFFFF"/>
          <w14:textFill>
            <w14:solidFill>
              <w14:schemeClr w14:val="tx1"/>
            </w14:solidFill>
          </w14:textFill>
        </w:rPr>
      </w:pPr>
      <w:r>
        <w:rPr>
          <w:rFonts w:hint="eastAsia" w:ascii="Times New Roman" w:hAnsi="Times New Roman" w:eastAsia="仿宋_GB2312"/>
          <w:color w:val="000000" w:themeColor="text1"/>
          <w:sz w:val="32"/>
          <w:szCs w:val="32"/>
          <w:shd w:val="clear" w:color="auto" w:fill="FFFFFF"/>
          <w14:textFill>
            <w14:solidFill>
              <w14:schemeClr w14:val="tx1"/>
            </w14:solidFill>
          </w14:textFill>
        </w:rPr>
        <w:t>发挥经开区商业综合体、特色街区、市集、商务楼宇、产业园、工业园区、广场、场（展）馆等各类空间资源，推动低效工业园区和产业空间腾笼换鸟和城市更新，大力引入相关商业业态。持续补足、完善工业园区、产业园区、商务楼宇等产业空间商业业态，为企业员工提供餐饮、零售、生活服务等基础配套服务，提升园区生活便利性与品质，优化经开区特色商业布局。聚焦产业职工核心消费群体，探索在需求较大的工业园区试点，完善餐饮、零售等配套设施建设，逐步形成可复制、可推广的工业园区消费升级新模式。</w:t>
      </w:r>
    </w:p>
    <w:p>
      <w:pPr>
        <w:widowControl/>
        <w:adjustRightInd w:val="0"/>
        <w:snapToGrid w:val="0"/>
        <w:spacing w:line="560" w:lineRule="exact"/>
        <w:ind w:firstLine="640" w:firstLineChars="200"/>
        <w:rPr>
          <w:rFonts w:ascii="Times New Roman" w:hAnsi="Times New Roman" w:eastAsia="仿宋_GB2312"/>
          <w:color w:val="000000" w:themeColor="text1"/>
          <w:sz w:val="32"/>
          <w:szCs w:val="32"/>
          <w:shd w:val="clear" w:color="auto" w:fill="FFFFFF"/>
          <w14:textFill>
            <w14:solidFill>
              <w14:schemeClr w14:val="tx1"/>
            </w14:solidFill>
          </w14:textFill>
        </w:rPr>
      </w:pPr>
      <w:bookmarkStart w:id="89" w:name="OLE_LINK92"/>
      <w:r>
        <w:rPr>
          <w:rFonts w:hint="eastAsia" w:ascii="Times New Roman" w:hAnsi="Times New Roman" w:eastAsia="仿宋_GB2312"/>
          <w:color w:val="000000" w:themeColor="text1"/>
          <w:sz w:val="32"/>
          <w:szCs w:val="32"/>
          <w:shd w:val="clear" w:color="auto" w:fill="FFFFFF"/>
          <w14:textFill>
            <w14:solidFill>
              <w14:schemeClr w14:val="tx1"/>
            </w14:solidFill>
          </w14:textFill>
        </w:rPr>
        <w:t>对建筑面积3万平方米以上的产业园区、工业园区的实际运营单位，对园区新增或改造的商业配套设施固定资产投入（土地购置费用除外）500万元以上的，经综合评审后，按实际投资总额的30％给予一次性支持，单个项目最高支持额度不超过200万元。</w:t>
      </w:r>
    </w:p>
    <w:bookmarkEnd w:id="79"/>
    <w:bookmarkEnd w:id="85"/>
    <w:bookmarkEnd w:id="89"/>
    <w:p>
      <w:pPr>
        <w:pStyle w:val="44"/>
        <w:widowControl/>
        <w:numPr>
          <w:ilvl w:val="0"/>
          <w:numId w:val="1"/>
        </w:numPr>
        <w:spacing w:line="560" w:lineRule="exact"/>
        <w:ind w:left="1723" w:hanging="1080" w:firstLineChars="0"/>
        <w:outlineLvl w:val="1"/>
        <w:rPr>
          <w:rFonts w:hint="eastAsia" w:ascii="仿宋_GB2312" w:hAnsi="仿宋" w:eastAsia="仿宋_GB2312"/>
          <w:b/>
          <w:bCs/>
          <w:sz w:val="32"/>
          <w:szCs w:val="32"/>
        </w:rPr>
      </w:pPr>
      <w:bookmarkStart w:id="90" w:name="OLE_LINK10"/>
      <w:r>
        <w:rPr>
          <w:rFonts w:hint="eastAsia" w:ascii="仿宋_GB2312" w:hAnsi="仿宋" w:eastAsia="仿宋_GB2312"/>
          <w:b/>
          <w:bCs/>
          <w:sz w:val="32"/>
          <w:szCs w:val="32"/>
        </w:rPr>
        <w:t>不断强化市场主体创新力</w:t>
      </w:r>
      <w:bookmarkEnd w:id="90"/>
    </w:p>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91" w:name="_Hlk191387721"/>
      <w:r>
        <w:rPr>
          <w:rFonts w:hint="eastAsia" w:ascii="Times New Roman" w:hAnsi="Times New Roman" w:eastAsia="仿宋_GB2312" w:cstheme="minorBidi"/>
          <w:b/>
          <w:bCs/>
          <w:color w:val="000000" w:themeColor="text1"/>
          <w:spacing w:val="-4"/>
          <w:sz w:val="32"/>
          <w:szCs w:val="32"/>
          <w14:textFill>
            <w14:solidFill>
              <w14:schemeClr w14:val="tx1"/>
            </w14:solidFill>
          </w14:textFill>
        </w:rPr>
        <w:t>支持企业升规提质发展</w:t>
      </w:r>
      <w:bookmarkEnd w:id="91"/>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全力支持批发、零售和餐饮企业完善内部管理体系，提升生产运营效能，增强企业市场竞争力与抗风险能力，实现向规模以上企业升级。</w:t>
      </w:r>
    </w:p>
    <w:p>
      <w:pPr>
        <w:widowControl/>
        <w:adjustRightInd w:val="0"/>
        <w:snapToGrid w:val="0"/>
        <w:spacing w:line="560" w:lineRule="exact"/>
        <w:ind w:firstLine="640" w:firstLineChars="200"/>
        <w:rPr>
          <w:rFonts w:hint="eastAsia"/>
        </w:rPr>
      </w:pPr>
      <w:r>
        <w:rPr>
          <w:rFonts w:hint="eastAsia" w:ascii="Times New Roman" w:hAnsi="Times New Roman" w:eastAsia="仿宋_GB2312"/>
          <w:color w:val="212121"/>
          <w:sz w:val="32"/>
          <w:szCs w:val="32"/>
          <w:shd w:val="clear" w:color="auto" w:fill="FFFFFF"/>
        </w:rPr>
        <w:t>对收入首次达到规模以上标准且当年增速为正的批发、零售和餐饮业企业，给予一次性支持。</w:t>
      </w:r>
      <w:bookmarkStart w:id="92" w:name="_Hlk191679189"/>
      <w:r>
        <w:rPr>
          <w:rFonts w:hint="eastAsia" w:ascii="Times New Roman" w:hAnsi="Times New Roman" w:eastAsia="仿宋_GB2312"/>
          <w:color w:val="212121"/>
          <w:sz w:val="32"/>
          <w:szCs w:val="32"/>
          <w:shd w:val="clear" w:color="auto" w:fill="FFFFFF"/>
        </w:rPr>
        <w:t>其中，对批发业企业（统计代码51）给予一次性支持30万元，对零售业企业（统计代码52）和餐饮业企业（统计代码67）给予一次性支持20万元。</w:t>
      </w:r>
    </w:p>
    <w:bookmarkEnd w:id="92"/>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93" w:name="_Hlk191387740"/>
      <w:r>
        <w:rPr>
          <w:rFonts w:hint="eastAsia" w:ascii="Times New Roman" w:hAnsi="Times New Roman" w:eastAsia="仿宋_GB2312" w:cstheme="minorBidi"/>
          <w:b/>
          <w:bCs/>
          <w:color w:val="000000" w:themeColor="text1"/>
          <w:spacing w:val="-4"/>
          <w:sz w:val="32"/>
          <w:szCs w:val="32"/>
          <w14:textFill>
            <w14:solidFill>
              <w14:schemeClr w14:val="tx1"/>
            </w14:solidFill>
          </w14:textFill>
        </w:rPr>
        <w:t>推动市场主体扩大经营</w:t>
      </w:r>
      <w:bookmarkEnd w:id="93"/>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94" w:name="OLE_LINK57"/>
      <w:r>
        <w:rPr>
          <w:rFonts w:hint="eastAsia" w:ascii="Times New Roman" w:hAnsi="Times New Roman" w:eastAsia="仿宋_GB2312"/>
          <w:color w:val="212121"/>
          <w:sz w:val="32"/>
          <w:szCs w:val="32"/>
          <w:shd w:val="clear" w:color="auto" w:fill="FFFFFF"/>
        </w:rPr>
        <w:t>支持批发和零售业企业持续扩大经营规模，提升规范与质量，优化经营模式，实现长期稳定、持续向好的发展，为区域经济高质量发展提供有力支撑。</w:t>
      </w:r>
      <w:bookmarkStart w:id="95" w:name="_Hlk190417082"/>
    </w:p>
    <w:p>
      <w:pPr>
        <w:widowControl/>
        <w:adjustRightInd w:val="0"/>
        <w:snapToGrid w:val="0"/>
        <w:spacing w:line="560" w:lineRule="exact"/>
        <w:ind w:firstLine="640" w:firstLineChars="200"/>
        <w:rPr>
          <w:rFonts w:ascii="Times New Roman" w:hAnsi="Times New Roman" w:eastAsia="仿宋_GB2312"/>
          <w:color w:val="212121"/>
          <w:sz w:val="32"/>
          <w:szCs w:val="32"/>
          <w:u w:val="single"/>
          <w:shd w:val="clear" w:color="auto" w:fill="FFFFFF"/>
        </w:rPr>
      </w:pPr>
      <w:bookmarkStart w:id="96" w:name="_Hlk191679255"/>
      <w:r>
        <w:rPr>
          <w:rFonts w:hint="eastAsia" w:ascii="Times New Roman" w:hAnsi="Times New Roman" w:eastAsia="仿宋_GB2312"/>
          <w:color w:val="212121"/>
          <w:sz w:val="32"/>
          <w:szCs w:val="32"/>
          <w:shd w:val="clear" w:color="auto" w:fill="FFFFFF"/>
        </w:rPr>
        <w:t>对批发和零售业企业全年</w:t>
      </w:r>
      <w:bookmarkStart w:id="97" w:name="OLE_LINK40"/>
      <w:r>
        <w:rPr>
          <w:rFonts w:hint="eastAsia" w:ascii="Times New Roman" w:hAnsi="Times New Roman" w:eastAsia="仿宋_GB2312"/>
          <w:color w:val="212121"/>
          <w:sz w:val="32"/>
          <w:szCs w:val="32"/>
          <w:shd w:val="clear" w:color="auto" w:fill="FFFFFF"/>
        </w:rPr>
        <w:t>销售额增速达5%的，按全年销售额增量部分的0.1%给予支持</w:t>
      </w:r>
      <w:bookmarkEnd w:id="97"/>
      <w:r>
        <w:rPr>
          <w:rFonts w:hint="eastAsia" w:ascii="Times New Roman" w:hAnsi="Times New Roman" w:eastAsia="仿宋_GB2312"/>
          <w:color w:val="212121"/>
          <w:sz w:val="32"/>
          <w:szCs w:val="32"/>
          <w:shd w:val="clear" w:color="auto" w:fill="FFFFFF"/>
        </w:rPr>
        <w:t>；</w:t>
      </w:r>
      <w:bookmarkStart w:id="98" w:name="_Hlk190362097"/>
      <w:bookmarkStart w:id="99" w:name="OLE_LINK48"/>
      <w:r>
        <w:rPr>
          <w:rFonts w:hint="eastAsia" w:ascii="Times New Roman" w:hAnsi="Times New Roman" w:eastAsia="仿宋_GB2312"/>
          <w:color w:val="212121"/>
          <w:sz w:val="32"/>
          <w:szCs w:val="32"/>
          <w:shd w:val="clear" w:color="auto" w:fill="FFFFFF"/>
        </w:rPr>
        <w:t>全年销售额达5亿元（含）以上、增速达5%的，按销售额增量部分的0.2%给予支持；</w:t>
      </w:r>
      <w:bookmarkEnd w:id="98"/>
      <w:r>
        <w:rPr>
          <w:rFonts w:hint="eastAsia" w:ascii="Times New Roman" w:hAnsi="Times New Roman" w:eastAsia="仿宋_GB2312"/>
          <w:color w:val="212121"/>
          <w:sz w:val="32"/>
          <w:szCs w:val="32"/>
          <w:shd w:val="clear" w:color="auto" w:fill="FFFFFF"/>
        </w:rPr>
        <w:t>全年最高不超过200万元。</w:t>
      </w:r>
      <w:bookmarkEnd w:id="95"/>
      <w:bookmarkEnd w:id="99"/>
    </w:p>
    <w:bookmarkEnd w:id="94"/>
    <w:bookmarkEnd w:id="96"/>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100" w:name="OLE_LINK9"/>
      <w:r>
        <w:rPr>
          <w:rFonts w:hint="eastAsia" w:ascii="Times New Roman" w:hAnsi="Times New Roman" w:eastAsia="仿宋_GB2312" w:cstheme="minorBidi"/>
          <w:b/>
          <w:bCs/>
          <w:color w:val="000000" w:themeColor="text1"/>
          <w:spacing w:val="-4"/>
          <w:sz w:val="32"/>
          <w:szCs w:val="32"/>
          <w14:textFill>
            <w14:solidFill>
              <w14:schemeClr w14:val="tx1"/>
            </w14:solidFill>
          </w14:textFill>
        </w:rPr>
        <w:t>大力发展贸易型总部企业</w:t>
      </w:r>
    </w:p>
    <w:bookmarkEnd w:id="100"/>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支持批发、零售企业设立具有采购、分拨、营销、结算、物流等单一或综合贸易功能的总部机构，促进区域商品和服务的流通，提高区域贸易集聚度和辐射力。每年遴选一批符合条件的企业，经评审后，可认定为经开区贸易型总部企业。</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101" w:name="_Hlk191679351"/>
      <w:r>
        <w:rPr>
          <w:rFonts w:hint="eastAsia" w:ascii="Times New Roman" w:hAnsi="Times New Roman" w:eastAsia="仿宋_GB2312"/>
          <w:color w:val="212121"/>
          <w:sz w:val="32"/>
          <w:szCs w:val="32"/>
          <w:shd w:val="clear" w:color="auto" w:fill="FFFFFF"/>
        </w:rPr>
        <w:t>对获得认定的总部企业，给予100万元支持，</w:t>
      </w:r>
      <w:bookmarkStart w:id="102" w:name="OLE_LINK68"/>
      <w:r>
        <w:rPr>
          <w:rFonts w:hint="eastAsia" w:ascii="Times New Roman" w:hAnsi="Times New Roman" w:eastAsia="仿宋_GB2312"/>
          <w:color w:val="212121"/>
          <w:sz w:val="32"/>
          <w:szCs w:val="32"/>
          <w:shd w:val="clear" w:color="auto" w:fill="FFFFFF"/>
        </w:rPr>
        <w:t>分3年按照40%、30%、30%的比例支付，企业第二、三年营业收入增速应不低于当年经开区批发、零售行业增速</w:t>
      </w:r>
      <w:bookmarkEnd w:id="102"/>
      <w:r>
        <w:rPr>
          <w:rFonts w:hint="eastAsia" w:ascii="Times New Roman" w:hAnsi="Times New Roman" w:eastAsia="仿宋_GB2312"/>
          <w:color w:val="212121"/>
          <w:sz w:val="32"/>
          <w:szCs w:val="32"/>
          <w:shd w:val="clear" w:color="auto" w:fill="FFFFFF"/>
        </w:rPr>
        <w:t>，若不满足即不进行兑现。</w:t>
      </w:r>
    </w:p>
    <w:bookmarkEnd w:id="101"/>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r>
        <w:rPr>
          <w:rFonts w:hint="eastAsia" w:ascii="Times New Roman" w:hAnsi="Times New Roman" w:eastAsia="仿宋_GB2312" w:cstheme="minorBidi"/>
          <w:b/>
          <w:bCs/>
          <w:color w:val="000000" w:themeColor="text1"/>
          <w:spacing w:val="-4"/>
          <w:sz w:val="32"/>
          <w:szCs w:val="32"/>
          <w14:textFill>
            <w14:solidFill>
              <w14:schemeClr w14:val="tx1"/>
            </w14:solidFill>
          </w14:textFill>
        </w:rPr>
        <w:t>支持</w:t>
      </w:r>
      <w:bookmarkStart w:id="103" w:name="OLE_LINK13"/>
      <w:r>
        <w:rPr>
          <w:rFonts w:hint="eastAsia" w:ascii="Times New Roman" w:hAnsi="Times New Roman" w:eastAsia="仿宋_GB2312" w:cstheme="minorBidi"/>
          <w:b/>
          <w:bCs/>
          <w:color w:val="000000" w:themeColor="text1"/>
          <w:spacing w:val="-4"/>
          <w:sz w:val="32"/>
          <w:szCs w:val="32"/>
          <w14:textFill>
            <w14:solidFill>
              <w14:schemeClr w14:val="tx1"/>
            </w14:solidFill>
          </w14:textFill>
        </w:rPr>
        <w:t>跨境电子商务</w:t>
      </w:r>
      <w:bookmarkEnd w:id="103"/>
      <w:r>
        <w:rPr>
          <w:rFonts w:hint="eastAsia" w:ascii="Times New Roman" w:hAnsi="Times New Roman" w:eastAsia="仿宋_GB2312" w:cstheme="minorBidi"/>
          <w:b/>
          <w:bCs/>
          <w:color w:val="000000" w:themeColor="text1"/>
          <w:spacing w:val="-4"/>
          <w:sz w:val="32"/>
          <w:szCs w:val="32"/>
          <w14:textFill>
            <w14:solidFill>
              <w14:schemeClr w14:val="tx1"/>
            </w14:solidFill>
          </w14:textFill>
        </w:rPr>
        <w:t>发展</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聚焦跨境电商重要载体和关键环节，大力支持跨境电商平台建设、提升跨境电商仓储物流服务能力、建设运营跨境电商体验店、开展跨境电商进出口业务，</w:t>
      </w:r>
      <w:r>
        <w:rPr>
          <w:rFonts w:ascii="Times New Roman" w:hAnsi="Times New Roman" w:eastAsia="仿宋_GB2312"/>
          <w:color w:val="212121"/>
          <w:sz w:val="32"/>
          <w:szCs w:val="32"/>
          <w:shd w:val="clear" w:color="auto" w:fill="FFFFFF"/>
        </w:rPr>
        <w:t>加快推进</w:t>
      </w:r>
      <w:r>
        <w:rPr>
          <w:rFonts w:hint="eastAsia" w:ascii="Times New Roman" w:hAnsi="Times New Roman" w:eastAsia="仿宋_GB2312"/>
          <w:color w:val="212121"/>
          <w:sz w:val="32"/>
          <w:szCs w:val="32"/>
          <w:shd w:val="clear" w:color="auto" w:fill="FFFFFF"/>
        </w:rPr>
        <w:t>经开区</w:t>
      </w:r>
      <w:r>
        <w:rPr>
          <w:rFonts w:ascii="Times New Roman" w:hAnsi="Times New Roman" w:eastAsia="仿宋_GB2312"/>
          <w:color w:val="212121"/>
          <w:sz w:val="32"/>
          <w:szCs w:val="32"/>
          <w:shd w:val="clear" w:color="auto" w:fill="FFFFFF"/>
        </w:rPr>
        <w:t>跨境电商产业集群化、贸易便利化、服务优质化</w:t>
      </w:r>
      <w:r>
        <w:rPr>
          <w:rFonts w:hint="eastAsia" w:ascii="Times New Roman" w:hAnsi="Times New Roman" w:eastAsia="仿宋_GB2312"/>
          <w:color w:val="212121"/>
          <w:sz w:val="32"/>
          <w:szCs w:val="32"/>
          <w:shd w:val="clear" w:color="auto" w:fill="FFFFFF"/>
        </w:rPr>
        <w:t>，培育壮大跨境电商主体。</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bookmarkStart w:id="104" w:name="_Hlk191679459"/>
      <w:r>
        <w:rPr>
          <w:rFonts w:hint="eastAsia" w:ascii="Times New Roman" w:hAnsi="Times New Roman" w:eastAsia="仿宋_GB2312"/>
          <w:color w:val="212121"/>
          <w:sz w:val="32"/>
          <w:szCs w:val="32"/>
          <w:shd w:val="clear" w:color="auto" w:fill="FFFFFF"/>
        </w:rPr>
        <w:t>对获得北京市跨境电子商务发展项目支持的企业，按照北京市级支持资金给予50%配套资金支持，支持额度最高不超过50万元。</w:t>
      </w:r>
    </w:p>
    <w:p>
      <w:pPr>
        <w:pStyle w:val="44"/>
        <w:widowControl/>
        <w:numPr>
          <w:ilvl w:val="0"/>
          <w:numId w:val="2"/>
        </w:numPr>
        <w:spacing w:line="560" w:lineRule="exact"/>
        <w:ind w:firstLineChars="0"/>
        <w:outlineLvl w:val="2"/>
        <w:rPr>
          <w:rFonts w:ascii="Times New Roman" w:hAnsi="Times New Roman" w:eastAsia="仿宋_GB2312" w:cstheme="minorBidi"/>
          <w:b/>
          <w:bCs/>
          <w:color w:val="000000" w:themeColor="text1"/>
          <w:spacing w:val="-4"/>
          <w:sz w:val="32"/>
          <w:szCs w:val="32"/>
          <w14:textFill>
            <w14:solidFill>
              <w14:schemeClr w14:val="tx1"/>
            </w14:solidFill>
          </w14:textFill>
        </w:rPr>
      </w:pPr>
      <w:bookmarkStart w:id="105" w:name="OLE_LINK15"/>
      <w:r>
        <w:rPr>
          <w:rFonts w:hint="eastAsia" w:ascii="Times New Roman" w:hAnsi="Times New Roman" w:eastAsia="仿宋_GB2312" w:cstheme="minorBidi"/>
          <w:b/>
          <w:bCs/>
          <w:color w:val="000000" w:themeColor="text1"/>
          <w:spacing w:val="-4"/>
          <w:sz w:val="32"/>
          <w:szCs w:val="32"/>
          <w14:textFill>
            <w14:solidFill>
              <w14:schemeClr w14:val="tx1"/>
            </w14:solidFill>
          </w14:textFill>
        </w:rPr>
        <w:t>助力企业拓市场促增长</w:t>
      </w:r>
      <w:bookmarkEnd w:id="105"/>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全方位多维度支持帮助商业市场主体提升竞争力，调动各方力量，整合各类资源，搭建常态化洽谈会、供需交流会等活动，精准对接市场需求，加强企业交流、务实合作，实现互利共赢发展。突出龙头引领健全产业链作用，支持龙头企业链主牵头组建创新联合体，推动产业链上下游企业抱团合作，实现规模与效益双增长。</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加强对商业市场主体的服务力度，将重点企业纳入“万企大走访”行动中，全面落实企业“三送一提”即送服务、送政策、送资源、提升核心竞争力的工作要求，加强对商业领域的亦庄新城百强企业、规上及限额以上企业，独角兽、专精特新和创新型中小企业，招商引资项目和企业，以及其他需要重点服务保障的企业一线调研走访力度，全力以赴护航企业实现更好更快更大发展。</w:t>
      </w:r>
    </w:p>
    <w:bookmarkEnd w:id="104"/>
    <w:p>
      <w:pPr>
        <w:pStyle w:val="4"/>
        <w:keepNext w:val="0"/>
        <w:keepLines w:val="0"/>
        <w:adjustRightInd w:val="0"/>
        <w:spacing w:before="0" w:after="0" w:line="560" w:lineRule="exact"/>
        <w:ind w:firstLine="640" w:firstLineChars="200"/>
        <w:rPr>
          <w:rFonts w:ascii="Times New Roman" w:hAnsi="Times New Roman" w:eastAsia="黑体"/>
          <w:b w:val="0"/>
          <w:color w:val="212121"/>
          <w:sz w:val="32"/>
          <w:szCs w:val="32"/>
        </w:rPr>
      </w:pPr>
      <w:r>
        <w:rPr>
          <w:rFonts w:hint="eastAsia" w:ascii="Times New Roman" w:hAnsi="Times New Roman" w:eastAsia="黑体"/>
          <w:b w:val="0"/>
          <w:color w:val="212121"/>
          <w:sz w:val="32"/>
          <w:szCs w:val="32"/>
        </w:rPr>
        <w:t>三、保障措施</w:t>
      </w:r>
    </w:p>
    <w:p>
      <w:pPr>
        <w:pStyle w:val="44"/>
        <w:widowControl/>
        <w:numPr>
          <w:ilvl w:val="0"/>
          <w:numId w:val="3"/>
        </w:numPr>
        <w:spacing w:line="560" w:lineRule="exact"/>
        <w:ind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加强统筹协调</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加强组织领导和统筹推进，建立完善由经开区管委会主管领导牵头、各部门协同配合的统筹协调机制，定期研究并协调解决商业和消费领域发展过程中的重大问题，统筹解决跨部门、跨领域难点。强化各相关部门之间的协调联动，抓好组织实施和任务落实，做好工作谋划，推进重点任务落地执行。</w:t>
      </w:r>
    </w:p>
    <w:p>
      <w:pPr>
        <w:pStyle w:val="44"/>
        <w:widowControl/>
        <w:numPr>
          <w:ilvl w:val="0"/>
          <w:numId w:val="3"/>
        </w:numPr>
        <w:spacing w:line="560" w:lineRule="exact"/>
        <w:ind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加强监测评估</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完善商业领域相关统计制度，针对首店首发、知名品牌、夜间经济等重点领域，加强统计指标研究，构建统计监测指标体系。及时开展监测分析，加强监测评估，不断查找改进不足，总结工作成效。</w:t>
      </w:r>
    </w:p>
    <w:p>
      <w:pPr>
        <w:pStyle w:val="44"/>
        <w:widowControl/>
        <w:numPr>
          <w:ilvl w:val="0"/>
          <w:numId w:val="3"/>
        </w:numPr>
        <w:spacing w:line="560" w:lineRule="exact"/>
        <w:ind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加强人才支撑</w:t>
      </w:r>
    </w:p>
    <w:p>
      <w:pPr>
        <w:widowControl/>
        <w:adjustRightInd w:val="0"/>
        <w:snapToGrid w:val="0"/>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加大复合型创新型商业人才引进培育力度，重点引进具有国际视野的商业运营、品牌传播、营销管理、时尚设计、经纪公关等领域的高端专业人才。聚焦消费细分行业，完善相关制度和措施，吸引国内外优秀商业人才在亦庄新城投资创业。</w:t>
      </w:r>
    </w:p>
    <w:p>
      <w:pPr>
        <w:pStyle w:val="44"/>
        <w:widowControl/>
        <w:numPr>
          <w:ilvl w:val="0"/>
          <w:numId w:val="3"/>
        </w:numPr>
        <w:spacing w:line="560" w:lineRule="exact"/>
        <w:ind w:firstLineChars="0"/>
        <w:outlineLvl w:val="1"/>
        <w:rPr>
          <w:rFonts w:hint="eastAsia" w:ascii="仿宋_GB2312" w:hAnsi="仿宋" w:eastAsia="仿宋_GB2312"/>
          <w:b/>
          <w:bCs/>
          <w:sz w:val="32"/>
          <w:szCs w:val="32"/>
        </w:rPr>
      </w:pPr>
      <w:r>
        <w:rPr>
          <w:rFonts w:hint="eastAsia" w:ascii="仿宋_GB2312" w:hAnsi="仿宋" w:eastAsia="仿宋_GB2312"/>
          <w:b/>
          <w:bCs/>
          <w:sz w:val="32"/>
          <w:szCs w:val="32"/>
        </w:rPr>
        <w:t>加强宣传推广</w:t>
      </w:r>
    </w:p>
    <w:p>
      <w:pPr>
        <w:spacing w:line="560" w:lineRule="exact"/>
        <w:ind w:firstLine="640" w:firstLineChars="200"/>
        <w:rPr>
          <w:rFonts w:hint="eastAsia"/>
          <w:color w:val="212121"/>
        </w:rPr>
      </w:pPr>
      <w:r>
        <w:rPr>
          <w:rFonts w:hint="eastAsia" w:ascii="Times New Roman" w:hAnsi="Times New Roman" w:eastAsia="仿宋_GB2312"/>
          <w:color w:val="212121"/>
          <w:sz w:val="32"/>
          <w:szCs w:val="32"/>
          <w:shd w:val="clear" w:color="auto" w:fill="FFFFFF"/>
        </w:rPr>
        <w:t>聚焦商业和消费领域的热点和特色，加强整体形象策划推广，运用门户网站、新兴媒体等传播平台，多渠道、多层次加强宣传推广。分阶段梳理总结促进商业领域发展的工作典型案例和有效模式，适时组织开展宣传交流活动，积极营造浓厚的社会氛围，不断扩大影响力。</w:t>
      </w:r>
    </w:p>
    <w:p>
      <w:pPr>
        <w:pStyle w:val="4"/>
        <w:keepNext w:val="0"/>
        <w:keepLines w:val="0"/>
        <w:numPr>
          <w:ilvl w:val="0"/>
          <w:numId w:val="4"/>
        </w:numPr>
        <w:spacing w:before="0" w:after="0" w:line="560" w:lineRule="exact"/>
        <w:ind w:firstLine="643" w:firstLineChars="200"/>
        <w:rPr>
          <w:rFonts w:hint="eastAsia" w:ascii="黑体" w:hAnsi="黑体" w:eastAsia="黑体" w:cs="黑体"/>
          <w:color w:val="212121"/>
          <w:sz w:val="32"/>
          <w:szCs w:val="32"/>
        </w:rPr>
      </w:pPr>
      <w:r>
        <w:rPr>
          <w:rFonts w:hint="eastAsia" w:ascii="黑体" w:hAnsi="黑体" w:eastAsia="黑体" w:cs="黑体"/>
          <w:color w:val="212121"/>
          <w:sz w:val="32"/>
          <w:szCs w:val="32"/>
        </w:rPr>
        <w:t>附则</w:t>
      </w:r>
    </w:p>
    <w:p>
      <w:pPr>
        <w:spacing w:line="560"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color="000000"/>
        </w:rPr>
        <w:t>1</w:t>
      </w:r>
      <w:r>
        <w:rPr>
          <w:rFonts w:ascii="仿宋_GB2312" w:hAnsi="仿宋_GB2312" w:eastAsia="仿宋_GB2312" w:cs="仿宋_GB2312"/>
          <w:sz w:val="32"/>
          <w:szCs w:val="32"/>
          <w:u w:color="000000"/>
        </w:rPr>
        <w:t>.</w:t>
      </w:r>
      <w:r>
        <w:rPr>
          <w:rFonts w:hint="eastAsia"/>
        </w:rPr>
        <w:t xml:space="preserve"> </w:t>
      </w:r>
      <w:r>
        <w:rPr>
          <w:rFonts w:hint="eastAsia" w:ascii="仿宋_GB2312" w:hAnsi="仿宋_GB2312" w:eastAsia="仿宋_GB2312" w:cs="仿宋_GB2312"/>
          <w:sz w:val="32"/>
          <w:szCs w:val="32"/>
          <w:u w:color="000000"/>
          <w:lang w:val="zh-TW"/>
        </w:rPr>
        <w:t>政策申报主体应在亦庄新城范围内依法经营，无近三年重大行政处罚公示信息和刑事犯罪记录。</w:t>
      </w:r>
    </w:p>
    <w:p>
      <w:pPr>
        <w:spacing w:line="560" w:lineRule="exact"/>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2</w:t>
      </w:r>
      <w:r>
        <w:rPr>
          <w:rFonts w:ascii="Times New Roman" w:hAnsi="Times New Roman" w:eastAsia="仿宋_GB2312"/>
          <w:color w:val="212121"/>
          <w:sz w:val="32"/>
          <w:szCs w:val="32"/>
          <w:shd w:val="clear" w:color="auto" w:fill="FFFFFF"/>
        </w:rPr>
        <w:t>.本措施各项条款的支持金额以万元为单位，保留两位小数</w:t>
      </w:r>
      <w:r>
        <w:rPr>
          <w:rFonts w:hint="eastAsia" w:ascii="Times New Roman" w:hAnsi="Times New Roman" w:eastAsia="仿宋_GB2312"/>
          <w:color w:val="212121"/>
          <w:sz w:val="32"/>
          <w:szCs w:val="32"/>
          <w:shd w:val="clear" w:color="auto" w:fill="FFFFFF"/>
        </w:rPr>
        <w:t>，低于1万元不予兑现</w:t>
      </w:r>
      <w:r>
        <w:rPr>
          <w:rFonts w:ascii="Times New Roman" w:hAnsi="Times New Roman" w:eastAsia="仿宋_GB2312"/>
          <w:color w:val="212121"/>
          <w:sz w:val="32"/>
          <w:szCs w:val="32"/>
          <w:shd w:val="clear" w:color="auto" w:fill="FFFFFF"/>
        </w:rPr>
        <w:t>。</w:t>
      </w:r>
    </w:p>
    <w:p>
      <w:pPr>
        <w:ind w:firstLine="640" w:firstLineChars="200"/>
        <w:rPr>
          <w:rFonts w:ascii="Times New Roman" w:hAnsi="Times New Roman" w:eastAsia="仿宋_GB2312"/>
          <w:color w:val="212121"/>
          <w:sz w:val="32"/>
          <w:szCs w:val="32"/>
          <w:shd w:val="clear" w:color="auto" w:fill="FFFFFF"/>
        </w:rPr>
      </w:pPr>
      <w:r>
        <w:rPr>
          <w:rFonts w:hint="eastAsia" w:ascii="Times New Roman" w:hAnsi="Times New Roman" w:eastAsia="仿宋_GB2312"/>
          <w:color w:val="212121"/>
          <w:sz w:val="32"/>
          <w:szCs w:val="32"/>
          <w:shd w:val="clear" w:color="auto" w:fill="FFFFFF"/>
        </w:rPr>
        <w:t>3.</w:t>
      </w:r>
      <w:r>
        <w:rPr>
          <w:rFonts w:hint="eastAsia"/>
        </w:rPr>
        <w:t xml:space="preserve"> </w:t>
      </w:r>
      <w:r>
        <w:rPr>
          <w:rFonts w:hint="eastAsia" w:ascii="Times New Roman" w:hAnsi="Times New Roman" w:eastAsia="仿宋_GB2312"/>
          <w:color w:val="212121"/>
          <w:sz w:val="32"/>
          <w:szCs w:val="32"/>
          <w:shd w:val="clear" w:color="auto" w:fill="FFFFFF"/>
        </w:rPr>
        <w:t>本措施中</w:t>
      </w:r>
      <w:bookmarkStart w:id="106" w:name="OLE_LINK129"/>
      <w:r>
        <w:rPr>
          <w:rFonts w:hint="eastAsia" w:ascii="Times New Roman" w:hAnsi="Times New Roman" w:eastAsia="仿宋_GB2312"/>
          <w:color w:val="212121"/>
          <w:sz w:val="32"/>
          <w:szCs w:val="32"/>
          <w:shd w:val="clear" w:color="auto" w:fill="FFFFFF"/>
        </w:rPr>
        <w:t>第三条和第四条按照就高不重复原则支持。</w:t>
      </w:r>
      <w:bookmarkEnd w:id="106"/>
      <w:r>
        <w:rPr>
          <w:rFonts w:hint="eastAsia" w:ascii="Times New Roman" w:hAnsi="Times New Roman" w:eastAsia="仿宋_GB2312"/>
          <w:color w:val="212121"/>
          <w:sz w:val="32"/>
          <w:szCs w:val="32"/>
          <w:shd w:val="clear" w:color="auto" w:fill="FFFFFF"/>
        </w:rPr>
        <w:t>第六条和第七条支持同一商业主体3年内最多择优申报一项。第十四条对于汽车销售企业支持第一、三款按照就高不重复原则支持。第十四条和第十七条按照就高不重复原则支持。</w:t>
      </w:r>
    </w:p>
    <w:p>
      <w:pPr>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u w:color="000000"/>
        </w:rPr>
        <w:t>4</w:t>
      </w:r>
      <w:r>
        <w:rPr>
          <w:rFonts w:ascii="仿宋_GB2312" w:hAnsi="仿宋_GB2312" w:eastAsia="仿宋_GB2312" w:cs="仿宋_GB2312"/>
          <w:sz w:val="32"/>
          <w:szCs w:val="32"/>
          <w:u w:color="000000"/>
        </w:rPr>
        <w:t>.</w:t>
      </w:r>
      <w:r>
        <w:rPr>
          <w:rFonts w:ascii="仿宋_GB2312" w:hAnsi="仿宋_GB2312" w:eastAsia="仿宋_GB2312" w:cs="仿宋_GB2312"/>
          <w:kern w:val="0"/>
          <w:sz w:val="32"/>
          <w:szCs w:val="32"/>
          <w:u w:color="000000"/>
          <w:lang w:val="zh-TW"/>
        </w:rPr>
        <w:t>同一企业的同一项目同时符合经开区其他政策规定的，按照</w:t>
      </w:r>
      <w:r>
        <w:rPr>
          <w:rFonts w:ascii="仿宋_GB2312" w:hAnsi="仿宋_GB2312" w:eastAsia="仿宋_GB2312" w:cs="仿宋_GB2312"/>
          <w:kern w:val="0"/>
          <w:sz w:val="32"/>
          <w:szCs w:val="32"/>
          <w:u w:color="000000"/>
        </w:rPr>
        <w:t>“</w:t>
      </w:r>
      <w:r>
        <w:rPr>
          <w:rFonts w:ascii="仿宋_GB2312" w:hAnsi="仿宋_GB2312" w:eastAsia="仿宋_GB2312" w:cs="仿宋_GB2312"/>
          <w:kern w:val="0"/>
          <w:sz w:val="32"/>
          <w:szCs w:val="32"/>
          <w:u w:color="000000"/>
          <w:lang w:val="zh-TW"/>
        </w:rPr>
        <w:t>就高不重复</w:t>
      </w:r>
      <w:r>
        <w:rPr>
          <w:rFonts w:ascii="仿宋_GB2312" w:hAnsi="仿宋_GB2312" w:eastAsia="仿宋_GB2312" w:cs="仿宋_GB2312"/>
          <w:kern w:val="0"/>
          <w:sz w:val="32"/>
          <w:szCs w:val="32"/>
          <w:u w:color="000000"/>
        </w:rPr>
        <w:t>”</w:t>
      </w:r>
      <w:r>
        <w:rPr>
          <w:rFonts w:ascii="仿宋_GB2312" w:hAnsi="仿宋_GB2312" w:eastAsia="仿宋_GB2312" w:cs="仿宋_GB2312"/>
          <w:kern w:val="0"/>
          <w:sz w:val="32"/>
          <w:szCs w:val="32"/>
          <w:u w:color="000000"/>
          <w:lang w:val="zh-TW"/>
        </w:rPr>
        <w:t>原则予以支持，另有规定的除外。</w:t>
      </w:r>
    </w:p>
    <w:p>
      <w:pPr>
        <w:spacing w:line="560" w:lineRule="exact"/>
        <w:ind w:firstLine="640"/>
        <w:rPr>
          <w:rFonts w:hint="eastAsia" w:ascii="仿宋_GB2312" w:hAnsi="仿宋_GB2312" w:eastAsia="仿宋_GB2312" w:cs="仿宋_GB2312"/>
          <w:sz w:val="32"/>
          <w:szCs w:val="32"/>
          <w:u w:color="000000"/>
        </w:rPr>
      </w:pPr>
      <w:r>
        <w:rPr>
          <w:rFonts w:ascii="仿宋_GB2312" w:hAnsi="仿宋_GB2312" w:eastAsia="仿宋_GB2312" w:cs="仿宋_GB2312"/>
          <w:sz w:val="32"/>
          <w:szCs w:val="32"/>
          <w:u w:color="000000"/>
        </w:rPr>
        <w:t>5.</w:t>
      </w:r>
      <w:bookmarkStart w:id="107" w:name="OLE_LINK58"/>
      <w:r>
        <w:rPr>
          <w:rFonts w:ascii="仿宋_GB2312" w:hAnsi="仿宋_GB2312" w:eastAsia="仿宋_GB2312" w:cs="仿宋_GB2312"/>
          <w:sz w:val="32"/>
          <w:szCs w:val="32"/>
          <w:u w:color="000000"/>
        </w:rPr>
        <w:t>本措施自公布之日</w:t>
      </w:r>
      <w:bookmarkEnd w:id="107"/>
      <w:r>
        <w:rPr>
          <w:rFonts w:ascii="仿宋_GB2312" w:hAnsi="仿宋_GB2312" w:eastAsia="仿宋_GB2312" w:cs="仿宋_GB2312"/>
          <w:sz w:val="32"/>
          <w:szCs w:val="32"/>
          <w:u w:color="000000"/>
        </w:rPr>
        <w:t>起施行，有效期至202</w:t>
      </w:r>
      <w:r>
        <w:rPr>
          <w:rFonts w:hint="eastAsia" w:ascii="仿宋_GB2312" w:hAnsi="仿宋_GB2312" w:eastAsia="仿宋_GB2312" w:cs="仿宋_GB2312"/>
          <w:sz w:val="32"/>
          <w:szCs w:val="32"/>
          <w:u w:color="000000"/>
        </w:rPr>
        <w:t>7</w:t>
      </w:r>
      <w:r>
        <w:rPr>
          <w:rFonts w:ascii="仿宋_GB2312" w:hAnsi="仿宋_GB2312" w:eastAsia="仿宋_GB2312" w:cs="仿宋_GB2312"/>
          <w:sz w:val="32"/>
          <w:szCs w:val="32"/>
          <w:u w:color="000000"/>
        </w:rPr>
        <w:t>年12月31日</w:t>
      </w:r>
      <w:r>
        <w:rPr>
          <w:rFonts w:hint="eastAsia" w:ascii="仿宋_GB2312" w:hAnsi="仿宋_GB2312" w:eastAsia="仿宋_GB2312" w:cs="仿宋_GB2312"/>
          <w:sz w:val="32"/>
          <w:szCs w:val="32"/>
          <w:u w:color="000000"/>
        </w:rPr>
        <w:t>，2025年1月1日起符合本措施奖励补助条件的事项可参照本措施执行。</w:t>
      </w:r>
      <w:r>
        <w:rPr>
          <w:rFonts w:ascii="仿宋_GB2312" w:hAnsi="仿宋_GB2312" w:eastAsia="仿宋_GB2312" w:cs="仿宋_GB2312"/>
          <w:sz w:val="32"/>
          <w:szCs w:val="32"/>
          <w:u w:color="000000"/>
        </w:rPr>
        <w:t>施行期间如遇国家或北京市相关政策调整的，按照国家或北京市相关规定执行。</w:t>
      </w:r>
      <w:bookmarkStart w:id="108" w:name="_Hlk191387941"/>
      <w:r>
        <w:rPr>
          <w:rFonts w:hint="eastAsia" w:ascii="仿宋_GB2312" w:hAnsi="仿宋_GB2312" w:eastAsia="仿宋_GB2312" w:cs="仿宋_GB2312"/>
          <w:sz w:val="32"/>
          <w:szCs w:val="32"/>
          <w:u w:color="000000"/>
        </w:rPr>
        <w:t>2023年9月印发出台《北京经济技术开发区促进商业领域发展的若干措施（试行）》（原政策）同时废止，</w:t>
      </w:r>
      <w:r>
        <w:rPr>
          <w:rFonts w:ascii="仿宋_GB2312" w:hAnsi="仿宋_GB2312" w:eastAsia="仿宋_GB2312" w:cs="仿宋_GB2312"/>
          <w:sz w:val="32"/>
          <w:szCs w:val="32"/>
          <w:u w:color="000000"/>
        </w:rPr>
        <w:t>2024年1月1日至</w:t>
      </w:r>
      <w:r>
        <w:rPr>
          <w:rFonts w:hint="eastAsia" w:ascii="仿宋_GB2312" w:hAnsi="仿宋_GB2312" w:eastAsia="仿宋_GB2312" w:cs="仿宋_GB2312"/>
          <w:sz w:val="32"/>
          <w:szCs w:val="32"/>
          <w:u w:color="000000"/>
        </w:rPr>
        <w:t>2024年12月31日期间，</w:t>
      </w:r>
      <w:r>
        <w:rPr>
          <w:rFonts w:ascii="仿宋_GB2312" w:hAnsi="仿宋_GB2312" w:eastAsia="仿宋_GB2312" w:cs="仿宋_GB2312"/>
          <w:sz w:val="32"/>
          <w:szCs w:val="32"/>
          <w:u w:color="000000"/>
        </w:rPr>
        <w:t>符合规定的参照</w:t>
      </w:r>
      <w:r>
        <w:rPr>
          <w:rFonts w:hint="eastAsia" w:ascii="仿宋_GB2312" w:hAnsi="仿宋_GB2312" w:eastAsia="仿宋_GB2312" w:cs="仿宋_GB2312"/>
          <w:sz w:val="32"/>
          <w:szCs w:val="32"/>
          <w:u w:color="000000"/>
        </w:rPr>
        <w:t>原政策</w:t>
      </w:r>
      <w:r>
        <w:rPr>
          <w:rFonts w:ascii="仿宋_GB2312" w:hAnsi="仿宋_GB2312" w:eastAsia="仿宋_GB2312" w:cs="仿宋_GB2312"/>
          <w:sz w:val="32"/>
          <w:szCs w:val="32"/>
          <w:u w:color="000000"/>
        </w:rPr>
        <w:t>执行。</w:t>
      </w:r>
      <w:bookmarkEnd w:id="108"/>
    </w:p>
    <w:p>
      <w:pPr>
        <w:spacing w:line="560" w:lineRule="exact"/>
        <w:ind w:firstLine="640"/>
        <w:rPr>
          <w:rFonts w:hint="eastAsia" w:ascii="仿宋_GB2312" w:hAnsi="仿宋_GB2312" w:eastAsia="仿宋_GB2312" w:cs="仿宋_GB2312"/>
          <w:sz w:val="32"/>
          <w:szCs w:val="32"/>
          <w:u w:color="000000"/>
        </w:rPr>
      </w:pPr>
      <w:r>
        <w:rPr>
          <w:rFonts w:ascii="仿宋_GB2312" w:hAnsi="仿宋_GB2312" w:eastAsia="仿宋_GB2312" w:cs="仿宋_GB2312"/>
          <w:sz w:val="32"/>
          <w:szCs w:val="32"/>
          <w:u w:color="000000"/>
        </w:rPr>
        <w:t>6.本措施由经开区管委会负责解释，具体解释工作由商务金融局承担。</w:t>
      </w:r>
    </w:p>
    <w:p>
      <w:pPr>
        <w:spacing w:line="560" w:lineRule="exact"/>
        <w:ind w:firstLine="640" w:firstLineChars="200"/>
        <w:rPr>
          <w:rFonts w:ascii="Times New Roman" w:hAnsi="Times New Roman" w:eastAsia="仿宋_GB2312"/>
          <w:color w:val="212121"/>
          <w:sz w:val="32"/>
          <w:szCs w:val="32"/>
          <w:shd w:val="clear" w:color="auto" w:fill="FFFFFF"/>
        </w:rPr>
      </w:pPr>
    </w:p>
    <w:p>
      <w:pPr>
        <w:pStyle w:val="4"/>
        <w:keepNext w:val="0"/>
        <w:keepLines w:val="0"/>
        <w:spacing w:before="0" w:after="0" w:line="560" w:lineRule="exact"/>
        <w:ind w:firstLine="643" w:firstLineChars="200"/>
        <w:rPr>
          <w:rFonts w:hint="eastAsia" w:ascii="黑体" w:hAnsi="黑体" w:eastAsia="黑体" w:cs="黑体"/>
          <w:color w:val="212121"/>
        </w:rPr>
      </w:pPr>
      <w:r>
        <w:rPr>
          <w:rFonts w:hint="eastAsia" w:ascii="黑体" w:hAnsi="黑体" w:eastAsia="黑体" w:cs="黑体"/>
          <w:color w:val="212121"/>
          <w:sz w:val="32"/>
          <w:szCs w:val="32"/>
        </w:rPr>
        <w:t>五、名词解释</w:t>
      </w:r>
    </w:p>
    <w:p>
      <w:pPr>
        <w:spacing w:line="560" w:lineRule="exact"/>
        <w:ind w:firstLine="640"/>
        <w:rPr>
          <w:rFonts w:hint="eastAsia" w:ascii="仿宋_GB2312" w:hAnsi="仿宋_GB2312" w:eastAsia="仿宋_GB2312" w:cs="仿宋_GB2312"/>
          <w:sz w:val="32"/>
          <w:szCs w:val="32"/>
          <w:u w:color="000000"/>
        </w:rPr>
      </w:pPr>
      <w:r>
        <w:rPr>
          <w:rFonts w:hint="eastAsia" w:ascii="仿宋_GB2312" w:hAnsi="仿宋_GB2312" w:eastAsia="仿宋_GB2312" w:cs="仿宋_GB2312"/>
          <w:sz w:val="32"/>
          <w:szCs w:val="32"/>
          <w:u w:color="000000"/>
        </w:rPr>
        <w:t>1.【首店、首发活动、首发中心】具体类型和标准应符合北京商业联合会《</w:t>
      </w:r>
      <w:bookmarkStart w:id="109" w:name="OLE_LINK62"/>
      <w:r>
        <w:rPr>
          <w:rFonts w:hint="eastAsia" w:ascii="仿宋_GB2312" w:hAnsi="仿宋_GB2312" w:eastAsia="仿宋_GB2312" w:cs="仿宋_GB2312"/>
          <w:sz w:val="32"/>
          <w:szCs w:val="32"/>
          <w:u w:color="000000"/>
        </w:rPr>
        <w:t>首店、首发活动、首发中心</w:t>
      </w:r>
      <w:bookmarkEnd w:id="109"/>
      <w:r>
        <w:rPr>
          <w:rFonts w:hint="eastAsia" w:ascii="仿宋_GB2312" w:hAnsi="仿宋_GB2312" w:eastAsia="仿宋_GB2312" w:cs="仿宋_GB2312"/>
          <w:sz w:val="32"/>
          <w:szCs w:val="32"/>
          <w:u w:color="000000"/>
        </w:rPr>
        <w:t>界定的团体标准》（T/BJCC 1003-2024）。</w:t>
      </w:r>
    </w:p>
    <w:p>
      <w:pPr>
        <w:spacing w:line="560" w:lineRule="exact"/>
        <w:ind w:firstLine="640"/>
        <w:rPr>
          <w:rFonts w:hint="eastAsia" w:ascii="仿宋_GB2312" w:hAnsi="仿宋_GB2312" w:eastAsia="仿宋_GB2312" w:cs="仿宋_GB2312"/>
          <w:sz w:val="32"/>
          <w:szCs w:val="32"/>
          <w:u w:color="000000"/>
        </w:rPr>
      </w:pPr>
      <w:r>
        <w:rPr>
          <w:rFonts w:hint="eastAsia" w:ascii="仿宋_GB2312" w:hAnsi="仿宋_GB2312" w:eastAsia="仿宋_GB2312" w:cs="仿宋_GB2312"/>
          <w:sz w:val="32"/>
          <w:szCs w:val="32"/>
          <w:u w:color="000000"/>
        </w:rPr>
        <w:t>2</w:t>
      </w:r>
      <w:r>
        <w:rPr>
          <w:rFonts w:ascii="仿宋_GB2312" w:hAnsi="仿宋_GB2312" w:eastAsia="仿宋_GB2312" w:cs="仿宋_GB2312"/>
          <w:sz w:val="32"/>
          <w:szCs w:val="32"/>
          <w:u w:color="000000"/>
        </w:rPr>
        <w:t>.</w:t>
      </w:r>
      <w:r>
        <w:rPr>
          <w:rFonts w:hint="eastAsia" w:ascii="仿宋_GB2312" w:hAnsi="仿宋_GB2312" w:eastAsia="仿宋_GB2312" w:cs="仿宋_GB2312"/>
          <w:sz w:val="32"/>
          <w:szCs w:val="32"/>
          <w:u w:color="000000"/>
        </w:rPr>
        <w:t>【商业综合体】：依据《关于鼓励企业创新开展“2023北京消费季”促消费活动的通知》（京商消促字〔2023〕18号），商业综合体是指以区域为中心，以购物中心为主导，融合商业零售、餐饮、休闲、娱乐、文化、教育等多项城市主要功能活动，面向各类消费人群提供综合性服务的大型建筑综合体。</w:t>
      </w:r>
    </w:p>
    <w:p>
      <w:pPr>
        <w:spacing w:line="560" w:lineRule="exact"/>
        <w:ind w:firstLine="640"/>
        <w:rPr>
          <w:rFonts w:hint="eastAsia" w:ascii="仿宋_GB2312" w:hAnsi="仿宋_GB2312" w:eastAsia="仿宋_GB2312" w:cs="仿宋_GB2312"/>
          <w:sz w:val="32"/>
          <w:szCs w:val="32"/>
          <w:u w:color="000000"/>
        </w:rPr>
      </w:pPr>
      <w:r>
        <w:rPr>
          <w:rFonts w:hint="eastAsia" w:ascii="仿宋_GB2312" w:hAnsi="仿宋_GB2312" w:eastAsia="仿宋_GB2312" w:cs="仿宋_GB2312"/>
          <w:sz w:val="32"/>
          <w:szCs w:val="32"/>
          <w:u w:color="000000"/>
        </w:rPr>
        <w:t>3.【商业步行街】，依据《北京市促进商业步行街高质量发展的指导意见》（京商规字〔2022〕11号），商业步行街是指以街道建筑形态为主体，地面禁止或限制机动车辆通行，商业及服务设施高度集聚，满足人们对商业的综合性或专业性消费需求，充分体现步行者优先的开放式商业活动空间，包括街道属性的条状商业步行街和街区式购物中心属性的块状商业步行街。按照车辆禁行方式可分为全时和分时商业步行街。按功能定位可分为综合型和特色型商业步行街。</w:t>
      </w:r>
    </w:p>
    <w:p>
      <w:pPr>
        <w:spacing w:line="560" w:lineRule="exact"/>
        <w:ind w:firstLine="640"/>
        <w:rPr>
          <w:rFonts w:hint="eastAsia" w:ascii="仿宋_GB2312" w:hAnsi="仿宋_GB2312" w:eastAsia="仿宋_GB2312" w:cs="仿宋_GB2312"/>
          <w:sz w:val="32"/>
          <w:szCs w:val="32"/>
          <w:u w:color="000000"/>
        </w:rPr>
      </w:pPr>
      <w:r>
        <w:rPr>
          <w:rFonts w:hint="eastAsia" w:ascii="仿宋_GB2312" w:hAnsi="仿宋_GB2312" w:eastAsia="仿宋_GB2312" w:cs="仿宋_GB2312"/>
          <w:sz w:val="32"/>
          <w:szCs w:val="32"/>
          <w:u w:color="000000"/>
        </w:rPr>
        <w:t>4.【小修小补小配服务种类】：依据商务部标准，“小修”指修鞋、修自行车、修手表、修电器、家具维修、箱包维修等，“小补”包括改衣、缝扣子、扦裤边、补拉链等，“小配”包括配钥匙。</w:t>
      </w:r>
    </w:p>
    <w:p>
      <w:pPr>
        <w:spacing w:line="560" w:lineRule="exact"/>
        <w:ind w:firstLine="640"/>
        <w:rPr>
          <w:rFonts w:hint="eastAsia" w:ascii="仿宋_GB2312" w:hAnsi="仿宋_GB2312" w:eastAsia="仿宋_GB2312" w:cs="仿宋_GB2312"/>
          <w:sz w:val="32"/>
          <w:szCs w:val="32"/>
          <w:u w:color="000000"/>
        </w:rPr>
      </w:pPr>
      <w:r>
        <w:rPr>
          <w:rFonts w:hint="eastAsia" w:ascii="仿宋_GB2312" w:hAnsi="仿宋_GB2312" w:eastAsia="仿宋_GB2312" w:cs="仿宋_GB2312"/>
          <w:sz w:val="32"/>
          <w:szCs w:val="32"/>
          <w:u w:color="000000"/>
        </w:rPr>
        <w:t>5.【贸易型总部】：依据北京市贸易型总部企业认定条件，贸易型总部是指具有采购、分拨、营销、结算、物流等某项或多项功能，对促进北京国际消费中心城市建设和国际贸易发展具有示范引领作用的行业规模以上独立法人企业，拥有两个以上（含）分支机构或对外投资的企业，且以批发零售为主营业务，当年销售额超过</w:t>
      </w:r>
      <w:r>
        <w:rPr>
          <w:rFonts w:ascii="仿宋_GB2312" w:hAnsi="仿宋_GB2312" w:eastAsia="仿宋_GB2312" w:cs="仿宋_GB2312"/>
          <w:sz w:val="32"/>
          <w:szCs w:val="32"/>
          <w:u w:color="000000"/>
        </w:rPr>
        <w:t>50</w:t>
      </w:r>
      <w:r>
        <w:rPr>
          <w:rFonts w:hint="eastAsia" w:ascii="仿宋_GB2312" w:hAnsi="仿宋_GB2312" w:eastAsia="仿宋_GB2312" w:cs="仿宋_GB2312"/>
          <w:sz w:val="32"/>
          <w:szCs w:val="32"/>
          <w:u w:color="000000"/>
        </w:rPr>
        <w:t>亿元（含）。</w:t>
      </w:r>
    </w:p>
    <w:sectPr>
      <w:footerReference r:id="rId4" w:type="default"/>
      <w:footerReference r:id="rId5"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rPr>
                              <w:rFonts w:hint="eastAsia" w:ascii="宋体" w:hAnsi="宋体" w:cs="宋体"/>
                              <w:sz w:val="32"/>
                              <w:szCs w:val="32"/>
                            </w:rPr>
                            <w:t xml:space="preserve">— </w:t>
                          </w:r>
                          <w:r>
                            <w:rPr>
                              <w:rFonts w:hint="eastAsia" w:ascii="宋体" w:hAnsi="宋体" w:cs="宋体"/>
                              <w:sz w:val="32"/>
                              <w:szCs w:val="32"/>
                            </w:rPr>
                            <w:fldChar w:fldCharType="begin"/>
                          </w:r>
                          <w:r>
                            <w:rPr>
                              <w:rFonts w:hint="eastAsia" w:ascii="宋体" w:hAnsi="宋体" w:cs="宋体"/>
                              <w:sz w:val="32"/>
                              <w:szCs w:val="32"/>
                            </w:rPr>
                            <w:instrText xml:space="preserve"> PAGE  \* MERGEFORMAT </w:instrText>
                          </w:r>
                          <w:r>
                            <w:rPr>
                              <w:rFonts w:hint="eastAsia" w:ascii="宋体" w:hAnsi="宋体" w:cs="宋体"/>
                              <w:sz w:val="32"/>
                              <w:szCs w:val="32"/>
                            </w:rPr>
                            <w:fldChar w:fldCharType="separate"/>
                          </w:r>
                          <w:r>
                            <w:rPr>
                              <w:rFonts w:hint="eastAsia" w:ascii="宋体" w:hAnsi="宋体" w:cs="宋体"/>
                              <w:sz w:val="32"/>
                              <w:szCs w:val="32"/>
                            </w:rPr>
                            <w:t>1</w:t>
                          </w:r>
                          <w:r>
                            <w:rPr>
                              <w:rFonts w:hint="eastAsia" w:ascii="宋体" w:hAnsi="宋体" w:cs="宋体"/>
                              <w:sz w:val="32"/>
                              <w:szCs w:val="32"/>
                            </w:rPr>
                            <w:fldChar w:fldCharType="end"/>
                          </w:r>
                          <w:r>
                            <w:rPr>
                              <w:rFonts w:hint="eastAsia" w:ascii="宋体" w:hAnsi="宋体" w:cs="宋体"/>
                              <w:sz w:val="32"/>
                              <w:szCs w:val="32"/>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4"/>
                    </w:pPr>
                    <w:r>
                      <w:rPr>
                        <w:rFonts w:hint="eastAsia" w:ascii="宋体" w:hAnsi="宋体" w:cs="宋体"/>
                        <w:sz w:val="32"/>
                        <w:szCs w:val="32"/>
                      </w:rPr>
                      <w:t xml:space="preserve">— </w:t>
                    </w:r>
                    <w:r>
                      <w:rPr>
                        <w:rFonts w:hint="eastAsia" w:ascii="宋体" w:hAnsi="宋体" w:cs="宋体"/>
                        <w:sz w:val="32"/>
                        <w:szCs w:val="32"/>
                      </w:rPr>
                      <w:fldChar w:fldCharType="begin"/>
                    </w:r>
                    <w:r>
                      <w:rPr>
                        <w:rFonts w:hint="eastAsia" w:ascii="宋体" w:hAnsi="宋体" w:cs="宋体"/>
                        <w:sz w:val="32"/>
                        <w:szCs w:val="32"/>
                      </w:rPr>
                      <w:instrText xml:space="preserve"> PAGE  \* MERGEFORMAT </w:instrText>
                    </w:r>
                    <w:r>
                      <w:rPr>
                        <w:rFonts w:hint="eastAsia" w:ascii="宋体" w:hAnsi="宋体" w:cs="宋体"/>
                        <w:sz w:val="32"/>
                        <w:szCs w:val="32"/>
                      </w:rPr>
                      <w:fldChar w:fldCharType="separate"/>
                    </w:r>
                    <w:r>
                      <w:rPr>
                        <w:rFonts w:hint="eastAsia" w:ascii="宋体" w:hAnsi="宋体" w:cs="宋体"/>
                        <w:sz w:val="32"/>
                        <w:szCs w:val="32"/>
                      </w:rPr>
                      <w:t>1</w:t>
                    </w:r>
                    <w:r>
                      <w:rPr>
                        <w:rFonts w:hint="eastAsia" w:ascii="宋体" w:hAnsi="宋体" w:cs="宋体"/>
                        <w:sz w:val="32"/>
                        <w:szCs w:val="32"/>
                      </w:rPr>
                      <w:fldChar w:fldCharType="end"/>
                    </w:r>
                    <w:r>
                      <w:rPr>
                        <w:rFonts w:hint="eastAsia" w:ascii="宋体" w:hAnsi="宋体" w:cs="宋体"/>
                        <w:sz w:val="32"/>
                        <w:szCs w:val="32"/>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25"/>
      </w:rPr>
      <w:id w:val="892775837"/>
    </w:sdtPr>
    <w:sdtEndPr>
      <w:rPr>
        <w:rStyle w:val="25"/>
      </w:rPr>
    </w:sdtEndPr>
    <w:sdtContent>
      <w:p>
        <w:pPr>
          <w:pStyle w:val="14"/>
          <w:framePr w:wrap="auto" w:vAnchor="text" w:hAnchor="margin" w:xAlign="center" w:y="1"/>
          <w:rPr>
            <w:rStyle w:val="25"/>
          </w:rPr>
        </w:pPr>
        <w:r>
          <w:rPr>
            <w:rStyle w:val="25"/>
          </w:rPr>
          <w:fldChar w:fldCharType="begin"/>
        </w:r>
        <w:r>
          <w:rPr>
            <w:rStyle w:val="25"/>
          </w:rPr>
          <w:instrText xml:space="preserve"> PAGE </w:instrText>
        </w:r>
        <w:r>
          <w:rPr>
            <w:rStyle w:val="25"/>
          </w:rPr>
          <w:fldChar w:fldCharType="end"/>
        </w:r>
      </w:p>
    </w:sdtContent>
  </w:sdt>
  <w:p>
    <w:pPr>
      <w:pStyle w:val="1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16"/>
        <w:rPr>
          <w:rFonts w:hint="eastAsia"/>
        </w:rPr>
      </w:pPr>
      <w:r>
        <w:rPr>
          <w:rStyle w:val="28"/>
          <w:rFonts w:hint="eastAsia"/>
        </w:rPr>
        <w:footnoteRef/>
      </w:r>
      <w:r>
        <w:rPr>
          <w:rFonts w:hint="eastAsia"/>
        </w:rPr>
        <w:t xml:space="preserve"> 按照当前正在实施的统计规则计算</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D15104"/>
    <w:multiLevelType w:val="multilevel"/>
    <w:tmpl w:val="53D15104"/>
    <w:lvl w:ilvl="0" w:tentative="0">
      <w:start w:val="1"/>
      <w:numFmt w:val="chineseCountingThousand"/>
      <w:lvlText w:val="(%1)"/>
      <w:lvlJc w:val="left"/>
      <w:pPr>
        <w:ind w:left="1083" w:hanging="440"/>
      </w:pPr>
    </w:lvl>
    <w:lvl w:ilvl="1" w:tentative="0">
      <w:start w:val="1"/>
      <w:numFmt w:val="lowerLetter"/>
      <w:lvlText w:val="%2)"/>
      <w:lvlJc w:val="left"/>
      <w:pPr>
        <w:ind w:left="1523" w:hanging="440"/>
      </w:pPr>
    </w:lvl>
    <w:lvl w:ilvl="2" w:tentative="0">
      <w:start w:val="1"/>
      <w:numFmt w:val="lowerRoman"/>
      <w:lvlText w:val="%3."/>
      <w:lvlJc w:val="right"/>
      <w:pPr>
        <w:ind w:left="1963" w:hanging="440"/>
      </w:pPr>
    </w:lvl>
    <w:lvl w:ilvl="3" w:tentative="0">
      <w:start w:val="1"/>
      <w:numFmt w:val="decimal"/>
      <w:lvlText w:val="%4."/>
      <w:lvlJc w:val="left"/>
      <w:pPr>
        <w:ind w:left="2403" w:hanging="440"/>
      </w:pPr>
    </w:lvl>
    <w:lvl w:ilvl="4" w:tentative="0">
      <w:start w:val="1"/>
      <w:numFmt w:val="lowerLetter"/>
      <w:lvlText w:val="%5)"/>
      <w:lvlJc w:val="left"/>
      <w:pPr>
        <w:ind w:left="2843" w:hanging="440"/>
      </w:pPr>
    </w:lvl>
    <w:lvl w:ilvl="5" w:tentative="0">
      <w:start w:val="1"/>
      <w:numFmt w:val="lowerRoman"/>
      <w:lvlText w:val="%6."/>
      <w:lvlJc w:val="right"/>
      <w:pPr>
        <w:ind w:left="3283" w:hanging="440"/>
      </w:pPr>
    </w:lvl>
    <w:lvl w:ilvl="6" w:tentative="0">
      <w:start w:val="1"/>
      <w:numFmt w:val="decimal"/>
      <w:lvlText w:val="%7."/>
      <w:lvlJc w:val="left"/>
      <w:pPr>
        <w:ind w:left="3723" w:hanging="440"/>
      </w:pPr>
    </w:lvl>
    <w:lvl w:ilvl="7" w:tentative="0">
      <w:start w:val="1"/>
      <w:numFmt w:val="lowerLetter"/>
      <w:lvlText w:val="%8)"/>
      <w:lvlJc w:val="left"/>
      <w:pPr>
        <w:ind w:left="4163" w:hanging="440"/>
      </w:pPr>
    </w:lvl>
    <w:lvl w:ilvl="8" w:tentative="0">
      <w:start w:val="1"/>
      <w:numFmt w:val="lowerRoman"/>
      <w:lvlText w:val="%9."/>
      <w:lvlJc w:val="right"/>
      <w:pPr>
        <w:ind w:left="4603" w:hanging="440"/>
      </w:pPr>
    </w:lvl>
  </w:abstractNum>
  <w:abstractNum w:abstractNumId="1">
    <w:nsid w:val="6B78202F"/>
    <w:multiLevelType w:val="multilevel"/>
    <w:tmpl w:val="6B78202F"/>
    <w:lvl w:ilvl="0" w:tentative="0">
      <w:start w:val="1"/>
      <w:numFmt w:val="chineseCountingThousand"/>
      <w:lvlText w:val="第%1条"/>
      <w:lvlJc w:val="left"/>
      <w:pPr>
        <w:ind w:left="1008" w:hanging="440"/>
      </w:pPr>
      <w:rPr>
        <w:rFonts w:hint="eastAsia"/>
      </w:rPr>
    </w:lvl>
    <w:lvl w:ilvl="1" w:tentative="0">
      <w:start w:val="1"/>
      <w:numFmt w:val="lowerLetter"/>
      <w:lvlText w:val="%2)"/>
      <w:lvlJc w:val="left"/>
      <w:pPr>
        <w:ind w:left="2200" w:hanging="440"/>
      </w:pPr>
    </w:lvl>
    <w:lvl w:ilvl="2" w:tentative="0">
      <w:start w:val="1"/>
      <w:numFmt w:val="lowerRoman"/>
      <w:lvlText w:val="%3."/>
      <w:lvlJc w:val="right"/>
      <w:pPr>
        <w:ind w:left="2640" w:hanging="440"/>
      </w:pPr>
    </w:lvl>
    <w:lvl w:ilvl="3" w:tentative="0">
      <w:start w:val="1"/>
      <w:numFmt w:val="decimal"/>
      <w:lvlText w:val="%4."/>
      <w:lvlJc w:val="left"/>
      <w:pPr>
        <w:ind w:left="3080" w:hanging="440"/>
      </w:pPr>
    </w:lvl>
    <w:lvl w:ilvl="4" w:tentative="0">
      <w:start w:val="1"/>
      <w:numFmt w:val="lowerLetter"/>
      <w:lvlText w:val="%5)"/>
      <w:lvlJc w:val="left"/>
      <w:pPr>
        <w:ind w:left="3520" w:hanging="440"/>
      </w:pPr>
    </w:lvl>
    <w:lvl w:ilvl="5" w:tentative="0">
      <w:start w:val="1"/>
      <w:numFmt w:val="lowerRoman"/>
      <w:lvlText w:val="%6."/>
      <w:lvlJc w:val="right"/>
      <w:pPr>
        <w:ind w:left="3960" w:hanging="440"/>
      </w:pPr>
    </w:lvl>
    <w:lvl w:ilvl="6" w:tentative="0">
      <w:start w:val="1"/>
      <w:numFmt w:val="decimal"/>
      <w:lvlText w:val="%7."/>
      <w:lvlJc w:val="left"/>
      <w:pPr>
        <w:ind w:left="4400" w:hanging="440"/>
      </w:pPr>
    </w:lvl>
    <w:lvl w:ilvl="7" w:tentative="0">
      <w:start w:val="1"/>
      <w:numFmt w:val="lowerLetter"/>
      <w:lvlText w:val="%8)"/>
      <w:lvlJc w:val="left"/>
      <w:pPr>
        <w:ind w:left="4840" w:hanging="440"/>
      </w:pPr>
    </w:lvl>
    <w:lvl w:ilvl="8" w:tentative="0">
      <w:start w:val="1"/>
      <w:numFmt w:val="lowerRoman"/>
      <w:lvlText w:val="%9."/>
      <w:lvlJc w:val="right"/>
      <w:pPr>
        <w:ind w:left="5280" w:hanging="440"/>
      </w:pPr>
    </w:lvl>
  </w:abstractNum>
  <w:abstractNum w:abstractNumId="2">
    <w:nsid w:val="75B326F2"/>
    <w:multiLevelType w:val="multilevel"/>
    <w:tmpl w:val="75B326F2"/>
    <w:lvl w:ilvl="0" w:tentative="0">
      <w:start w:val="1"/>
      <w:numFmt w:val="chineseCountingThousand"/>
      <w:lvlText w:val="(%1)"/>
      <w:lvlJc w:val="left"/>
      <w:pPr>
        <w:ind w:left="1083" w:hanging="440"/>
      </w:pPr>
    </w:lvl>
    <w:lvl w:ilvl="1" w:tentative="0">
      <w:start w:val="1"/>
      <w:numFmt w:val="lowerLetter"/>
      <w:lvlText w:val="%2)"/>
      <w:lvlJc w:val="left"/>
      <w:pPr>
        <w:ind w:left="1523" w:hanging="440"/>
      </w:pPr>
    </w:lvl>
    <w:lvl w:ilvl="2" w:tentative="0">
      <w:start w:val="1"/>
      <w:numFmt w:val="lowerRoman"/>
      <w:lvlText w:val="%3."/>
      <w:lvlJc w:val="right"/>
      <w:pPr>
        <w:ind w:left="1963" w:hanging="440"/>
      </w:pPr>
    </w:lvl>
    <w:lvl w:ilvl="3" w:tentative="0">
      <w:start w:val="1"/>
      <w:numFmt w:val="decimal"/>
      <w:lvlText w:val="%4."/>
      <w:lvlJc w:val="left"/>
      <w:pPr>
        <w:ind w:left="2403" w:hanging="440"/>
      </w:pPr>
    </w:lvl>
    <w:lvl w:ilvl="4" w:tentative="0">
      <w:start w:val="1"/>
      <w:numFmt w:val="lowerLetter"/>
      <w:lvlText w:val="%5)"/>
      <w:lvlJc w:val="left"/>
      <w:pPr>
        <w:ind w:left="2843" w:hanging="440"/>
      </w:pPr>
    </w:lvl>
    <w:lvl w:ilvl="5" w:tentative="0">
      <w:start w:val="1"/>
      <w:numFmt w:val="lowerRoman"/>
      <w:lvlText w:val="%6."/>
      <w:lvlJc w:val="right"/>
      <w:pPr>
        <w:ind w:left="3283" w:hanging="440"/>
      </w:pPr>
    </w:lvl>
    <w:lvl w:ilvl="6" w:tentative="0">
      <w:start w:val="1"/>
      <w:numFmt w:val="decimal"/>
      <w:lvlText w:val="%7."/>
      <w:lvlJc w:val="left"/>
      <w:pPr>
        <w:ind w:left="3723" w:hanging="440"/>
      </w:pPr>
    </w:lvl>
    <w:lvl w:ilvl="7" w:tentative="0">
      <w:start w:val="1"/>
      <w:numFmt w:val="lowerLetter"/>
      <w:lvlText w:val="%8)"/>
      <w:lvlJc w:val="left"/>
      <w:pPr>
        <w:ind w:left="4163" w:hanging="440"/>
      </w:pPr>
    </w:lvl>
    <w:lvl w:ilvl="8" w:tentative="0">
      <w:start w:val="1"/>
      <w:numFmt w:val="lowerRoman"/>
      <w:lvlText w:val="%9."/>
      <w:lvlJc w:val="right"/>
      <w:pPr>
        <w:ind w:left="4603" w:hanging="440"/>
      </w:pPr>
    </w:lvl>
  </w:abstractNum>
  <w:abstractNum w:abstractNumId="3">
    <w:nsid w:val="77BE761B"/>
    <w:multiLevelType w:val="singleLevel"/>
    <w:tmpl w:val="77BE761B"/>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U0MTdmMmU0YzY1ZWNiMmJhNzEwN2I4NDY0ZTQ5NzUifQ=="/>
    <w:docVar w:name="KSO_WPS_MARK_KEY" w:val="71f6d951-4dcc-4d24-9865-feb5f699839b"/>
  </w:docVars>
  <w:rsids>
    <w:rsidRoot w:val="006F7923"/>
    <w:rsid w:val="00000996"/>
    <w:rsid w:val="00002C0F"/>
    <w:rsid w:val="00006243"/>
    <w:rsid w:val="000078E6"/>
    <w:rsid w:val="000111B9"/>
    <w:rsid w:val="00013BBD"/>
    <w:rsid w:val="00016BF6"/>
    <w:rsid w:val="00016E62"/>
    <w:rsid w:val="00017D74"/>
    <w:rsid w:val="000210B9"/>
    <w:rsid w:val="000227DB"/>
    <w:rsid w:val="0002577B"/>
    <w:rsid w:val="00027BA5"/>
    <w:rsid w:val="000310EA"/>
    <w:rsid w:val="00031950"/>
    <w:rsid w:val="000331F0"/>
    <w:rsid w:val="00034414"/>
    <w:rsid w:val="00041303"/>
    <w:rsid w:val="00041EDE"/>
    <w:rsid w:val="0004387A"/>
    <w:rsid w:val="00046C4F"/>
    <w:rsid w:val="00052A2F"/>
    <w:rsid w:val="000551E5"/>
    <w:rsid w:val="000570F6"/>
    <w:rsid w:val="00064A5E"/>
    <w:rsid w:val="00064A7D"/>
    <w:rsid w:val="00065E41"/>
    <w:rsid w:val="000673EB"/>
    <w:rsid w:val="00070445"/>
    <w:rsid w:val="00070D84"/>
    <w:rsid w:val="000721B6"/>
    <w:rsid w:val="000725FB"/>
    <w:rsid w:val="000734B4"/>
    <w:rsid w:val="0007576E"/>
    <w:rsid w:val="00075BA2"/>
    <w:rsid w:val="0008035D"/>
    <w:rsid w:val="000924BD"/>
    <w:rsid w:val="0009374D"/>
    <w:rsid w:val="00095EC1"/>
    <w:rsid w:val="000A067E"/>
    <w:rsid w:val="000A2C4E"/>
    <w:rsid w:val="000A6082"/>
    <w:rsid w:val="000A6A5E"/>
    <w:rsid w:val="000A704D"/>
    <w:rsid w:val="000B214C"/>
    <w:rsid w:val="000B37CA"/>
    <w:rsid w:val="000B4822"/>
    <w:rsid w:val="000C0793"/>
    <w:rsid w:val="000C3E1C"/>
    <w:rsid w:val="000C78A2"/>
    <w:rsid w:val="000C78CB"/>
    <w:rsid w:val="000C7A91"/>
    <w:rsid w:val="000C7B75"/>
    <w:rsid w:val="000D0B30"/>
    <w:rsid w:val="000D0E53"/>
    <w:rsid w:val="000D2F82"/>
    <w:rsid w:val="000D30BE"/>
    <w:rsid w:val="000D3465"/>
    <w:rsid w:val="000D3744"/>
    <w:rsid w:val="000D6B97"/>
    <w:rsid w:val="000D723F"/>
    <w:rsid w:val="000D7CE3"/>
    <w:rsid w:val="000E2B34"/>
    <w:rsid w:val="000F06EE"/>
    <w:rsid w:val="000F383A"/>
    <w:rsid w:val="000F46F3"/>
    <w:rsid w:val="000F47CF"/>
    <w:rsid w:val="000F7C8E"/>
    <w:rsid w:val="0010006C"/>
    <w:rsid w:val="00100A0F"/>
    <w:rsid w:val="001077B5"/>
    <w:rsid w:val="001145F3"/>
    <w:rsid w:val="00115C0C"/>
    <w:rsid w:val="001219DF"/>
    <w:rsid w:val="00122ADA"/>
    <w:rsid w:val="00127668"/>
    <w:rsid w:val="00127E0B"/>
    <w:rsid w:val="00131040"/>
    <w:rsid w:val="00131659"/>
    <w:rsid w:val="00131F2B"/>
    <w:rsid w:val="001322FE"/>
    <w:rsid w:val="00141FD4"/>
    <w:rsid w:val="0014330C"/>
    <w:rsid w:val="00144947"/>
    <w:rsid w:val="001459EC"/>
    <w:rsid w:val="00145DBB"/>
    <w:rsid w:val="00146D06"/>
    <w:rsid w:val="00150E93"/>
    <w:rsid w:val="00151709"/>
    <w:rsid w:val="00152290"/>
    <w:rsid w:val="0015359E"/>
    <w:rsid w:val="001536DB"/>
    <w:rsid w:val="0015491F"/>
    <w:rsid w:val="00155BA4"/>
    <w:rsid w:val="00156D99"/>
    <w:rsid w:val="001578AD"/>
    <w:rsid w:val="00161D6B"/>
    <w:rsid w:val="001625D6"/>
    <w:rsid w:val="00162AF7"/>
    <w:rsid w:val="001641AA"/>
    <w:rsid w:val="00164FBE"/>
    <w:rsid w:val="00166491"/>
    <w:rsid w:val="00166798"/>
    <w:rsid w:val="00166D8B"/>
    <w:rsid w:val="00170049"/>
    <w:rsid w:val="00171359"/>
    <w:rsid w:val="00173351"/>
    <w:rsid w:val="001739E7"/>
    <w:rsid w:val="001747EE"/>
    <w:rsid w:val="00176B05"/>
    <w:rsid w:val="00180C0B"/>
    <w:rsid w:val="00180ED1"/>
    <w:rsid w:val="001812D2"/>
    <w:rsid w:val="001816A4"/>
    <w:rsid w:val="00181CDC"/>
    <w:rsid w:val="00185A85"/>
    <w:rsid w:val="00185B79"/>
    <w:rsid w:val="00186415"/>
    <w:rsid w:val="001866D5"/>
    <w:rsid w:val="001906CE"/>
    <w:rsid w:val="0019669B"/>
    <w:rsid w:val="001A0552"/>
    <w:rsid w:val="001A1938"/>
    <w:rsid w:val="001A439F"/>
    <w:rsid w:val="001A69F7"/>
    <w:rsid w:val="001A6E6D"/>
    <w:rsid w:val="001B0709"/>
    <w:rsid w:val="001B07B3"/>
    <w:rsid w:val="001B2282"/>
    <w:rsid w:val="001B6196"/>
    <w:rsid w:val="001C2156"/>
    <w:rsid w:val="001C32A1"/>
    <w:rsid w:val="001C5F15"/>
    <w:rsid w:val="001C60CC"/>
    <w:rsid w:val="001D71CD"/>
    <w:rsid w:val="001D7591"/>
    <w:rsid w:val="001E016A"/>
    <w:rsid w:val="001E2E8D"/>
    <w:rsid w:val="001E3C20"/>
    <w:rsid w:val="001E68A7"/>
    <w:rsid w:val="001F0F1D"/>
    <w:rsid w:val="001F1198"/>
    <w:rsid w:val="001F2AE1"/>
    <w:rsid w:val="002042C0"/>
    <w:rsid w:val="00206066"/>
    <w:rsid w:val="00207ABD"/>
    <w:rsid w:val="00211D22"/>
    <w:rsid w:val="00212064"/>
    <w:rsid w:val="00213165"/>
    <w:rsid w:val="00215760"/>
    <w:rsid w:val="00217610"/>
    <w:rsid w:val="0022416A"/>
    <w:rsid w:val="002252FC"/>
    <w:rsid w:val="0023000E"/>
    <w:rsid w:val="00235C11"/>
    <w:rsid w:val="00237BC7"/>
    <w:rsid w:val="00237E68"/>
    <w:rsid w:val="00241598"/>
    <w:rsid w:val="00242246"/>
    <w:rsid w:val="0024342B"/>
    <w:rsid w:val="00244ECF"/>
    <w:rsid w:val="00246F59"/>
    <w:rsid w:val="00247214"/>
    <w:rsid w:val="0025383B"/>
    <w:rsid w:val="00253B0E"/>
    <w:rsid w:val="00254CCD"/>
    <w:rsid w:val="00255214"/>
    <w:rsid w:val="00261D90"/>
    <w:rsid w:val="002628A5"/>
    <w:rsid w:val="00262F04"/>
    <w:rsid w:val="002648AA"/>
    <w:rsid w:val="002678A4"/>
    <w:rsid w:val="002707E6"/>
    <w:rsid w:val="0027180C"/>
    <w:rsid w:val="00271AD8"/>
    <w:rsid w:val="00271B27"/>
    <w:rsid w:val="002742BE"/>
    <w:rsid w:val="00275083"/>
    <w:rsid w:val="00281B4D"/>
    <w:rsid w:val="00283CB4"/>
    <w:rsid w:val="0029143D"/>
    <w:rsid w:val="0029150E"/>
    <w:rsid w:val="00292B5F"/>
    <w:rsid w:val="002937B6"/>
    <w:rsid w:val="00294EFB"/>
    <w:rsid w:val="002A2679"/>
    <w:rsid w:val="002A348A"/>
    <w:rsid w:val="002A7382"/>
    <w:rsid w:val="002A74BB"/>
    <w:rsid w:val="002B1CA1"/>
    <w:rsid w:val="002B52B4"/>
    <w:rsid w:val="002B6A8D"/>
    <w:rsid w:val="002B6FAE"/>
    <w:rsid w:val="002C06C3"/>
    <w:rsid w:val="002C09C6"/>
    <w:rsid w:val="002C1AF8"/>
    <w:rsid w:val="002C24E4"/>
    <w:rsid w:val="002D1558"/>
    <w:rsid w:val="002D286C"/>
    <w:rsid w:val="002D4CDE"/>
    <w:rsid w:val="002D7357"/>
    <w:rsid w:val="002D7874"/>
    <w:rsid w:val="002E2A7B"/>
    <w:rsid w:val="002E697A"/>
    <w:rsid w:val="002F1FF3"/>
    <w:rsid w:val="002F26DA"/>
    <w:rsid w:val="003002F7"/>
    <w:rsid w:val="00301380"/>
    <w:rsid w:val="0030175C"/>
    <w:rsid w:val="00301B61"/>
    <w:rsid w:val="00301E34"/>
    <w:rsid w:val="00306288"/>
    <w:rsid w:val="003100E6"/>
    <w:rsid w:val="00310DB2"/>
    <w:rsid w:val="003129E4"/>
    <w:rsid w:val="0031436A"/>
    <w:rsid w:val="00323008"/>
    <w:rsid w:val="0032356D"/>
    <w:rsid w:val="00325BC5"/>
    <w:rsid w:val="00326BD7"/>
    <w:rsid w:val="00341D7D"/>
    <w:rsid w:val="003478E6"/>
    <w:rsid w:val="00354381"/>
    <w:rsid w:val="003554A3"/>
    <w:rsid w:val="00355834"/>
    <w:rsid w:val="00366532"/>
    <w:rsid w:val="00370BA5"/>
    <w:rsid w:val="00371ADC"/>
    <w:rsid w:val="00371BDF"/>
    <w:rsid w:val="00373006"/>
    <w:rsid w:val="0037311C"/>
    <w:rsid w:val="0037483F"/>
    <w:rsid w:val="00375D6D"/>
    <w:rsid w:val="00380C40"/>
    <w:rsid w:val="00390816"/>
    <w:rsid w:val="003919E4"/>
    <w:rsid w:val="0039246A"/>
    <w:rsid w:val="003934D7"/>
    <w:rsid w:val="003A07E0"/>
    <w:rsid w:val="003A1F9B"/>
    <w:rsid w:val="003A362C"/>
    <w:rsid w:val="003A56FE"/>
    <w:rsid w:val="003A6151"/>
    <w:rsid w:val="003A645C"/>
    <w:rsid w:val="003B2B1F"/>
    <w:rsid w:val="003B305B"/>
    <w:rsid w:val="003B5E0F"/>
    <w:rsid w:val="003C5B92"/>
    <w:rsid w:val="003C7C7F"/>
    <w:rsid w:val="003D079E"/>
    <w:rsid w:val="003D2D38"/>
    <w:rsid w:val="003D2E03"/>
    <w:rsid w:val="003D54E8"/>
    <w:rsid w:val="003D6A36"/>
    <w:rsid w:val="003D6C60"/>
    <w:rsid w:val="003D6EF2"/>
    <w:rsid w:val="003E2E82"/>
    <w:rsid w:val="003E309F"/>
    <w:rsid w:val="003E471F"/>
    <w:rsid w:val="003E6385"/>
    <w:rsid w:val="003F009C"/>
    <w:rsid w:val="003F6709"/>
    <w:rsid w:val="00400F4D"/>
    <w:rsid w:val="00401EF3"/>
    <w:rsid w:val="00403D68"/>
    <w:rsid w:val="00404815"/>
    <w:rsid w:val="00405351"/>
    <w:rsid w:val="00405F4D"/>
    <w:rsid w:val="004158FF"/>
    <w:rsid w:val="00415FCF"/>
    <w:rsid w:val="00422FCF"/>
    <w:rsid w:val="00427454"/>
    <w:rsid w:val="00427A27"/>
    <w:rsid w:val="004323B2"/>
    <w:rsid w:val="00432896"/>
    <w:rsid w:val="00433604"/>
    <w:rsid w:val="00433799"/>
    <w:rsid w:val="004361AA"/>
    <w:rsid w:val="00437A82"/>
    <w:rsid w:val="0044245F"/>
    <w:rsid w:val="004467EC"/>
    <w:rsid w:val="0045008C"/>
    <w:rsid w:val="004515C0"/>
    <w:rsid w:val="004533B7"/>
    <w:rsid w:val="00453C3A"/>
    <w:rsid w:val="00454D7D"/>
    <w:rsid w:val="00454DE1"/>
    <w:rsid w:val="00457ECB"/>
    <w:rsid w:val="004630E0"/>
    <w:rsid w:val="004630EC"/>
    <w:rsid w:val="004648FA"/>
    <w:rsid w:val="00471F7E"/>
    <w:rsid w:val="0047603F"/>
    <w:rsid w:val="004764E4"/>
    <w:rsid w:val="00487A8A"/>
    <w:rsid w:val="0049167E"/>
    <w:rsid w:val="0049304F"/>
    <w:rsid w:val="004A089B"/>
    <w:rsid w:val="004A60F0"/>
    <w:rsid w:val="004A621D"/>
    <w:rsid w:val="004A66A9"/>
    <w:rsid w:val="004B4C37"/>
    <w:rsid w:val="004B5A9F"/>
    <w:rsid w:val="004B6F58"/>
    <w:rsid w:val="004C0F8F"/>
    <w:rsid w:val="004C219B"/>
    <w:rsid w:val="004C3CA4"/>
    <w:rsid w:val="004C6C23"/>
    <w:rsid w:val="004D06CC"/>
    <w:rsid w:val="004D0D94"/>
    <w:rsid w:val="004D2B9B"/>
    <w:rsid w:val="004D4A70"/>
    <w:rsid w:val="004D4E8A"/>
    <w:rsid w:val="004D5578"/>
    <w:rsid w:val="004D5D39"/>
    <w:rsid w:val="004E474B"/>
    <w:rsid w:val="004E5E1F"/>
    <w:rsid w:val="004E6E8A"/>
    <w:rsid w:val="004F0826"/>
    <w:rsid w:val="0050459E"/>
    <w:rsid w:val="005133FB"/>
    <w:rsid w:val="0051349C"/>
    <w:rsid w:val="005136C1"/>
    <w:rsid w:val="0051455C"/>
    <w:rsid w:val="005206EA"/>
    <w:rsid w:val="00522170"/>
    <w:rsid w:val="00523D5A"/>
    <w:rsid w:val="00523DF6"/>
    <w:rsid w:val="00530E5D"/>
    <w:rsid w:val="00531846"/>
    <w:rsid w:val="00531B95"/>
    <w:rsid w:val="0053484C"/>
    <w:rsid w:val="00536E18"/>
    <w:rsid w:val="00537F24"/>
    <w:rsid w:val="00543417"/>
    <w:rsid w:val="00546B88"/>
    <w:rsid w:val="00554434"/>
    <w:rsid w:val="00554FB3"/>
    <w:rsid w:val="00557747"/>
    <w:rsid w:val="00562846"/>
    <w:rsid w:val="00562D4A"/>
    <w:rsid w:val="00563491"/>
    <w:rsid w:val="00563855"/>
    <w:rsid w:val="00565212"/>
    <w:rsid w:val="0056534F"/>
    <w:rsid w:val="0056562E"/>
    <w:rsid w:val="00565A8E"/>
    <w:rsid w:val="00566F4D"/>
    <w:rsid w:val="0056715D"/>
    <w:rsid w:val="00567783"/>
    <w:rsid w:val="00572136"/>
    <w:rsid w:val="00574D4D"/>
    <w:rsid w:val="005826A1"/>
    <w:rsid w:val="00584AF8"/>
    <w:rsid w:val="00587658"/>
    <w:rsid w:val="00590663"/>
    <w:rsid w:val="00591522"/>
    <w:rsid w:val="00591BBD"/>
    <w:rsid w:val="00593A04"/>
    <w:rsid w:val="0059739C"/>
    <w:rsid w:val="005A46A4"/>
    <w:rsid w:val="005B5093"/>
    <w:rsid w:val="005B530A"/>
    <w:rsid w:val="005B5BB6"/>
    <w:rsid w:val="005C09C5"/>
    <w:rsid w:val="005C0A98"/>
    <w:rsid w:val="005C17A9"/>
    <w:rsid w:val="005C58B1"/>
    <w:rsid w:val="005C6643"/>
    <w:rsid w:val="005D1021"/>
    <w:rsid w:val="005D3F12"/>
    <w:rsid w:val="005D5549"/>
    <w:rsid w:val="005D6AC7"/>
    <w:rsid w:val="005D7179"/>
    <w:rsid w:val="005E11C1"/>
    <w:rsid w:val="005E252E"/>
    <w:rsid w:val="005E2BB5"/>
    <w:rsid w:val="005E3DBC"/>
    <w:rsid w:val="005E4758"/>
    <w:rsid w:val="005E6188"/>
    <w:rsid w:val="005F0BFF"/>
    <w:rsid w:val="005F1916"/>
    <w:rsid w:val="005F7F88"/>
    <w:rsid w:val="00602075"/>
    <w:rsid w:val="00604AD1"/>
    <w:rsid w:val="00604E9F"/>
    <w:rsid w:val="0061248B"/>
    <w:rsid w:val="006142CB"/>
    <w:rsid w:val="00614C48"/>
    <w:rsid w:val="00615DE0"/>
    <w:rsid w:val="00617C51"/>
    <w:rsid w:val="00620169"/>
    <w:rsid w:val="00621F6D"/>
    <w:rsid w:val="00622BCB"/>
    <w:rsid w:val="00630536"/>
    <w:rsid w:val="00630EC5"/>
    <w:rsid w:val="0064342F"/>
    <w:rsid w:val="006452DA"/>
    <w:rsid w:val="00645945"/>
    <w:rsid w:val="00651270"/>
    <w:rsid w:val="00653010"/>
    <w:rsid w:val="00660D49"/>
    <w:rsid w:val="006657A0"/>
    <w:rsid w:val="006664FC"/>
    <w:rsid w:val="0066680C"/>
    <w:rsid w:val="00666CCE"/>
    <w:rsid w:val="00670930"/>
    <w:rsid w:val="006728A2"/>
    <w:rsid w:val="00672A90"/>
    <w:rsid w:val="00674970"/>
    <w:rsid w:val="006820EB"/>
    <w:rsid w:val="00687C03"/>
    <w:rsid w:val="00691934"/>
    <w:rsid w:val="006930EF"/>
    <w:rsid w:val="006936B2"/>
    <w:rsid w:val="0069467F"/>
    <w:rsid w:val="00696BD5"/>
    <w:rsid w:val="00697CAC"/>
    <w:rsid w:val="006A3180"/>
    <w:rsid w:val="006A3836"/>
    <w:rsid w:val="006A6689"/>
    <w:rsid w:val="006A6BBC"/>
    <w:rsid w:val="006A73BA"/>
    <w:rsid w:val="006B0236"/>
    <w:rsid w:val="006B1931"/>
    <w:rsid w:val="006B5737"/>
    <w:rsid w:val="006B629C"/>
    <w:rsid w:val="006B633A"/>
    <w:rsid w:val="006C1920"/>
    <w:rsid w:val="006C2D70"/>
    <w:rsid w:val="006C2F14"/>
    <w:rsid w:val="006C306E"/>
    <w:rsid w:val="006C348B"/>
    <w:rsid w:val="006C50FA"/>
    <w:rsid w:val="006D78C5"/>
    <w:rsid w:val="006E0ACD"/>
    <w:rsid w:val="006E0FA8"/>
    <w:rsid w:val="006E247A"/>
    <w:rsid w:val="006F1263"/>
    <w:rsid w:val="006F2DE9"/>
    <w:rsid w:val="006F555C"/>
    <w:rsid w:val="006F74F8"/>
    <w:rsid w:val="006F7923"/>
    <w:rsid w:val="0070067F"/>
    <w:rsid w:val="00702E6E"/>
    <w:rsid w:val="00707B07"/>
    <w:rsid w:val="00712AB2"/>
    <w:rsid w:val="00713702"/>
    <w:rsid w:val="00715966"/>
    <w:rsid w:val="00724439"/>
    <w:rsid w:val="00724950"/>
    <w:rsid w:val="00724E57"/>
    <w:rsid w:val="00730096"/>
    <w:rsid w:val="00732BF7"/>
    <w:rsid w:val="00751CCA"/>
    <w:rsid w:val="00751F0D"/>
    <w:rsid w:val="00753539"/>
    <w:rsid w:val="00760E41"/>
    <w:rsid w:val="00762253"/>
    <w:rsid w:val="007630A0"/>
    <w:rsid w:val="00763E3E"/>
    <w:rsid w:val="00770EBF"/>
    <w:rsid w:val="00771934"/>
    <w:rsid w:val="00777D72"/>
    <w:rsid w:val="007802E6"/>
    <w:rsid w:val="00780A15"/>
    <w:rsid w:val="00784654"/>
    <w:rsid w:val="00784EDA"/>
    <w:rsid w:val="00787F86"/>
    <w:rsid w:val="007A024D"/>
    <w:rsid w:val="007A0909"/>
    <w:rsid w:val="007A1462"/>
    <w:rsid w:val="007A226B"/>
    <w:rsid w:val="007A2B39"/>
    <w:rsid w:val="007A4E2C"/>
    <w:rsid w:val="007A7C5F"/>
    <w:rsid w:val="007B3AEA"/>
    <w:rsid w:val="007B441B"/>
    <w:rsid w:val="007C03B3"/>
    <w:rsid w:val="007C66E1"/>
    <w:rsid w:val="007D2DBF"/>
    <w:rsid w:val="007D2E65"/>
    <w:rsid w:val="007D394B"/>
    <w:rsid w:val="007D4B0F"/>
    <w:rsid w:val="007D5D68"/>
    <w:rsid w:val="007E0CCB"/>
    <w:rsid w:val="007E2553"/>
    <w:rsid w:val="007E52BE"/>
    <w:rsid w:val="007E5F7B"/>
    <w:rsid w:val="007E6FF8"/>
    <w:rsid w:val="007F1F1E"/>
    <w:rsid w:val="007F2353"/>
    <w:rsid w:val="007F25CC"/>
    <w:rsid w:val="007F338D"/>
    <w:rsid w:val="007F3983"/>
    <w:rsid w:val="007F3B9D"/>
    <w:rsid w:val="007F7D4D"/>
    <w:rsid w:val="00804920"/>
    <w:rsid w:val="008052F1"/>
    <w:rsid w:val="008056BF"/>
    <w:rsid w:val="008065AC"/>
    <w:rsid w:val="00806933"/>
    <w:rsid w:val="00807BF5"/>
    <w:rsid w:val="0081296E"/>
    <w:rsid w:val="00815955"/>
    <w:rsid w:val="00816C4B"/>
    <w:rsid w:val="008223BD"/>
    <w:rsid w:val="00822E49"/>
    <w:rsid w:val="00827328"/>
    <w:rsid w:val="008300EF"/>
    <w:rsid w:val="00830683"/>
    <w:rsid w:val="00831364"/>
    <w:rsid w:val="008335F1"/>
    <w:rsid w:val="00833668"/>
    <w:rsid w:val="00833C23"/>
    <w:rsid w:val="00833FA5"/>
    <w:rsid w:val="0083486F"/>
    <w:rsid w:val="00840874"/>
    <w:rsid w:val="008421F8"/>
    <w:rsid w:val="0084398E"/>
    <w:rsid w:val="00866037"/>
    <w:rsid w:val="008663DB"/>
    <w:rsid w:val="00871F6E"/>
    <w:rsid w:val="0087748D"/>
    <w:rsid w:val="00882100"/>
    <w:rsid w:val="00882AD8"/>
    <w:rsid w:val="00882AE5"/>
    <w:rsid w:val="00886CB2"/>
    <w:rsid w:val="00887051"/>
    <w:rsid w:val="00887F68"/>
    <w:rsid w:val="00890006"/>
    <w:rsid w:val="00891A97"/>
    <w:rsid w:val="008920B5"/>
    <w:rsid w:val="008930E3"/>
    <w:rsid w:val="008945B7"/>
    <w:rsid w:val="00897728"/>
    <w:rsid w:val="008A0091"/>
    <w:rsid w:val="008A09F5"/>
    <w:rsid w:val="008A3059"/>
    <w:rsid w:val="008A7B2C"/>
    <w:rsid w:val="008B23A7"/>
    <w:rsid w:val="008B57D8"/>
    <w:rsid w:val="008C0AC4"/>
    <w:rsid w:val="008C38D7"/>
    <w:rsid w:val="008C4C82"/>
    <w:rsid w:val="008D046F"/>
    <w:rsid w:val="008D2DAF"/>
    <w:rsid w:val="008D48C5"/>
    <w:rsid w:val="008D59B0"/>
    <w:rsid w:val="008D7C8B"/>
    <w:rsid w:val="008E27E2"/>
    <w:rsid w:val="008E32FA"/>
    <w:rsid w:val="008E3629"/>
    <w:rsid w:val="008E4FDC"/>
    <w:rsid w:val="008E5950"/>
    <w:rsid w:val="008F180C"/>
    <w:rsid w:val="008F48D5"/>
    <w:rsid w:val="008F6302"/>
    <w:rsid w:val="008F648A"/>
    <w:rsid w:val="008F688C"/>
    <w:rsid w:val="0090039A"/>
    <w:rsid w:val="0090074C"/>
    <w:rsid w:val="00903D0B"/>
    <w:rsid w:val="00903E9F"/>
    <w:rsid w:val="00904459"/>
    <w:rsid w:val="00907BE0"/>
    <w:rsid w:val="009117EB"/>
    <w:rsid w:val="0091363C"/>
    <w:rsid w:val="0091395D"/>
    <w:rsid w:val="0091435A"/>
    <w:rsid w:val="00916863"/>
    <w:rsid w:val="00921CFE"/>
    <w:rsid w:val="00925427"/>
    <w:rsid w:val="00927C58"/>
    <w:rsid w:val="0093223D"/>
    <w:rsid w:val="00933C8C"/>
    <w:rsid w:val="00941815"/>
    <w:rsid w:val="009425AE"/>
    <w:rsid w:val="00950A33"/>
    <w:rsid w:val="009618F7"/>
    <w:rsid w:val="00963639"/>
    <w:rsid w:val="00975A2E"/>
    <w:rsid w:val="009778CD"/>
    <w:rsid w:val="00983126"/>
    <w:rsid w:val="0098688A"/>
    <w:rsid w:val="0099055F"/>
    <w:rsid w:val="0099099C"/>
    <w:rsid w:val="00995300"/>
    <w:rsid w:val="00995947"/>
    <w:rsid w:val="009966B8"/>
    <w:rsid w:val="009A0E8F"/>
    <w:rsid w:val="009A1DB7"/>
    <w:rsid w:val="009A1DCB"/>
    <w:rsid w:val="009A1E07"/>
    <w:rsid w:val="009B03F4"/>
    <w:rsid w:val="009B09F6"/>
    <w:rsid w:val="009B71C1"/>
    <w:rsid w:val="009C02F7"/>
    <w:rsid w:val="009C0525"/>
    <w:rsid w:val="009C17B5"/>
    <w:rsid w:val="009C614B"/>
    <w:rsid w:val="009D2EDB"/>
    <w:rsid w:val="009D35C0"/>
    <w:rsid w:val="009D7246"/>
    <w:rsid w:val="009F0F47"/>
    <w:rsid w:val="009F1932"/>
    <w:rsid w:val="009F3D8E"/>
    <w:rsid w:val="009F5D83"/>
    <w:rsid w:val="009F6257"/>
    <w:rsid w:val="009F680A"/>
    <w:rsid w:val="00A15817"/>
    <w:rsid w:val="00A15A49"/>
    <w:rsid w:val="00A17E0D"/>
    <w:rsid w:val="00A21A63"/>
    <w:rsid w:val="00A225A3"/>
    <w:rsid w:val="00A32246"/>
    <w:rsid w:val="00A343F1"/>
    <w:rsid w:val="00A36128"/>
    <w:rsid w:val="00A36B80"/>
    <w:rsid w:val="00A418C2"/>
    <w:rsid w:val="00A4355E"/>
    <w:rsid w:val="00A4514C"/>
    <w:rsid w:val="00A46DF4"/>
    <w:rsid w:val="00A46EE4"/>
    <w:rsid w:val="00A47185"/>
    <w:rsid w:val="00A47DF2"/>
    <w:rsid w:val="00A547DB"/>
    <w:rsid w:val="00A57001"/>
    <w:rsid w:val="00A61F5B"/>
    <w:rsid w:val="00A6280E"/>
    <w:rsid w:val="00A6286B"/>
    <w:rsid w:val="00A669E2"/>
    <w:rsid w:val="00A673C4"/>
    <w:rsid w:val="00A705D5"/>
    <w:rsid w:val="00A7081B"/>
    <w:rsid w:val="00A806CC"/>
    <w:rsid w:val="00A813B7"/>
    <w:rsid w:val="00A86014"/>
    <w:rsid w:val="00A87BC6"/>
    <w:rsid w:val="00A90922"/>
    <w:rsid w:val="00A90B13"/>
    <w:rsid w:val="00A92ABE"/>
    <w:rsid w:val="00A93B7F"/>
    <w:rsid w:val="00A9426A"/>
    <w:rsid w:val="00A94540"/>
    <w:rsid w:val="00A97281"/>
    <w:rsid w:val="00AA0EF9"/>
    <w:rsid w:val="00AA4E52"/>
    <w:rsid w:val="00AA689F"/>
    <w:rsid w:val="00AA6FF7"/>
    <w:rsid w:val="00AB17AB"/>
    <w:rsid w:val="00AB47B4"/>
    <w:rsid w:val="00AB4EAF"/>
    <w:rsid w:val="00AB6647"/>
    <w:rsid w:val="00AB753B"/>
    <w:rsid w:val="00AC1A74"/>
    <w:rsid w:val="00AC44AC"/>
    <w:rsid w:val="00AD0BCF"/>
    <w:rsid w:val="00AD0CE0"/>
    <w:rsid w:val="00AD3B8D"/>
    <w:rsid w:val="00AD3D29"/>
    <w:rsid w:val="00AD5347"/>
    <w:rsid w:val="00AE2099"/>
    <w:rsid w:val="00AF161A"/>
    <w:rsid w:val="00AF2B61"/>
    <w:rsid w:val="00AF4084"/>
    <w:rsid w:val="00AF4CD5"/>
    <w:rsid w:val="00AF506A"/>
    <w:rsid w:val="00AF6F3F"/>
    <w:rsid w:val="00B00066"/>
    <w:rsid w:val="00B00812"/>
    <w:rsid w:val="00B0430F"/>
    <w:rsid w:val="00B045EF"/>
    <w:rsid w:val="00B050A4"/>
    <w:rsid w:val="00B11881"/>
    <w:rsid w:val="00B14E87"/>
    <w:rsid w:val="00B15DFD"/>
    <w:rsid w:val="00B163AD"/>
    <w:rsid w:val="00B218AA"/>
    <w:rsid w:val="00B25081"/>
    <w:rsid w:val="00B25D32"/>
    <w:rsid w:val="00B25EAB"/>
    <w:rsid w:val="00B263C0"/>
    <w:rsid w:val="00B26E3A"/>
    <w:rsid w:val="00B318C0"/>
    <w:rsid w:val="00B31B70"/>
    <w:rsid w:val="00B3302A"/>
    <w:rsid w:val="00B365BD"/>
    <w:rsid w:val="00B3743C"/>
    <w:rsid w:val="00B40725"/>
    <w:rsid w:val="00B44236"/>
    <w:rsid w:val="00B44DCB"/>
    <w:rsid w:val="00B50EBE"/>
    <w:rsid w:val="00B5187E"/>
    <w:rsid w:val="00B52F20"/>
    <w:rsid w:val="00B5446A"/>
    <w:rsid w:val="00B55F82"/>
    <w:rsid w:val="00B5653F"/>
    <w:rsid w:val="00B569B0"/>
    <w:rsid w:val="00B60364"/>
    <w:rsid w:val="00B65D31"/>
    <w:rsid w:val="00B66931"/>
    <w:rsid w:val="00B67957"/>
    <w:rsid w:val="00B731BE"/>
    <w:rsid w:val="00B73418"/>
    <w:rsid w:val="00B73CFB"/>
    <w:rsid w:val="00B7421F"/>
    <w:rsid w:val="00B7570A"/>
    <w:rsid w:val="00B75D8A"/>
    <w:rsid w:val="00B814A4"/>
    <w:rsid w:val="00B842BC"/>
    <w:rsid w:val="00B858AA"/>
    <w:rsid w:val="00B85B2C"/>
    <w:rsid w:val="00B92A39"/>
    <w:rsid w:val="00B93F89"/>
    <w:rsid w:val="00BA2F96"/>
    <w:rsid w:val="00BA4908"/>
    <w:rsid w:val="00BA5AFE"/>
    <w:rsid w:val="00BA6E15"/>
    <w:rsid w:val="00BA7987"/>
    <w:rsid w:val="00BB0C44"/>
    <w:rsid w:val="00BB0F37"/>
    <w:rsid w:val="00BB650E"/>
    <w:rsid w:val="00BB7417"/>
    <w:rsid w:val="00BC081E"/>
    <w:rsid w:val="00BC105E"/>
    <w:rsid w:val="00BC1DBB"/>
    <w:rsid w:val="00BC3C25"/>
    <w:rsid w:val="00BC478A"/>
    <w:rsid w:val="00BC5A5C"/>
    <w:rsid w:val="00BC69A5"/>
    <w:rsid w:val="00BD167C"/>
    <w:rsid w:val="00BD3CF7"/>
    <w:rsid w:val="00BD51A2"/>
    <w:rsid w:val="00BD7A51"/>
    <w:rsid w:val="00BE3109"/>
    <w:rsid w:val="00BE4171"/>
    <w:rsid w:val="00BE606D"/>
    <w:rsid w:val="00BE6674"/>
    <w:rsid w:val="00BE668A"/>
    <w:rsid w:val="00BE6A2F"/>
    <w:rsid w:val="00BE70C1"/>
    <w:rsid w:val="00BF214F"/>
    <w:rsid w:val="00BF5B52"/>
    <w:rsid w:val="00C002D3"/>
    <w:rsid w:val="00C0440E"/>
    <w:rsid w:val="00C04C3C"/>
    <w:rsid w:val="00C06870"/>
    <w:rsid w:val="00C1033A"/>
    <w:rsid w:val="00C12016"/>
    <w:rsid w:val="00C1297C"/>
    <w:rsid w:val="00C15259"/>
    <w:rsid w:val="00C205F6"/>
    <w:rsid w:val="00C21388"/>
    <w:rsid w:val="00C33845"/>
    <w:rsid w:val="00C343CF"/>
    <w:rsid w:val="00C415F5"/>
    <w:rsid w:val="00C435DB"/>
    <w:rsid w:val="00C45B9D"/>
    <w:rsid w:val="00C53BFF"/>
    <w:rsid w:val="00C54A8E"/>
    <w:rsid w:val="00C55FE0"/>
    <w:rsid w:val="00C57133"/>
    <w:rsid w:val="00C607BA"/>
    <w:rsid w:val="00C65BCB"/>
    <w:rsid w:val="00C677FD"/>
    <w:rsid w:val="00C7381D"/>
    <w:rsid w:val="00C92C6E"/>
    <w:rsid w:val="00C94F90"/>
    <w:rsid w:val="00C95118"/>
    <w:rsid w:val="00C95C8D"/>
    <w:rsid w:val="00C95EC4"/>
    <w:rsid w:val="00C968D4"/>
    <w:rsid w:val="00C974D1"/>
    <w:rsid w:val="00CA13C5"/>
    <w:rsid w:val="00CA30F2"/>
    <w:rsid w:val="00CA67FC"/>
    <w:rsid w:val="00CA79CC"/>
    <w:rsid w:val="00CB013D"/>
    <w:rsid w:val="00CB522F"/>
    <w:rsid w:val="00CB7FE5"/>
    <w:rsid w:val="00CC4FC6"/>
    <w:rsid w:val="00CC5C8A"/>
    <w:rsid w:val="00CC6FA8"/>
    <w:rsid w:val="00CC79A3"/>
    <w:rsid w:val="00CD046A"/>
    <w:rsid w:val="00CD0A4F"/>
    <w:rsid w:val="00CD2637"/>
    <w:rsid w:val="00CD4D76"/>
    <w:rsid w:val="00CD5325"/>
    <w:rsid w:val="00CD5499"/>
    <w:rsid w:val="00CD6238"/>
    <w:rsid w:val="00CE017F"/>
    <w:rsid w:val="00CE1B6B"/>
    <w:rsid w:val="00CE350E"/>
    <w:rsid w:val="00CE3C2A"/>
    <w:rsid w:val="00CE5237"/>
    <w:rsid w:val="00CE6A2F"/>
    <w:rsid w:val="00CE73AC"/>
    <w:rsid w:val="00CF0BD3"/>
    <w:rsid w:val="00CF17BE"/>
    <w:rsid w:val="00CF379D"/>
    <w:rsid w:val="00CF474E"/>
    <w:rsid w:val="00CF55BC"/>
    <w:rsid w:val="00CF56D3"/>
    <w:rsid w:val="00CF6768"/>
    <w:rsid w:val="00CF6B27"/>
    <w:rsid w:val="00CF70FF"/>
    <w:rsid w:val="00D0117C"/>
    <w:rsid w:val="00D04008"/>
    <w:rsid w:val="00D04BA7"/>
    <w:rsid w:val="00D12B28"/>
    <w:rsid w:val="00D131EB"/>
    <w:rsid w:val="00D13775"/>
    <w:rsid w:val="00D1468A"/>
    <w:rsid w:val="00D14CA4"/>
    <w:rsid w:val="00D303F6"/>
    <w:rsid w:val="00D34EE4"/>
    <w:rsid w:val="00D40085"/>
    <w:rsid w:val="00D40804"/>
    <w:rsid w:val="00D43789"/>
    <w:rsid w:val="00D47050"/>
    <w:rsid w:val="00D53E42"/>
    <w:rsid w:val="00D546C8"/>
    <w:rsid w:val="00D56B53"/>
    <w:rsid w:val="00D61552"/>
    <w:rsid w:val="00D620B3"/>
    <w:rsid w:val="00D655BC"/>
    <w:rsid w:val="00D71F78"/>
    <w:rsid w:val="00D77E2B"/>
    <w:rsid w:val="00D80465"/>
    <w:rsid w:val="00D82E21"/>
    <w:rsid w:val="00D869E9"/>
    <w:rsid w:val="00D912BE"/>
    <w:rsid w:val="00D915C6"/>
    <w:rsid w:val="00DA2FB8"/>
    <w:rsid w:val="00DA58F0"/>
    <w:rsid w:val="00DB589A"/>
    <w:rsid w:val="00DB6FBB"/>
    <w:rsid w:val="00DC0579"/>
    <w:rsid w:val="00DC2A6D"/>
    <w:rsid w:val="00DC5421"/>
    <w:rsid w:val="00DC5AF8"/>
    <w:rsid w:val="00DD1BF3"/>
    <w:rsid w:val="00DD20F7"/>
    <w:rsid w:val="00DD5C3A"/>
    <w:rsid w:val="00DD6238"/>
    <w:rsid w:val="00DE02EE"/>
    <w:rsid w:val="00DE1303"/>
    <w:rsid w:val="00DE2585"/>
    <w:rsid w:val="00DE4751"/>
    <w:rsid w:val="00DE5186"/>
    <w:rsid w:val="00DF3694"/>
    <w:rsid w:val="00DF3BCD"/>
    <w:rsid w:val="00DF456A"/>
    <w:rsid w:val="00DF4DB4"/>
    <w:rsid w:val="00DF5B9E"/>
    <w:rsid w:val="00DF5E00"/>
    <w:rsid w:val="00DF651A"/>
    <w:rsid w:val="00DF6B59"/>
    <w:rsid w:val="00E00517"/>
    <w:rsid w:val="00E0510D"/>
    <w:rsid w:val="00E06C75"/>
    <w:rsid w:val="00E07023"/>
    <w:rsid w:val="00E104EE"/>
    <w:rsid w:val="00E10970"/>
    <w:rsid w:val="00E12DD9"/>
    <w:rsid w:val="00E14101"/>
    <w:rsid w:val="00E160E8"/>
    <w:rsid w:val="00E2596E"/>
    <w:rsid w:val="00E27A39"/>
    <w:rsid w:val="00E33F09"/>
    <w:rsid w:val="00E365F5"/>
    <w:rsid w:val="00E40AD4"/>
    <w:rsid w:val="00E42014"/>
    <w:rsid w:val="00E4270D"/>
    <w:rsid w:val="00E45148"/>
    <w:rsid w:val="00E46EEA"/>
    <w:rsid w:val="00E50298"/>
    <w:rsid w:val="00E51127"/>
    <w:rsid w:val="00E557F6"/>
    <w:rsid w:val="00E63C65"/>
    <w:rsid w:val="00E652B7"/>
    <w:rsid w:val="00E71CDF"/>
    <w:rsid w:val="00E731C4"/>
    <w:rsid w:val="00E7435D"/>
    <w:rsid w:val="00E86443"/>
    <w:rsid w:val="00E87A81"/>
    <w:rsid w:val="00E90BE0"/>
    <w:rsid w:val="00E9393A"/>
    <w:rsid w:val="00E96AB2"/>
    <w:rsid w:val="00EA087D"/>
    <w:rsid w:val="00EA45E9"/>
    <w:rsid w:val="00EA7B21"/>
    <w:rsid w:val="00EB06A3"/>
    <w:rsid w:val="00EB12F6"/>
    <w:rsid w:val="00EB3C7D"/>
    <w:rsid w:val="00EB7915"/>
    <w:rsid w:val="00EC1D4F"/>
    <w:rsid w:val="00EC3C72"/>
    <w:rsid w:val="00EC5564"/>
    <w:rsid w:val="00ED034A"/>
    <w:rsid w:val="00ED0952"/>
    <w:rsid w:val="00ED1A4E"/>
    <w:rsid w:val="00ED457E"/>
    <w:rsid w:val="00EE1DF1"/>
    <w:rsid w:val="00EE27DF"/>
    <w:rsid w:val="00EE2D3F"/>
    <w:rsid w:val="00EF0232"/>
    <w:rsid w:val="00EF76BF"/>
    <w:rsid w:val="00EF7CAC"/>
    <w:rsid w:val="00F00A15"/>
    <w:rsid w:val="00F07C02"/>
    <w:rsid w:val="00F11575"/>
    <w:rsid w:val="00F131B1"/>
    <w:rsid w:val="00F1570A"/>
    <w:rsid w:val="00F16B79"/>
    <w:rsid w:val="00F17F91"/>
    <w:rsid w:val="00F20336"/>
    <w:rsid w:val="00F22200"/>
    <w:rsid w:val="00F23570"/>
    <w:rsid w:val="00F32708"/>
    <w:rsid w:val="00F32AAD"/>
    <w:rsid w:val="00F3439F"/>
    <w:rsid w:val="00F34A61"/>
    <w:rsid w:val="00F406A5"/>
    <w:rsid w:val="00F42E7A"/>
    <w:rsid w:val="00F4543B"/>
    <w:rsid w:val="00F45CE5"/>
    <w:rsid w:val="00F550F8"/>
    <w:rsid w:val="00F61F1D"/>
    <w:rsid w:val="00F65332"/>
    <w:rsid w:val="00F672B5"/>
    <w:rsid w:val="00F722CD"/>
    <w:rsid w:val="00F77A10"/>
    <w:rsid w:val="00F8101E"/>
    <w:rsid w:val="00F81FF0"/>
    <w:rsid w:val="00F85BD9"/>
    <w:rsid w:val="00F85F0C"/>
    <w:rsid w:val="00F87D02"/>
    <w:rsid w:val="00F93B85"/>
    <w:rsid w:val="00F93EC9"/>
    <w:rsid w:val="00F946DC"/>
    <w:rsid w:val="00FA0396"/>
    <w:rsid w:val="00FA2343"/>
    <w:rsid w:val="00FA23B4"/>
    <w:rsid w:val="00FA76D2"/>
    <w:rsid w:val="00FC146E"/>
    <w:rsid w:val="00FC62C4"/>
    <w:rsid w:val="00FD1A35"/>
    <w:rsid w:val="00FD1AC1"/>
    <w:rsid w:val="00FD20AE"/>
    <w:rsid w:val="00FD5F13"/>
    <w:rsid w:val="00FD6A87"/>
    <w:rsid w:val="00FE1E91"/>
    <w:rsid w:val="00FE1E92"/>
    <w:rsid w:val="00FE2C3C"/>
    <w:rsid w:val="00FE30CD"/>
    <w:rsid w:val="00FE369F"/>
    <w:rsid w:val="00FE3950"/>
    <w:rsid w:val="00FE41A6"/>
    <w:rsid w:val="00FE6EE5"/>
    <w:rsid w:val="00FF11F8"/>
    <w:rsid w:val="00FF4A31"/>
    <w:rsid w:val="03C354A6"/>
    <w:rsid w:val="048052C8"/>
    <w:rsid w:val="05774949"/>
    <w:rsid w:val="05AC0E80"/>
    <w:rsid w:val="0F0B287A"/>
    <w:rsid w:val="118B2F5E"/>
    <w:rsid w:val="1F507DFE"/>
    <w:rsid w:val="34D31E36"/>
    <w:rsid w:val="383C136E"/>
    <w:rsid w:val="3D842BF3"/>
    <w:rsid w:val="3FED6286"/>
    <w:rsid w:val="45C4746C"/>
    <w:rsid w:val="4F854FC0"/>
    <w:rsid w:val="4FEC72D5"/>
    <w:rsid w:val="5BB54A6B"/>
    <w:rsid w:val="5D9E51B4"/>
    <w:rsid w:val="6D775291"/>
    <w:rsid w:val="71432688"/>
    <w:rsid w:val="737F3844"/>
    <w:rsid w:val="777FDF3A"/>
    <w:rsid w:val="7BEF67DE"/>
    <w:rsid w:val="7F3139A3"/>
    <w:rsid w:val="7F6D743E"/>
    <w:rsid w:val="AF7BD244"/>
    <w:rsid w:val="BFFD4DCC"/>
    <w:rsid w:val="DFC72D42"/>
    <w:rsid w:val="EC3DA01F"/>
    <w:rsid w:val="EEBDA7E6"/>
    <w:rsid w:val="FD2F8B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semiHidden="0"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31"/>
    <w:qFormat/>
    <w:uiPriority w:val="9"/>
    <w:pPr>
      <w:keepNext/>
      <w:keepLines/>
      <w:spacing w:before="340" w:after="330" w:line="578" w:lineRule="auto"/>
      <w:outlineLvl w:val="0"/>
    </w:pPr>
    <w:rPr>
      <w:rFonts w:ascii="等线" w:hAnsi="等线" w:eastAsia="等线" w:cs="Times New Roman"/>
      <w:b/>
      <w:bCs/>
      <w:kern w:val="44"/>
      <w:sz w:val="44"/>
      <w:szCs w:val="44"/>
    </w:rPr>
  </w:style>
  <w:style w:type="paragraph" w:styleId="5">
    <w:name w:val="heading 2"/>
    <w:basedOn w:val="1"/>
    <w:next w:val="1"/>
    <w:link w:val="43"/>
    <w:unhideWhenUsed/>
    <w:qFormat/>
    <w:uiPriority w:val="9"/>
    <w:pPr>
      <w:keepNext/>
      <w:keepLines/>
      <w:spacing w:before="260" w:after="260" w:line="416" w:lineRule="auto"/>
      <w:outlineLvl w:val="1"/>
    </w:pPr>
    <w:rPr>
      <w:rFonts w:ascii="等线 Light" w:hAnsi="等线 Light" w:eastAsia="黑体" w:cs="Times New Roman"/>
      <w:b/>
      <w:bCs/>
      <w:sz w:val="32"/>
      <w:szCs w:val="32"/>
    </w:rPr>
  </w:style>
  <w:style w:type="paragraph" w:styleId="6">
    <w:name w:val="heading 3"/>
    <w:basedOn w:val="1"/>
    <w:next w:val="1"/>
    <w:link w:val="33"/>
    <w:unhideWhenUsed/>
    <w:qFormat/>
    <w:uiPriority w:val="9"/>
    <w:pPr>
      <w:keepNext/>
      <w:keepLines/>
      <w:spacing w:before="260" w:after="260" w:line="416" w:lineRule="auto"/>
      <w:outlineLvl w:val="2"/>
    </w:pPr>
    <w:rPr>
      <w:rFonts w:ascii="等线" w:hAnsi="等线" w:eastAsia="楷体" w:cs="Times New Roman"/>
      <w:b/>
      <w:bCs/>
      <w:sz w:val="32"/>
      <w:szCs w:val="32"/>
    </w:rPr>
  </w:style>
  <w:style w:type="paragraph" w:styleId="7">
    <w:name w:val="heading 4"/>
    <w:basedOn w:val="1"/>
    <w:next w:val="1"/>
    <w:link w:val="54"/>
    <w:unhideWhenUsed/>
    <w:qFormat/>
    <w:uiPriority w:val="9"/>
    <w:pPr>
      <w:keepNext/>
      <w:keepLines/>
      <w:spacing w:before="280" w:after="290" w:line="376" w:lineRule="auto"/>
      <w:outlineLvl w:val="3"/>
    </w:pPr>
    <w:rPr>
      <w:rFonts w:ascii="等线 Light" w:hAnsi="等线 Light" w:eastAsia="等线 Light" w:cs="Times New Roman"/>
      <w:b/>
      <w:bCs/>
      <w:sz w:val="28"/>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30"/>
    <w:unhideWhenUsed/>
    <w:qFormat/>
    <w:uiPriority w:val="0"/>
    <w:pPr>
      <w:ind w:firstLine="420" w:firstLineChars="200"/>
    </w:pPr>
  </w:style>
  <w:style w:type="paragraph" w:styleId="3">
    <w:name w:val="Body Text Indent"/>
    <w:basedOn w:val="1"/>
    <w:link w:val="29"/>
    <w:unhideWhenUsed/>
    <w:qFormat/>
    <w:uiPriority w:val="99"/>
    <w:pPr>
      <w:spacing w:after="120"/>
      <w:ind w:left="420" w:leftChars="200"/>
    </w:pPr>
  </w:style>
  <w:style w:type="paragraph" w:styleId="8">
    <w:name w:val="annotation text"/>
    <w:basedOn w:val="1"/>
    <w:link w:val="35"/>
    <w:unhideWhenUsed/>
    <w:qFormat/>
    <w:uiPriority w:val="99"/>
    <w:pPr>
      <w:jc w:val="left"/>
    </w:pPr>
    <w:rPr>
      <w:rFonts w:ascii="等线" w:hAnsi="等线" w:eastAsia="等线" w:cs="Times New Roman"/>
    </w:rPr>
  </w:style>
  <w:style w:type="paragraph" w:styleId="9">
    <w:name w:val="Body Text"/>
    <w:basedOn w:val="1"/>
    <w:next w:val="10"/>
    <w:link w:val="36"/>
    <w:semiHidden/>
    <w:unhideWhenUsed/>
    <w:qFormat/>
    <w:uiPriority w:val="99"/>
    <w:pPr>
      <w:spacing w:after="120"/>
    </w:pPr>
    <w:rPr>
      <w:rFonts w:ascii="等线" w:hAnsi="等线" w:eastAsia="等线" w:cs="Times New Roman"/>
    </w:rPr>
  </w:style>
  <w:style w:type="paragraph" w:customStyle="1" w:styleId="10">
    <w:name w:val="toc 11"/>
    <w:next w:val="1"/>
    <w:qFormat/>
    <w:uiPriority w:val="0"/>
    <w:pPr>
      <w:wordWrap w:val="0"/>
      <w:jc w:val="both"/>
    </w:pPr>
    <w:rPr>
      <w:rFonts w:ascii="Times New Roman" w:hAnsi="Times New Roman" w:eastAsia="宋体" w:cs="Times New Roman"/>
      <w:sz w:val="21"/>
      <w:szCs w:val="22"/>
      <w:lang w:val="en-US" w:eastAsia="zh-CN" w:bidi="ar-SA"/>
    </w:rPr>
  </w:style>
  <w:style w:type="paragraph" w:styleId="11">
    <w:name w:val="toc 3"/>
    <w:basedOn w:val="1"/>
    <w:next w:val="1"/>
    <w:unhideWhenUsed/>
    <w:qFormat/>
    <w:uiPriority w:val="39"/>
    <w:pPr>
      <w:widowControl/>
      <w:ind w:left="480"/>
      <w:jc w:val="left"/>
    </w:pPr>
    <w:rPr>
      <w:rFonts w:ascii="等线" w:hAnsi="宋体" w:eastAsia="仿宋_GB2312" w:cs="宋体"/>
      <w:i/>
      <w:iCs/>
      <w:kern w:val="0"/>
      <w:sz w:val="28"/>
      <w:szCs w:val="20"/>
    </w:rPr>
  </w:style>
  <w:style w:type="paragraph" w:styleId="12">
    <w:name w:val="Plain Text"/>
    <w:basedOn w:val="1"/>
    <w:next w:val="1"/>
    <w:link w:val="59"/>
    <w:qFormat/>
    <w:uiPriority w:val="0"/>
    <w:rPr>
      <w:rFonts w:ascii="宋体" w:hAnsi="Courier New" w:eastAsia="宋体" w:cs="Times New Roman"/>
    </w:rPr>
  </w:style>
  <w:style w:type="paragraph" w:styleId="13">
    <w:name w:val="Balloon Text"/>
    <w:basedOn w:val="1"/>
    <w:link w:val="37"/>
    <w:semiHidden/>
    <w:unhideWhenUsed/>
    <w:qFormat/>
    <w:uiPriority w:val="99"/>
    <w:rPr>
      <w:rFonts w:ascii="等线" w:hAnsi="等线" w:eastAsia="等线" w:cs="Times New Roman"/>
      <w:sz w:val="18"/>
      <w:szCs w:val="18"/>
    </w:rPr>
  </w:style>
  <w:style w:type="paragraph" w:styleId="14">
    <w:name w:val="footer"/>
    <w:basedOn w:val="1"/>
    <w:link w:val="38"/>
    <w:unhideWhenUsed/>
    <w:qFormat/>
    <w:uiPriority w:val="99"/>
    <w:pPr>
      <w:tabs>
        <w:tab w:val="center" w:pos="4153"/>
        <w:tab w:val="right" w:pos="8306"/>
      </w:tabs>
      <w:snapToGrid w:val="0"/>
      <w:jc w:val="left"/>
    </w:pPr>
    <w:rPr>
      <w:rFonts w:ascii="Calibri" w:hAnsi="Calibri" w:eastAsia="宋体" w:cs="Times New Roman"/>
      <w:sz w:val="18"/>
      <w:szCs w:val="18"/>
    </w:rPr>
  </w:style>
  <w:style w:type="paragraph" w:styleId="15">
    <w:name w:val="header"/>
    <w:basedOn w:val="1"/>
    <w:link w:val="39"/>
    <w:unhideWhenUsed/>
    <w:qFormat/>
    <w:uiPriority w:val="99"/>
    <w:pPr>
      <w:tabs>
        <w:tab w:val="center" w:pos="4153"/>
        <w:tab w:val="right" w:pos="8306"/>
      </w:tabs>
      <w:snapToGrid w:val="0"/>
      <w:jc w:val="center"/>
    </w:pPr>
    <w:rPr>
      <w:rFonts w:ascii="Calibri" w:hAnsi="Calibri" w:eastAsia="宋体" w:cs="Times New Roman"/>
      <w:sz w:val="18"/>
      <w:szCs w:val="18"/>
    </w:rPr>
  </w:style>
  <w:style w:type="paragraph" w:styleId="16">
    <w:name w:val="footnote text"/>
    <w:basedOn w:val="1"/>
    <w:link w:val="61"/>
    <w:semiHidden/>
    <w:unhideWhenUsed/>
    <w:qFormat/>
    <w:uiPriority w:val="99"/>
    <w:pPr>
      <w:snapToGrid w:val="0"/>
      <w:jc w:val="left"/>
    </w:pPr>
    <w:rPr>
      <w:sz w:val="18"/>
      <w:szCs w:val="18"/>
    </w:rPr>
  </w:style>
  <w:style w:type="paragraph" w:styleId="17">
    <w:name w:val="HTML Preformatted"/>
    <w:basedOn w:val="1"/>
    <w:link w:val="4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18">
    <w:name w:val="Normal (Web)"/>
    <w:basedOn w:val="1"/>
    <w:unhideWhenUsed/>
    <w:qFormat/>
    <w:uiPriority w:val="0"/>
    <w:rPr>
      <w:rFonts w:ascii="Times New Roman" w:hAnsi="Times New Roman" w:eastAsia="等线" w:cs="Times New Roman"/>
      <w:sz w:val="24"/>
    </w:rPr>
  </w:style>
  <w:style w:type="paragraph" w:styleId="19">
    <w:name w:val="annotation subject"/>
    <w:basedOn w:val="8"/>
    <w:next w:val="8"/>
    <w:link w:val="41"/>
    <w:semiHidden/>
    <w:unhideWhenUsed/>
    <w:qFormat/>
    <w:uiPriority w:val="99"/>
    <w:rPr>
      <w:b/>
      <w:bCs/>
    </w:rPr>
  </w:style>
  <w:style w:type="paragraph" w:styleId="20">
    <w:name w:val="Body Text First Indent"/>
    <w:basedOn w:val="9"/>
    <w:link w:val="42"/>
    <w:semiHidden/>
    <w:unhideWhenUsed/>
    <w:qFormat/>
    <w:uiPriority w:val="99"/>
    <w:pPr>
      <w:ind w:firstLine="420" w:firstLineChars="100"/>
    </w:p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22"/>
    <w:rPr>
      <w:b/>
    </w:rPr>
  </w:style>
  <w:style w:type="character" w:styleId="25">
    <w:name w:val="page number"/>
    <w:basedOn w:val="23"/>
    <w:semiHidden/>
    <w:unhideWhenUsed/>
    <w:qFormat/>
    <w:uiPriority w:val="99"/>
  </w:style>
  <w:style w:type="character" w:styleId="26">
    <w:name w:val="Emphasis"/>
    <w:basedOn w:val="23"/>
    <w:qFormat/>
    <w:uiPriority w:val="20"/>
    <w:rPr>
      <w:i/>
    </w:rPr>
  </w:style>
  <w:style w:type="character" w:styleId="27">
    <w:name w:val="annotation reference"/>
    <w:basedOn w:val="23"/>
    <w:unhideWhenUsed/>
    <w:qFormat/>
    <w:uiPriority w:val="99"/>
    <w:rPr>
      <w:sz w:val="21"/>
      <w:szCs w:val="21"/>
    </w:rPr>
  </w:style>
  <w:style w:type="character" w:styleId="28">
    <w:name w:val="footnote reference"/>
    <w:basedOn w:val="23"/>
    <w:semiHidden/>
    <w:unhideWhenUsed/>
    <w:qFormat/>
    <w:uiPriority w:val="99"/>
    <w:rPr>
      <w:vertAlign w:val="superscript"/>
    </w:rPr>
  </w:style>
  <w:style w:type="character" w:customStyle="1" w:styleId="29">
    <w:name w:val="正文文本缩进 字符"/>
    <w:basedOn w:val="23"/>
    <w:link w:val="3"/>
    <w:qFormat/>
    <w:uiPriority w:val="99"/>
    <w:rPr>
      <w:szCs w:val="24"/>
      <w14:ligatures w14:val="none"/>
    </w:rPr>
  </w:style>
  <w:style w:type="character" w:customStyle="1" w:styleId="30">
    <w:name w:val="正文文本首行缩进 2 字符"/>
    <w:basedOn w:val="29"/>
    <w:link w:val="2"/>
    <w:qFormat/>
    <w:uiPriority w:val="0"/>
    <w:rPr>
      <w:szCs w:val="24"/>
      <w14:ligatures w14:val="none"/>
    </w:rPr>
  </w:style>
  <w:style w:type="character" w:customStyle="1" w:styleId="31">
    <w:name w:val="标题 1 字符"/>
    <w:basedOn w:val="23"/>
    <w:link w:val="4"/>
    <w:qFormat/>
    <w:uiPriority w:val="9"/>
    <w:rPr>
      <w:rFonts w:ascii="等线" w:hAnsi="等线" w:eastAsia="等线" w:cs="Times New Roman"/>
      <w:b/>
      <w:bCs/>
      <w:kern w:val="44"/>
      <w:sz w:val="44"/>
      <w:szCs w:val="44"/>
      <w14:ligatures w14:val="none"/>
    </w:rPr>
  </w:style>
  <w:style w:type="paragraph" w:customStyle="1" w:styleId="32">
    <w:name w:val="标题 21"/>
    <w:basedOn w:val="1"/>
    <w:next w:val="1"/>
    <w:unhideWhenUsed/>
    <w:qFormat/>
    <w:uiPriority w:val="9"/>
    <w:pPr>
      <w:keepNext/>
      <w:keepLines/>
      <w:spacing w:before="260" w:after="260" w:line="416" w:lineRule="auto"/>
      <w:outlineLvl w:val="1"/>
    </w:pPr>
    <w:rPr>
      <w:rFonts w:ascii="等线 Light" w:hAnsi="等线 Light" w:eastAsia="黑体" w:cs="Times New Roman"/>
      <w:b/>
      <w:bCs/>
      <w:sz w:val="32"/>
      <w:szCs w:val="32"/>
    </w:rPr>
  </w:style>
  <w:style w:type="character" w:customStyle="1" w:styleId="33">
    <w:name w:val="标题 3 字符"/>
    <w:basedOn w:val="23"/>
    <w:link w:val="6"/>
    <w:qFormat/>
    <w:uiPriority w:val="9"/>
    <w:rPr>
      <w:rFonts w:ascii="等线" w:hAnsi="等线" w:eastAsia="楷体" w:cs="Times New Roman"/>
      <w:b/>
      <w:bCs/>
      <w:sz w:val="32"/>
      <w:szCs w:val="32"/>
      <w14:ligatures w14:val="none"/>
    </w:rPr>
  </w:style>
  <w:style w:type="paragraph" w:customStyle="1" w:styleId="34">
    <w:name w:val="标题 41"/>
    <w:basedOn w:val="1"/>
    <w:next w:val="1"/>
    <w:unhideWhenUsed/>
    <w:qFormat/>
    <w:uiPriority w:val="9"/>
    <w:pPr>
      <w:keepNext/>
      <w:keepLines/>
      <w:spacing w:before="280" w:after="290" w:line="376" w:lineRule="auto"/>
      <w:outlineLvl w:val="3"/>
    </w:pPr>
    <w:rPr>
      <w:rFonts w:ascii="等线 Light" w:hAnsi="等线 Light" w:eastAsia="等线 Light" w:cs="Times New Roman"/>
      <w:b/>
      <w:bCs/>
      <w:sz w:val="28"/>
      <w:szCs w:val="28"/>
    </w:rPr>
  </w:style>
  <w:style w:type="character" w:customStyle="1" w:styleId="35">
    <w:name w:val="批注文字 字符"/>
    <w:basedOn w:val="23"/>
    <w:link w:val="8"/>
    <w:qFormat/>
    <w:uiPriority w:val="99"/>
    <w:rPr>
      <w:rFonts w:ascii="等线" w:hAnsi="等线" w:eastAsia="等线" w:cs="Times New Roman"/>
      <w:szCs w:val="24"/>
      <w14:ligatures w14:val="none"/>
    </w:rPr>
  </w:style>
  <w:style w:type="character" w:customStyle="1" w:styleId="36">
    <w:name w:val="正文文本 字符"/>
    <w:basedOn w:val="23"/>
    <w:link w:val="9"/>
    <w:semiHidden/>
    <w:qFormat/>
    <w:uiPriority w:val="99"/>
    <w:rPr>
      <w:rFonts w:ascii="等线" w:hAnsi="等线" w:eastAsia="等线" w:cs="Times New Roman"/>
      <w:szCs w:val="24"/>
      <w14:ligatures w14:val="none"/>
    </w:rPr>
  </w:style>
  <w:style w:type="character" w:customStyle="1" w:styleId="37">
    <w:name w:val="批注框文本 字符"/>
    <w:basedOn w:val="23"/>
    <w:link w:val="13"/>
    <w:semiHidden/>
    <w:qFormat/>
    <w:uiPriority w:val="99"/>
    <w:rPr>
      <w:rFonts w:ascii="等线" w:hAnsi="等线" w:eastAsia="等线" w:cs="Times New Roman"/>
      <w:sz w:val="18"/>
      <w:szCs w:val="18"/>
      <w14:ligatures w14:val="none"/>
    </w:rPr>
  </w:style>
  <w:style w:type="character" w:customStyle="1" w:styleId="38">
    <w:name w:val="页脚 字符"/>
    <w:basedOn w:val="23"/>
    <w:link w:val="14"/>
    <w:qFormat/>
    <w:uiPriority w:val="99"/>
    <w:rPr>
      <w:rFonts w:ascii="Calibri" w:hAnsi="Calibri" w:eastAsia="宋体" w:cs="Times New Roman"/>
      <w:sz w:val="18"/>
      <w:szCs w:val="18"/>
      <w14:ligatures w14:val="none"/>
    </w:rPr>
  </w:style>
  <w:style w:type="character" w:customStyle="1" w:styleId="39">
    <w:name w:val="页眉 字符"/>
    <w:basedOn w:val="23"/>
    <w:link w:val="15"/>
    <w:qFormat/>
    <w:uiPriority w:val="99"/>
    <w:rPr>
      <w:rFonts w:ascii="Calibri" w:hAnsi="Calibri" w:eastAsia="宋体" w:cs="Times New Roman"/>
      <w:sz w:val="18"/>
      <w:szCs w:val="18"/>
      <w14:ligatures w14:val="none"/>
    </w:rPr>
  </w:style>
  <w:style w:type="character" w:customStyle="1" w:styleId="40">
    <w:name w:val="HTML 预设格式 字符"/>
    <w:basedOn w:val="23"/>
    <w:link w:val="17"/>
    <w:semiHidden/>
    <w:qFormat/>
    <w:uiPriority w:val="99"/>
    <w:rPr>
      <w:rFonts w:ascii="宋体" w:hAnsi="宋体" w:eastAsia="宋体" w:cs="Times New Roman"/>
      <w:kern w:val="0"/>
      <w:sz w:val="24"/>
      <w:szCs w:val="24"/>
      <w14:ligatures w14:val="none"/>
    </w:rPr>
  </w:style>
  <w:style w:type="character" w:customStyle="1" w:styleId="41">
    <w:name w:val="批注主题 字符"/>
    <w:basedOn w:val="35"/>
    <w:link w:val="19"/>
    <w:semiHidden/>
    <w:qFormat/>
    <w:uiPriority w:val="99"/>
    <w:rPr>
      <w:rFonts w:ascii="等线" w:hAnsi="等线" w:eastAsia="等线" w:cs="Times New Roman"/>
      <w:b/>
      <w:bCs/>
      <w:szCs w:val="24"/>
      <w14:ligatures w14:val="none"/>
    </w:rPr>
  </w:style>
  <w:style w:type="character" w:customStyle="1" w:styleId="42">
    <w:name w:val="正文文本首行缩进 字符"/>
    <w:basedOn w:val="36"/>
    <w:link w:val="20"/>
    <w:semiHidden/>
    <w:qFormat/>
    <w:uiPriority w:val="99"/>
    <w:rPr>
      <w:rFonts w:ascii="等线" w:hAnsi="等线" w:eastAsia="等线" w:cs="Times New Roman"/>
      <w:szCs w:val="24"/>
      <w14:ligatures w14:val="none"/>
    </w:rPr>
  </w:style>
  <w:style w:type="character" w:customStyle="1" w:styleId="43">
    <w:name w:val="标题 2 字符"/>
    <w:basedOn w:val="23"/>
    <w:link w:val="5"/>
    <w:qFormat/>
    <w:uiPriority w:val="9"/>
    <w:rPr>
      <w:rFonts w:ascii="等线 Light" w:hAnsi="等线 Light" w:eastAsia="黑体" w:cs="Times New Roman"/>
      <w:b/>
      <w:bCs/>
      <w:sz w:val="32"/>
      <w:szCs w:val="32"/>
      <w14:ligatures w14:val="none"/>
    </w:rPr>
  </w:style>
  <w:style w:type="paragraph" w:styleId="44">
    <w:name w:val="List Paragraph"/>
    <w:basedOn w:val="1"/>
    <w:qFormat/>
    <w:uiPriority w:val="34"/>
    <w:pPr>
      <w:ind w:firstLine="420" w:firstLineChars="200"/>
    </w:pPr>
    <w:rPr>
      <w:rFonts w:ascii="Calibri" w:hAnsi="Calibri" w:eastAsia="宋体" w:cs="Times New Roman"/>
    </w:rPr>
  </w:style>
  <w:style w:type="table" w:customStyle="1" w:styleId="45">
    <w:name w:val="网格型1"/>
    <w:basedOn w:val="21"/>
    <w:qFormat/>
    <w:locked/>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6">
    <w:name w:val="TOC 11"/>
    <w:basedOn w:val="1"/>
    <w:next w:val="1"/>
    <w:unhideWhenUsed/>
    <w:qFormat/>
    <w:uiPriority w:val="39"/>
    <w:pPr>
      <w:widowControl/>
      <w:tabs>
        <w:tab w:val="right" w:leader="middleDot" w:pos="8296"/>
      </w:tabs>
      <w:spacing w:before="120" w:after="120" w:line="400" w:lineRule="exact"/>
      <w:jc w:val="left"/>
    </w:pPr>
    <w:rPr>
      <w:rFonts w:ascii="等线" w:hAnsi="宋体" w:eastAsia="等线" w:cs="宋体"/>
      <w:b/>
      <w:bCs/>
      <w:caps/>
      <w:kern w:val="0"/>
      <w:sz w:val="28"/>
      <w:szCs w:val="20"/>
    </w:rPr>
  </w:style>
  <w:style w:type="paragraph" w:customStyle="1" w:styleId="47">
    <w:name w:val="TOC 21"/>
    <w:basedOn w:val="1"/>
    <w:next w:val="1"/>
    <w:unhideWhenUsed/>
    <w:qFormat/>
    <w:uiPriority w:val="39"/>
    <w:pPr>
      <w:widowControl/>
      <w:tabs>
        <w:tab w:val="right" w:leader="dot" w:pos="8296"/>
      </w:tabs>
      <w:spacing w:line="520" w:lineRule="exact"/>
      <w:ind w:left="240"/>
      <w:jc w:val="left"/>
    </w:pPr>
    <w:rPr>
      <w:rFonts w:ascii="等线" w:hAnsi="宋体" w:eastAsia="等线" w:cs="宋体"/>
      <w:smallCaps/>
      <w:kern w:val="0"/>
      <w:sz w:val="28"/>
      <w:szCs w:val="20"/>
    </w:rPr>
  </w:style>
  <w:style w:type="table" w:customStyle="1" w:styleId="48">
    <w:name w:val="网格型2"/>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49">
    <w:name w:val="s7"/>
    <w:basedOn w:val="23"/>
    <w:qFormat/>
    <w:uiPriority w:val="0"/>
  </w:style>
  <w:style w:type="paragraph" w:customStyle="1" w:styleId="50">
    <w:name w:val="修订1"/>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51">
    <w:name w:val="修订2"/>
    <w:hidden/>
    <w:semiHidden/>
    <w:qFormat/>
    <w:uiPriority w:val="99"/>
    <w:rPr>
      <w:rFonts w:asciiTheme="minorHAnsi" w:hAnsiTheme="minorHAnsi" w:eastAsiaTheme="minorEastAsia" w:cstheme="minorBidi"/>
      <w:kern w:val="2"/>
      <w:sz w:val="21"/>
      <w:szCs w:val="24"/>
      <w:lang w:val="en-US" w:eastAsia="zh-CN" w:bidi="ar-SA"/>
    </w:rPr>
  </w:style>
  <w:style w:type="paragraph" w:customStyle="1" w:styleId="52">
    <w:name w:val="修订3"/>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53">
    <w:name w:val="s6"/>
    <w:basedOn w:val="23"/>
    <w:qFormat/>
    <w:uiPriority w:val="0"/>
  </w:style>
  <w:style w:type="character" w:customStyle="1" w:styleId="54">
    <w:name w:val="标题 4 字符"/>
    <w:basedOn w:val="23"/>
    <w:link w:val="7"/>
    <w:qFormat/>
    <w:uiPriority w:val="9"/>
    <w:rPr>
      <w:rFonts w:ascii="等线 Light" w:hAnsi="等线 Light" w:eastAsia="等线 Light" w:cs="Times New Roman"/>
      <w:b/>
      <w:bCs/>
      <w:sz w:val="28"/>
      <w:szCs w:val="28"/>
      <w14:ligatures w14:val="none"/>
    </w:rPr>
  </w:style>
  <w:style w:type="paragraph" w:customStyle="1" w:styleId="55">
    <w:name w:val="修订4"/>
    <w:hidden/>
    <w:unhideWhenUsed/>
    <w:qFormat/>
    <w:uiPriority w:val="99"/>
    <w:rPr>
      <w:rFonts w:ascii="Calibri" w:hAnsi="Calibri" w:eastAsia="宋体" w:cs="Times New Roman"/>
      <w:kern w:val="2"/>
      <w:sz w:val="21"/>
      <w:szCs w:val="24"/>
      <w:lang w:val="en-US" w:eastAsia="zh-CN" w:bidi="ar-SA"/>
    </w:rPr>
  </w:style>
  <w:style w:type="character" w:customStyle="1" w:styleId="56">
    <w:name w:val="标题 2 字符1"/>
    <w:basedOn w:val="23"/>
    <w:semiHidden/>
    <w:qFormat/>
    <w:uiPriority w:val="9"/>
    <w:rPr>
      <w:rFonts w:asciiTheme="majorHAnsi" w:hAnsiTheme="majorHAnsi" w:eastAsiaTheme="majorEastAsia" w:cstheme="majorBidi"/>
      <w:b/>
      <w:bCs/>
      <w:sz w:val="32"/>
      <w:szCs w:val="32"/>
      <w14:ligatures w14:val="none"/>
    </w:rPr>
  </w:style>
  <w:style w:type="character" w:customStyle="1" w:styleId="57">
    <w:name w:val="标题 4 字符1"/>
    <w:basedOn w:val="23"/>
    <w:semiHidden/>
    <w:qFormat/>
    <w:uiPriority w:val="9"/>
    <w:rPr>
      <w:rFonts w:asciiTheme="majorHAnsi" w:hAnsiTheme="majorHAnsi" w:eastAsiaTheme="majorEastAsia" w:cstheme="majorBidi"/>
      <w:b/>
      <w:bCs/>
      <w:sz w:val="28"/>
      <w:szCs w:val="28"/>
      <w14:ligatures w14:val="none"/>
    </w:rPr>
  </w:style>
  <w:style w:type="paragraph" w:customStyle="1" w:styleId="58">
    <w:name w:val="修订5"/>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59">
    <w:name w:val="纯文本 字符"/>
    <w:basedOn w:val="23"/>
    <w:link w:val="12"/>
    <w:qFormat/>
    <w:uiPriority w:val="0"/>
    <w:rPr>
      <w:rFonts w:ascii="宋体" w:hAnsi="Courier New"/>
      <w:kern w:val="2"/>
      <w:sz w:val="21"/>
      <w:szCs w:val="24"/>
    </w:rPr>
  </w:style>
  <w:style w:type="paragraph" w:customStyle="1" w:styleId="60">
    <w:name w:val="BodyText"/>
    <w:basedOn w:val="1"/>
    <w:qFormat/>
    <w:uiPriority w:val="0"/>
    <w:pPr>
      <w:ind w:firstLine="640"/>
      <w:textAlignment w:val="baseline"/>
    </w:pPr>
    <w:rPr>
      <w:rFonts w:ascii="Times New Roman" w:hAnsi="Times New Roman" w:eastAsia="宋体" w:cs="Times New Roman"/>
      <w:szCs w:val="22"/>
    </w:rPr>
  </w:style>
  <w:style w:type="character" w:customStyle="1" w:styleId="61">
    <w:name w:val="脚注文本 字符"/>
    <w:basedOn w:val="23"/>
    <w:link w:val="16"/>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F81F1B-6240-4DD7-B2AE-B439B109968C}">
  <ds:schemaRefs/>
</ds:datastoreItem>
</file>

<file path=docProps/app.xml><?xml version="1.0" encoding="utf-8"?>
<Properties xmlns="http://schemas.openxmlformats.org/officeDocument/2006/extended-properties" xmlns:vt="http://schemas.openxmlformats.org/officeDocument/2006/docPropsVTypes">
  <Template>Normal.dotm</Template>
  <Pages>18</Pages>
  <Words>8699</Words>
  <Characters>8906</Characters>
  <Lines>63</Lines>
  <Paragraphs>17</Paragraphs>
  <TotalTime>7</TotalTime>
  <ScaleCrop>false</ScaleCrop>
  <LinksUpToDate>false</LinksUpToDate>
  <CharactersWithSpaces>8910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2025-03-07T01:37:00Z</dcterms:created>
  <dc:creator>Administrator</dc:creator>
  <cp:lastModifiedBy>wendigo</cp:lastModifiedBy>
  <cp:lastPrinted>2025-03-07T01:10:00Z</cp:lastPrinted>
  <dcterms:modified xsi:type="dcterms:W3CDTF">2025-03-07T08:14:33Z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AA3D6BF1B596B58F45ED3F67AD482694</vt:lpwstr>
  </property>
</Properties>
</file>