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604936">
      <w:pPr>
        <w:pageBreakBefore w:val="0"/>
        <w:widowControl w:val="0"/>
        <w:suppressAutoHyphens/>
        <w:kinsoku/>
        <w:wordWrap/>
        <w:overflowPunct/>
        <w:topLinePunct w:val="0"/>
        <w:autoSpaceDE/>
        <w:autoSpaceDN/>
        <w:bidi w:val="0"/>
        <w:spacing w:line="560" w:lineRule="exact"/>
        <w:textAlignment w:val="auto"/>
        <w:rPr>
          <w:rFonts w:hint="eastAsia" w:ascii="仿宋_GB2312" w:hAnsi="仿宋_GB2312" w:eastAsia="仿宋_GB2312" w:cs="仿宋_GB2312"/>
          <w:color w:val="000000" w:themeColor="text1"/>
          <w:sz w:val="32"/>
          <w:szCs w:val="32"/>
          <w14:textFill>
            <w14:solidFill>
              <w14:schemeClr w14:val="tx1"/>
            </w14:solidFill>
          </w14:textFill>
        </w:rPr>
      </w:pPr>
      <w:bookmarkStart w:id="3" w:name="_GoBack"/>
      <w:bookmarkEnd w:id="3"/>
      <w:r>
        <w:rPr>
          <w:rFonts w:hint="eastAsia" w:ascii="仿宋_GB2312" w:hAnsi="仿宋_GB2312" w:eastAsia="仿宋_GB2312" w:cs="仿宋_GB2312"/>
          <w:color w:val="000000" w:themeColor="text1"/>
          <w:sz w:val="32"/>
          <w:szCs w:val="32"/>
          <w14:textFill>
            <w14:solidFill>
              <w14:schemeClr w14:val="tx1"/>
            </w14:solidFill>
          </w14:textFill>
        </w:rPr>
        <w:t>附件1</w:t>
      </w:r>
    </w:p>
    <w:p w14:paraId="79F5B7DE">
      <w:pPr>
        <w:pStyle w:val="2"/>
        <w:pageBreakBefore w:val="0"/>
        <w:widowControl w:val="0"/>
        <w:kinsoku/>
        <w:wordWrap/>
        <w:overflowPunct/>
        <w:topLinePunct w:val="0"/>
        <w:autoSpaceDE/>
        <w:autoSpaceDN/>
        <w:bidi w:val="0"/>
        <w:spacing w:after="0" w:line="560" w:lineRule="exact"/>
        <w:textAlignment w:val="auto"/>
        <w:rPr>
          <w:rFonts w:hint="eastAsia"/>
          <w:color w:val="000000" w:themeColor="text1"/>
          <w14:textFill>
            <w14:solidFill>
              <w14:schemeClr w14:val="tx1"/>
            </w14:solidFill>
          </w14:textFill>
        </w:rPr>
      </w:pPr>
    </w:p>
    <w:p w14:paraId="6930CFDD">
      <w:pPr>
        <w:keepNext w:val="0"/>
        <w:keepLines w:val="0"/>
        <w:pageBreakBefore w:val="0"/>
        <w:widowControl w:val="0"/>
        <w:suppressAutoHyphens/>
        <w:kinsoku/>
        <w:wordWrap/>
        <w:overflowPunct/>
        <w:topLinePunct w:val="0"/>
        <w:autoSpaceDE/>
        <w:autoSpaceDN/>
        <w:bidi w:val="0"/>
        <w:adjustRightInd/>
        <w:snapToGrid/>
        <w:spacing w:line="560" w:lineRule="exact"/>
        <w:jc w:val="center"/>
        <w:textAlignment w:val="auto"/>
        <w:rPr>
          <w:rFonts w:hint="eastAsia" w:ascii="仿宋_GB2312" w:hAnsi="仿宋_GB2312" w:eastAsia="方正小标宋简体" w:cs="仿宋_GB2312"/>
          <w:color w:val="000000" w:themeColor="text1"/>
          <w:sz w:val="44"/>
          <w:szCs w:val="44"/>
          <w14:textFill>
            <w14:solidFill>
              <w14:schemeClr w14:val="tx1"/>
            </w14:solidFill>
          </w14:textFill>
        </w:rPr>
      </w:pPr>
      <w:r>
        <w:rPr>
          <w:rFonts w:hint="eastAsia" w:ascii="仿宋_GB2312" w:hAnsi="仿宋_GB2312" w:eastAsia="方正小标宋简体" w:cs="仿宋_GB2312"/>
          <w:color w:val="000000" w:themeColor="text1"/>
          <w:sz w:val="44"/>
          <w:szCs w:val="44"/>
          <w14:textFill>
            <w14:solidFill>
              <w14:schemeClr w14:val="tx1"/>
            </w14:solidFill>
          </w14:textFill>
        </w:rPr>
        <w:t>北京经济技术开发区关于</w:t>
      </w:r>
      <w:bookmarkStart w:id="0" w:name="_Hlk177982012"/>
      <w:r>
        <w:rPr>
          <w:rFonts w:hint="eastAsia" w:ascii="仿宋_GB2312" w:hAnsi="仿宋_GB2312" w:eastAsia="方正小标宋简体" w:cs="仿宋_GB2312"/>
          <w:color w:val="000000" w:themeColor="text1"/>
          <w:sz w:val="44"/>
          <w:szCs w:val="44"/>
          <w14:textFill>
            <w14:solidFill>
              <w14:schemeClr w14:val="tx1"/>
            </w14:solidFill>
          </w14:textFill>
        </w:rPr>
        <w:t>加快推动产业金融高质量发展的若干措施</w:t>
      </w:r>
      <w:bookmarkEnd w:id="0"/>
      <w:r>
        <w:rPr>
          <w:rFonts w:hint="eastAsia" w:ascii="仿宋_GB2312" w:hAnsi="仿宋_GB2312" w:eastAsia="方正小标宋简体" w:cs="仿宋_GB2312"/>
          <w:color w:val="000000" w:themeColor="text1"/>
          <w:sz w:val="44"/>
          <w:szCs w:val="44"/>
          <w14:textFill>
            <w14:solidFill>
              <w14:schemeClr w14:val="tx1"/>
            </w14:solidFill>
          </w14:textFill>
        </w:rPr>
        <w:t>（试行）</w:t>
      </w:r>
    </w:p>
    <w:p w14:paraId="31B0A9A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000000" w:themeColor="text1"/>
          <w:kern w:val="2"/>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kern w:val="2"/>
          <w:sz w:val="44"/>
          <w:szCs w:val="44"/>
          <w14:textFill>
            <w14:solidFill>
              <w14:schemeClr w14:val="tx1"/>
            </w14:solidFill>
          </w14:textFill>
        </w:rPr>
        <w:t>征求意见稿</w:t>
      </w:r>
    </w:p>
    <w:p w14:paraId="3332D94D">
      <w:pPr>
        <w:pStyle w:val="19"/>
        <w:pageBreakBefore w:val="0"/>
        <w:widowControl w:val="0"/>
        <w:kinsoku/>
        <w:wordWrap/>
        <w:overflowPunct/>
        <w:topLinePunct w:val="0"/>
        <w:autoSpaceDE/>
        <w:autoSpaceDN/>
        <w:bidi w:val="0"/>
        <w:spacing w:line="560" w:lineRule="exact"/>
        <w:textAlignment w:val="auto"/>
        <w:rPr>
          <w:rFonts w:hint="eastAsia"/>
          <w:color w:val="000000" w:themeColor="text1"/>
          <w14:textFill>
            <w14:solidFill>
              <w14:schemeClr w14:val="tx1"/>
            </w14:solidFill>
          </w14:textFill>
        </w:rPr>
      </w:pPr>
    </w:p>
    <w:p w14:paraId="7CED41CC">
      <w:pPr>
        <w:pageBreakBefore w:val="0"/>
        <w:widowControl w:val="0"/>
        <w:kinsoku/>
        <w:wordWrap/>
        <w:overflowPunct/>
        <w:topLinePunct w:val="0"/>
        <w:autoSpaceDE/>
        <w:autoSpaceDN/>
        <w:bidi w:val="0"/>
        <w:spacing w:line="560" w:lineRule="exact"/>
        <w:ind w:firstLine="707" w:firstLineChars="221"/>
        <w:textAlignment w:val="auto"/>
        <w:rPr>
          <w:rFonts w:hint="eastAsia" w:ascii="仿宋_GB2312" w:hAnsi="仿宋_GB2312" w:eastAsia="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lang w:eastAsia="zh-CN"/>
          <w14:textFill>
            <w14:solidFill>
              <w14:schemeClr w14:val="tx1"/>
            </w14:solidFill>
          </w14:textFill>
        </w:rPr>
        <w:t>为深入学习贯彻党的二十届三中全会</w:t>
      </w:r>
      <w:r>
        <w:rPr>
          <w:rFonts w:hint="eastAsia" w:ascii="仿宋_GB2312" w:hAnsi="仿宋_GB2312" w:eastAsia="仿宋_GB2312"/>
          <w:color w:val="000000" w:themeColor="text1"/>
          <w:sz w:val="32"/>
          <w:szCs w:val="32"/>
          <w14:textFill>
            <w14:solidFill>
              <w14:schemeClr w14:val="tx1"/>
            </w14:solidFill>
          </w14:textFill>
        </w:rPr>
        <w:t>和中央金融工作会议精神，进一步强化北京经济技术开发区（以下简称“经开区”）“三城一区主平台”和“四区一阵地”的发展定位，优化金融资源配置，激发金融主体活力，强化产业金融根基，增强金融服务新质生产力效能，加快建设产业金融创新发展区，结合经开区实际，制定本措施。</w:t>
      </w:r>
    </w:p>
    <w:p w14:paraId="1ECABBBB">
      <w:pPr>
        <w:pStyle w:val="4"/>
        <w:keepNext w:val="0"/>
        <w:keepLines w:val="0"/>
        <w:pageBreakBefore w:val="0"/>
        <w:widowControl w:val="0"/>
        <w:kinsoku/>
        <w:wordWrap/>
        <w:overflowPunct/>
        <w:topLinePunct w:val="0"/>
        <w:autoSpaceDE/>
        <w:autoSpaceDN/>
        <w:bidi w:val="0"/>
        <w:spacing w:before="0" w:after="0" w:line="560" w:lineRule="exact"/>
        <w:ind w:firstLine="707" w:firstLineChars="220"/>
        <w:textAlignment w:val="auto"/>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一、总体目标</w:t>
      </w:r>
    </w:p>
    <w:p w14:paraId="13AC2A8B">
      <w:pPr>
        <w:pageBreakBefore w:val="0"/>
        <w:widowControl w:val="0"/>
        <w:kinsoku/>
        <w:wordWrap/>
        <w:overflowPunct/>
        <w:topLinePunct w:val="0"/>
        <w:autoSpaceDE/>
        <w:autoSpaceDN/>
        <w:bidi w:val="0"/>
        <w:spacing w:line="560" w:lineRule="exact"/>
        <w:ind w:firstLine="707" w:firstLineChars="221"/>
        <w:textAlignment w:val="auto"/>
        <w:rPr>
          <w:rFonts w:hint="eastAsia" w:ascii="仿宋_GB2312" w:hAnsi="仿宋_GB2312" w:eastAsia="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14:textFill>
            <w14:solidFill>
              <w14:schemeClr w14:val="tx1"/>
            </w14:solidFill>
          </w14:textFill>
        </w:rPr>
        <w:t>到202</w:t>
      </w:r>
      <w:r>
        <w:rPr>
          <w:rFonts w:hint="eastAsia" w:ascii="仿宋_GB2312" w:hAnsi="仿宋_GB2312" w:eastAsia="仿宋_GB2312"/>
          <w:color w:val="000000" w:themeColor="text1"/>
          <w:sz w:val="32"/>
          <w:szCs w:val="32"/>
          <w:lang w:val="en-US" w:eastAsia="zh-CN"/>
          <w14:textFill>
            <w14:solidFill>
              <w14:schemeClr w14:val="tx1"/>
            </w14:solidFill>
          </w14:textFill>
        </w:rPr>
        <w:t>8</w:t>
      </w:r>
      <w:r>
        <w:rPr>
          <w:rFonts w:hint="eastAsia" w:ascii="仿宋_GB2312" w:hAnsi="仿宋_GB2312" w:eastAsia="仿宋_GB2312"/>
          <w:color w:val="000000" w:themeColor="text1"/>
          <w:sz w:val="32"/>
          <w:szCs w:val="32"/>
          <w14:textFill>
            <w14:solidFill>
              <w14:schemeClr w14:val="tx1"/>
            </w14:solidFill>
          </w14:textFill>
        </w:rPr>
        <w:t>年末，全力打造产融深度融合、创新活力迸发的产业金融发展创新高地，产业金融创新发展区建设取得显著成效。围绕金融“五篇大文章”的产品服务体系更加完善；以股权投资、汽车金融、公募基金等为代表的金融业态更加健全；各类金融机构的展业动力与创新活力更加强劲；各类金融业态协同联动、特色发展的金融发展生态环境更加优越。建设挂牌2-3家金融产业园，形成聚集效应、规模效应，打造产业金融高质量发展新局面。</w:t>
      </w:r>
    </w:p>
    <w:p w14:paraId="502A9A3B">
      <w:pPr>
        <w:pageBreakBefore w:val="0"/>
        <w:widowControl w:val="0"/>
        <w:kinsoku/>
        <w:wordWrap/>
        <w:overflowPunct/>
        <w:topLinePunct w:val="0"/>
        <w:autoSpaceDE/>
        <w:autoSpaceDN/>
        <w:bidi w:val="0"/>
        <w:spacing w:line="560" w:lineRule="exact"/>
        <w:ind w:firstLine="707" w:firstLineChars="221"/>
        <w:textAlignment w:val="auto"/>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二、工作措施</w:t>
      </w:r>
    </w:p>
    <w:p w14:paraId="4ECAF267">
      <w:pPr>
        <w:pStyle w:val="5"/>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（一）做好做实金融“五篇大文章”</w:t>
      </w:r>
    </w:p>
    <w:p w14:paraId="7EA91262">
      <w:pPr>
        <w:pStyle w:val="6"/>
        <w:pageBreakBefore w:val="0"/>
        <w:widowControl w:val="0"/>
        <w:kinsoku/>
        <w:wordWrap/>
        <w:overflowPunct/>
        <w:topLinePunct w:val="0"/>
        <w:autoSpaceDE/>
        <w:autoSpaceDN/>
        <w:bidi w:val="0"/>
        <w:spacing w:line="560" w:lineRule="exact"/>
        <w:ind w:firstLine="643"/>
        <w:textAlignment w:val="auto"/>
        <w:rPr>
          <w:rFonts w:hint="eastAsia" w:ascii="仿宋_GB2312" w:hAnsi="楷体" w:cs="楷体"/>
          <w:b w:val="0"/>
          <w:bCs w:val="0"/>
          <w:color w:val="000000" w:themeColor="text1"/>
          <w14:textFill>
            <w14:solidFill>
              <w14:schemeClr w14:val="tx1"/>
            </w14:solidFill>
          </w14:textFill>
        </w:rPr>
      </w:pPr>
      <w:r>
        <w:rPr>
          <w:rFonts w:hint="eastAsia" w:ascii="仿宋_GB2312"/>
          <w:color w:val="000000" w:themeColor="text1"/>
          <w14:textFill>
            <w14:solidFill>
              <w14:schemeClr w14:val="tx1"/>
            </w14:solidFill>
          </w14:textFill>
        </w:rPr>
        <w:t>第一条 鼓励</w:t>
      </w:r>
      <w:r>
        <w:rPr>
          <w:rFonts w:hint="eastAsia" w:ascii="仿宋_GB2312" w:hAnsi="楷体" w:cs="楷体"/>
          <w:color w:val="000000" w:themeColor="text1"/>
          <w14:textFill>
            <w14:solidFill>
              <w14:schemeClr w14:val="tx1"/>
            </w14:solidFill>
          </w14:textFill>
        </w:rPr>
        <w:t>发展科技信贷</w:t>
      </w:r>
    </w:p>
    <w:p w14:paraId="4B4A4A45">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鼓</w:t>
      </w:r>
      <w:r>
        <w:rPr>
          <w:rFonts w:ascii="仿宋_GB2312" w:hAnsi="仿宋_GB2312" w:eastAsia="仿宋_GB2312" w:cs="仿宋_GB2312"/>
          <w:color w:val="000000" w:themeColor="text1"/>
          <w:sz w:val="32"/>
          <w:szCs w:val="32"/>
          <w14:textFill>
            <w14:solidFill>
              <w14:schemeClr w14:val="tx1"/>
            </w14:solidFill>
          </w14:textFill>
        </w:rPr>
        <w:t>励银行机构加大对科技型企业的贷款支持力度</w:t>
      </w:r>
      <w:r>
        <w:rPr>
          <w:rFonts w:hint="eastAsia" w:ascii="仿宋_GB2312" w:hAnsi="仿宋_GB2312" w:eastAsia="仿宋_GB2312" w:cs="仿宋_GB2312"/>
          <w:color w:val="000000" w:themeColor="text1"/>
          <w:sz w:val="32"/>
          <w:szCs w:val="32"/>
          <w14:textFill>
            <w14:solidFill>
              <w14:schemeClr w14:val="tx1"/>
            </w14:solidFill>
          </w14:textFill>
        </w:rPr>
        <w:t>，鼓励开发“专精特新贷”特色产品。支持各类金融机构为种子期、初创期、成长期、成熟期的科技创新型企业提供全生命周期的多元金融供给。发挥经开区</w:t>
      </w:r>
      <w:r>
        <w:rPr>
          <w:rFonts w:ascii="仿宋_GB2312" w:hAnsi="仿宋_GB2312" w:eastAsia="仿宋_GB2312" w:cs="仿宋_GB2312"/>
          <w:color w:val="000000" w:themeColor="text1"/>
          <w:sz w:val="32"/>
          <w:szCs w:val="32"/>
          <w14:textFill>
            <w14:solidFill>
              <w14:schemeClr w14:val="tx1"/>
            </w14:solidFill>
          </w14:textFill>
        </w:rPr>
        <w:t>小微企业贷款风险补偿资金</w:t>
      </w:r>
      <w:r>
        <w:rPr>
          <w:rFonts w:hint="eastAsia" w:ascii="仿宋_GB2312" w:hAnsi="仿宋_GB2312" w:eastAsia="仿宋_GB2312" w:cs="仿宋_GB2312"/>
          <w:color w:val="000000" w:themeColor="text1"/>
          <w:sz w:val="32"/>
          <w:szCs w:val="32"/>
          <w14:textFill>
            <w14:solidFill>
              <w14:schemeClr w14:val="tx1"/>
            </w14:solidFill>
          </w14:textFill>
        </w:rPr>
        <w:t>作用，对符合条件的</w:t>
      </w:r>
      <w:r>
        <w:rPr>
          <w:rFonts w:ascii="仿宋_GB2312" w:hAnsi="仿宋_GB2312" w:eastAsia="仿宋_GB2312" w:cs="仿宋_GB2312"/>
          <w:color w:val="000000" w:themeColor="text1"/>
          <w:sz w:val="32"/>
          <w:szCs w:val="32"/>
          <w14:textFill>
            <w14:solidFill>
              <w14:schemeClr w14:val="tx1"/>
            </w14:solidFill>
          </w14:textFill>
        </w:rPr>
        <w:t>合作银行小微企业贷款项目发生的不良贷款本金余额给予一定比例的风险补偿</w:t>
      </w:r>
      <w:r>
        <w:rPr>
          <w:rFonts w:hint="eastAsia" w:ascii="仿宋_GB2312" w:hAnsi="仿宋_GB2312" w:eastAsia="仿宋_GB2312" w:cs="仿宋_GB2312"/>
          <w:color w:val="000000" w:themeColor="text1"/>
          <w:sz w:val="32"/>
          <w:szCs w:val="32"/>
          <w14:textFill>
            <w14:solidFill>
              <w14:schemeClr w14:val="tx1"/>
            </w14:solidFill>
          </w14:textFill>
        </w:rPr>
        <w:t>。争取科技创新再贷款政策、高新技术企业信用贷款融资试点等落地。支持探索投贷联动、投保联动等模式创新。鼓励银行机构提高创新型中小企业和科技型中小企业融资占比。</w:t>
      </w:r>
    </w:p>
    <w:p w14:paraId="574FBA1B">
      <w:pPr>
        <w:pStyle w:val="6"/>
        <w:pageBreakBefore w:val="0"/>
        <w:widowControl w:val="0"/>
        <w:kinsoku/>
        <w:wordWrap/>
        <w:overflowPunct/>
        <w:topLinePunct w:val="0"/>
        <w:autoSpaceDE/>
        <w:autoSpaceDN/>
        <w:bidi w:val="0"/>
        <w:spacing w:line="560" w:lineRule="exact"/>
        <w:ind w:firstLine="643"/>
        <w:textAlignment w:val="auto"/>
        <w:rPr>
          <w:rFonts w:hint="eastAsia" w:ascii="仿宋_GB2312" w:hAnsi="仿宋_GB2312" w:cs="仿宋_GB2312"/>
          <w:color w:val="000000" w:themeColor="text1"/>
          <w14:textFill>
            <w14:solidFill>
              <w14:schemeClr w14:val="tx1"/>
            </w14:solidFill>
          </w14:textFill>
        </w:rPr>
      </w:pPr>
      <w:r>
        <w:rPr>
          <w:rFonts w:hint="eastAsia" w:ascii="仿宋_GB2312" w:hAnsi="仿宋_GB2312" w:cs="仿宋_GB2312"/>
          <w:color w:val="000000" w:themeColor="text1"/>
          <w14:textFill>
            <w14:solidFill>
              <w14:schemeClr w14:val="tx1"/>
            </w14:solidFill>
          </w14:textFill>
        </w:rPr>
        <w:t>第二条 支持发展科技保险</w:t>
      </w:r>
    </w:p>
    <w:p w14:paraId="780FDA3B">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支持</w:t>
      </w:r>
      <w:r>
        <w:rPr>
          <w:rFonts w:ascii="仿宋_GB2312" w:hAnsi="仿宋_GB2312" w:eastAsia="仿宋_GB2312" w:cs="仿宋_GB2312"/>
          <w:color w:val="000000" w:themeColor="text1"/>
          <w:sz w:val="32"/>
          <w:szCs w:val="32"/>
          <w14:textFill>
            <w14:solidFill>
              <w14:schemeClr w14:val="tx1"/>
            </w14:solidFill>
          </w14:textFill>
        </w:rPr>
        <w:t>保险机构围绕企业在创新研发、生产运营、市场推广及成果转化等重点环节的风险研发专属保险产品</w:t>
      </w:r>
      <w:r>
        <w:rPr>
          <w:rFonts w:hint="eastAsia" w:ascii="仿宋_GB2312" w:hAnsi="仿宋_GB2312" w:eastAsia="仿宋_GB2312" w:cs="仿宋_GB2312"/>
          <w:color w:val="000000" w:themeColor="text1"/>
          <w:sz w:val="32"/>
          <w:szCs w:val="32"/>
          <w14:textFill>
            <w14:solidFill>
              <w14:schemeClr w14:val="tx1"/>
            </w14:solidFill>
          </w14:textFill>
        </w:rPr>
        <w:t>。</w:t>
      </w:r>
      <w:r>
        <w:rPr>
          <w:rFonts w:ascii="仿宋_GB2312" w:hAnsi="仿宋_GB2312" w:eastAsia="仿宋_GB2312" w:cs="仿宋_GB2312"/>
          <w:color w:val="000000" w:themeColor="text1"/>
          <w:sz w:val="32"/>
          <w:szCs w:val="32"/>
          <w14:textFill>
            <w14:solidFill>
              <w14:schemeClr w14:val="tx1"/>
            </w14:solidFill>
          </w14:textFill>
        </w:rPr>
        <w:t>搭建多方信息互通平台，引导和鼓励保险资金投向</w:t>
      </w:r>
      <w:r>
        <w:rPr>
          <w:rFonts w:hint="eastAsia" w:ascii="仿宋_GB2312" w:hAnsi="仿宋_GB2312" w:eastAsia="仿宋_GB2312" w:cs="仿宋_GB2312"/>
          <w:color w:val="000000" w:themeColor="text1"/>
          <w:sz w:val="32"/>
          <w:szCs w:val="32"/>
          <w14:textFill>
            <w14:solidFill>
              <w14:schemeClr w14:val="tx1"/>
            </w14:solidFill>
          </w14:textFill>
        </w:rPr>
        <w:t>重点产业和</w:t>
      </w:r>
      <w:r>
        <w:rPr>
          <w:rFonts w:ascii="仿宋_GB2312" w:hAnsi="仿宋_GB2312" w:eastAsia="仿宋_GB2312" w:cs="仿宋_GB2312"/>
          <w:color w:val="000000" w:themeColor="text1"/>
          <w:sz w:val="32"/>
          <w:szCs w:val="32"/>
          <w14:textFill>
            <w14:solidFill>
              <w14:schemeClr w14:val="tx1"/>
            </w14:solidFill>
          </w14:textFill>
        </w:rPr>
        <w:t>重大产业项目</w:t>
      </w:r>
      <w:r>
        <w:rPr>
          <w:rFonts w:hint="eastAsia" w:ascii="仿宋_GB2312" w:hAnsi="仿宋_GB2312" w:eastAsia="仿宋_GB2312" w:cs="仿宋_GB2312"/>
          <w:color w:val="000000" w:themeColor="text1"/>
          <w:sz w:val="32"/>
          <w:szCs w:val="32"/>
          <w14:textFill>
            <w14:solidFill>
              <w14:schemeClr w14:val="tx1"/>
            </w14:solidFill>
          </w14:textFill>
        </w:rPr>
        <w:t>。鼓励建立科技创新型企业保险理赔绿色通道。</w:t>
      </w:r>
      <w:r>
        <w:rPr>
          <w:rFonts w:ascii="仿宋_GB2312" w:hAnsi="仿宋_GB2312" w:eastAsia="仿宋_GB2312" w:cs="仿宋_GB2312"/>
          <w:color w:val="000000" w:themeColor="text1"/>
          <w:sz w:val="32"/>
          <w:szCs w:val="32"/>
          <w14:textFill>
            <w14:solidFill>
              <w14:schemeClr w14:val="tx1"/>
            </w14:solidFill>
          </w14:textFill>
        </w:rPr>
        <w:t>引导鼓励科技型企业自愿选择、自主投保</w:t>
      </w:r>
      <w:r>
        <w:rPr>
          <w:rFonts w:hint="eastAsia" w:ascii="仿宋_GB2312" w:hAnsi="仿宋_GB2312" w:eastAsia="仿宋_GB2312" w:cs="仿宋_GB2312"/>
          <w:color w:val="000000" w:themeColor="text1"/>
          <w:sz w:val="32"/>
          <w:szCs w:val="32"/>
          <w14:textFill>
            <w14:solidFill>
              <w14:schemeClr w14:val="tx1"/>
            </w14:solidFill>
          </w14:textFill>
        </w:rPr>
        <w:t>各类创新保险产品。认定为北京市</w:t>
      </w:r>
      <w:r>
        <w:rPr>
          <w:rFonts w:hint="eastAsia" w:ascii="仿宋_GB2312" w:hAnsi="仿宋_GB2312" w:eastAsia="仿宋_GB2312" w:cs="仿宋_GB2312"/>
          <w:color w:val="000000" w:themeColor="text1"/>
          <w:sz w:val="32"/>
          <w:szCs w:val="32"/>
          <w:lang w:eastAsia="zh-CN"/>
          <w14:textFill>
            <w14:solidFill>
              <w14:schemeClr w14:val="tx1"/>
            </w14:solidFill>
          </w14:textFill>
        </w:rPr>
        <w:t>专精特新中小企业</w:t>
      </w:r>
      <w:r>
        <w:rPr>
          <w:rFonts w:hint="eastAsia" w:ascii="仿宋_GB2312" w:hAnsi="仿宋_GB2312" w:eastAsia="仿宋_GB2312" w:cs="仿宋_GB2312"/>
          <w:color w:val="000000" w:themeColor="text1"/>
          <w:sz w:val="32"/>
          <w:szCs w:val="32"/>
          <w14:textFill>
            <w14:solidFill>
              <w14:schemeClr w14:val="tx1"/>
            </w14:solidFill>
          </w14:textFill>
        </w:rPr>
        <w:t>、“国家高新技术企业”的企业以及“科创中国”创新基地、省级及以上科技企业孵化器、经开区创新孵化载体的科创类平台运营方（满足其中一项即可）向保险机构投保科技保险，当年实际保费总支出超过10万元的，按照其当年实际保费支出的50%给予企业补贴；认定为国家级专精特新“小巨人”的企业，按照其当年实际保费支出的</w:t>
      </w:r>
      <w:r>
        <w:rPr>
          <w:rFonts w:ascii="仿宋_GB2312" w:hAnsi="仿宋_GB2312" w:eastAsia="仿宋_GB2312" w:cs="仿宋_GB2312"/>
          <w:color w:val="000000" w:themeColor="text1"/>
          <w:sz w:val="32"/>
          <w:szCs w:val="32"/>
          <w14:textFill>
            <w14:solidFill>
              <w14:schemeClr w14:val="tx1"/>
            </w14:solidFill>
          </w14:textFill>
        </w:rPr>
        <w:t>6</w:t>
      </w:r>
      <w:r>
        <w:rPr>
          <w:rFonts w:hint="eastAsia" w:ascii="仿宋_GB2312" w:hAnsi="仿宋_GB2312" w:eastAsia="仿宋_GB2312" w:cs="仿宋_GB2312"/>
          <w:color w:val="000000" w:themeColor="text1"/>
          <w:sz w:val="32"/>
          <w:szCs w:val="32"/>
          <w14:textFill>
            <w14:solidFill>
              <w14:schemeClr w14:val="tx1"/>
            </w14:solidFill>
          </w14:textFill>
        </w:rPr>
        <w:t>0%给予企业补贴。每家企业每年最高不超过50万元。</w:t>
      </w:r>
    </w:p>
    <w:p w14:paraId="35036686">
      <w:pPr>
        <w:pStyle w:val="6"/>
        <w:pageBreakBefore w:val="0"/>
        <w:widowControl w:val="0"/>
        <w:kinsoku/>
        <w:wordWrap/>
        <w:overflowPunct/>
        <w:topLinePunct w:val="0"/>
        <w:autoSpaceDE/>
        <w:autoSpaceDN/>
        <w:bidi w:val="0"/>
        <w:spacing w:line="560" w:lineRule="exact"/>
        <w:ind w:firstLine="643"/>
        <w:textAlignment w:val="auto"/>
        <w:rPr>
          <w:rFonts w:hint="eastAsia" w:ascii="楷体" w:hAnsi="楷体" w:eastAsia="楷体" w:cs="楷体"/>
          <w:color w:val="000000" w:themeColor="text1"/>
          <w14:textFill>
            <w14:solidFill>
              <w14:schemeClr w14:val="tx1"/>
            </w14:solidFill>
          </w14:textFill>
        </w:rPr>
      </w:pPr>
      <w:r>
        <w:rPr>
          <w:rFonts w:hint="eastAsia"/>
          <w:color w:val="000000" w:themeColor="text1"/>
          <w14:textFill>
            <w14:solidFill>
              <w14:schemeClr w14:val="tx1"/>
            </w14:solidFill>
          </w14:textFill>
        </w:rPr>
        <w:t>第三条 支持发展供应链金融</w:t>
      </w:r>
    </w:p>
    <w:p w14:paraId="221DDF57">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建立完善供应链金融体系，吸引一批融资租赁、商业保理等多元金融机构在区内展业。针对四大主导、六大未来产业，鼓励多方联动探索整链授信创新模式落地。鼓励金融机构依托产业链生态场景创新业务模式，采取多样化的产品工具和组合，满足链上企业的综合金融需求。鼓励商业保理公司和融资租赁公司等运用保理融资及融资租赁等方式提升对实体产业的服务能力，当年业务合同金额达到</w:t>
      </w:r>
      <w:r>
        <w:rPr>
          <w:rFonts w:ascii="仿宋_GB2312" w:hAnsi="仿宋_GB2312" w:eastAsia="仿宋_GB2312" w:cs="仿宋_GB2312"/>
          <w:color w:val="000000" w:themeColor="text1"/>
          <w:sz w:val="32"/>
          <w:szCs w:val="32"/>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亿元（含）以上的，按当年为企业提供融资总额的0.</w:t>
      </w:r>
      <w:r>
        <w:rPr>
          <w:rFonts w:ascii="仿宋_GB2312" w:hAnsi="仿宋_GB2312" w:eastAsia="仿宋_GB2312" w:cs="仿宋_GB2312"/>
          <w:color w:val="000000" w:themeColor="text1"/>
          <w:sz w:val="32"/>
          <w:szCs w:val="32"/>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%，每户每年奖励最高不超过500万元。</w:t>
      </w:r>
    </w:p>
    <w:p w14:paraId="31469057">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第四条 </w:t>
      </w:r>
      <w:r>
        <w:rPr>
          <w:rFonts w:hint="eastAsia" w:ascii="仿宋_GB2312" w:hAnsi="仿宋_GB2312" w:cs="仿宋_GB2312"/>
          <w:color w:val="000000" w:themeColor="text1"/>
          <w14:textFill>
            <w14:solidFill>
              <w14:schemeClr w14:val="tx1"/>
            </w14:solidFill>
          </w14:textFill>
        </w:rPr>
        <w:t>推动</w:t>
      </w:r>
      <w:r>
        <w:rPr>
          <w:rFonts w:ascii="仿宋_GB2312" w:hAnsi="仿宋_GB2312" w:cs="仿宋_GB2312"/>
          <w:color w:val="000000" w:themeColor="text1"/>
          <w14:textFill>
            <w14:solidFill>
              <w14:schemeClr w14:val="tx1"/>
            </w14:solidFill>
          </w14:textFill>
        </w:rPr>
        <w:t>小微企业融资环境</w:t>
      </w:r>
      <w:r>
        <w:rPr>
          <w:rFonts w:hint="eastAsia" w:ascii="仿宋_GB2312" w:hAnsi="仿宋_GB2312" w:cs="仿宋_GB2312"/>
          <w:color w:val="000000" w:themeColor="text1"/>
          <w14:textFill>
            <w14:solidFill>
              <w14:schemeClr w14:val="tx1"/>
            </w14:solidFill>
          </w14:textFill>
        </w:rPr>
        <w:t>改善</w:t>
      </w:r>
    </w:p>
    <w:p w14:paraId="02887CF8">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推动供需两端统筹解决小微企业融资难题，</w:t>
      </w:r>
      <w:r>
        <w:rPr>
          <w:rFonts w:ascii="仿宋_GB2312" w:hAnsi="仿宋_GB2312" w:eastAsia="仿宋_GB2312" w:cs="仿宋_GB2312"/>
          <w:color w:val="000000" w:themeColor="text1"/>
          <w:sz w:val="32"/>
          <w:szCs w:val="32"/>
          <w14:textFill>
            <w14:solidFill>
              <w14:schemeClr w14:val="tx1"/>
            </w14:solidFill>
          </w14:textFill>
        </w:rPr>
        <w:t>引导金融机构加大对小微企业的信贷投放</w:t>
      </w:r>
      <w:r>
        <w:rPr>
          <w:rFonts w:hint="eastAsia" w:ascii="仿宋_GB2312" w:hAnsi="仿宋_GB2312" w:eastAsia="仿宋_GB2312" w:cs="仿宋_GB2312"/>
          <w:color w:val="000000" w:themeColor="text1"/>
          <w:sz w:val="32"/>
          <w:szCs w:val="32"/>
          <w14:textFill>
            <w14:solidFill>
              <w14:schemeClr w14:val="tx1"/>
            </w14:solidFill>
          </w14:textFill>
        </w:rPr>
        <w:t>力度。探索完善小微企业增信体系，提高风险分担能力。支持金融机构提供批量化、规模化的小微金融服务，提高小微金融覆盖面。对获得企业贷款的小微企业，按照企业当年实际支付利息的50%予以贴息支持，每年单户企业贴息支持上限为25万元；认定为北京市“专精特新”、国家级专精特新“小巨人”的小微企业，每年单户企业贴息支持上限分别为40万元、50万元对获得北京市首贷贴息政策支持的企业，根据市级支持额度，按照1:1的比例给予资金支持，单个企业最高支持20万元。本条措施就高不重复享受。</w:t>
      </w:r>
    </w:p>
    <w:p w14:paraId="4B515EA3">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第五条 支持发展绿色金融</w:t>
      </w:r>
    </w:p>
    <w:p w14:paraId="5D5372DD">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ascii="仿宋_GB2312" w:hAnsi="仿宋_GB2312" w:eastAsia="仿宋_GB2312" w:cs="仿宋_GB2312"/>
          <w:color w:val="000000" w:themeColor="text1"/>
          <w:sz w:val="32"/>
          <w:szCs w:val="32"/>
          <w14:textFill>
            <w14:solidFill>
              <w14:schemeClr w14:val="tx1"/>
            </w14:solidFill>
          </w14:textFill>
        </w:rPr>
        <w:t>鼓励金融机构开展绿色金融产品创新，提供专业化、差异化服务</w:t>
      </w:r>
      <w:r>
        <w:rPr>
          <w:rFonts w:hint="eastAsia" w:ascii="仿宋_GB2312" w:hAnsi="仿宋_GB2312" w:eastAsia="仿宋_GB2312" w:cs="仿宋_GB2312"/>
          <w:color w:val="000000" w:themeColor="text1"/>
          <w:sz w:val="32"/>
          <w:szCs w:val="32"/>
          <w14:textFill>
            <w14:solidFill>
              <w14:schemeClr w14:val="tx1"/>
            </w14:solidFill>
          </w14:textFill>
        </w:rPr>
        <w:t>。</w:t>
      </w:r>
      <w:r>
        <w:rPr>
          <w:rFonts w:ascii="仿宋_GB2312" w:hAnsi="仿宋_GB2312" w:eastAsia="仿宋_GB2312" w:cs="仿宋_GB2312"/>
          <w:color w:val="000000" w:themeColor="text1"/>
          <w:sz w:val="32"/>
          <w:szCs w:val="32"/>
          <w14:textFill>
            <w14:solidFill>
              <w14:schemeClr w14:val="tx1"/>
            </w14:solidFill>
          </w14:textFill>
        </w:rPr>
        <w:t>强化城市建设、城市运行重点项目的绿色金融运用</w:t>
      </w:r>
      <w:r>
        <w:rPr>
          <w:rFonts w:hint="eastAsia" w:ascii="仿宋_GB2312" w:hAnsi="仿宋_GB2312" w:eastAsia="仿宋_GB2312" w:cs="仿宋_GB2312"/>
          <w:color w:val="000000" w:themeColor="text1"/>
          <w:sz w:val="32"/>
          <w:szCs w:val="32"/>
          <w14:textFill>
            <w14:solidFill>
              <w14:schemeClr w14:val="tx1"/>
            </w14:solidFill>
          </w14:textFill>
        </w:rPr>
        <w:t>，</w:t>
      </w:r>
      <w:r>
        <w:rPr>
          <w:rFonts w:ascii="仿宋_GB2312" w:hAnsi="仿宋_GB2312" w:eastAsia="仿宋_GB2312" w:cs="仿宋_GB2312"/>
          <w:color w:val="000000" w:themeColor="text1"/>
          <w:sz w:val="32"/>
          <w:szCs w:val="32"/>
          <w14:textFill>
            <w14:solidFill>
              <w14:schemeClr w14:val="tx1"/>
            </w14:solidFill>
          </w14:textFill>
        </w:rPr>
        <w:t>建立绿色金融与经济低碳转型相互促进的长效机制</w:t>
      </w:r>
      <w:r>
        <w:rPr>
          <w:rFonts w:hint="eastAsia" w:ascii="仿宋_GB2312" w:hAnsi="仿宋_GB2312" w:eastAsia="仿宋_GB2312" w:cs="仿宋_GB2312"/>
          <w:color w:val="000000" w:themeColor="text1"/>
          <w:sz w:val="32"/>
          <w:szCs w:val="32"/>
          <w14:textFill>
            <w14:solidFill>
              <w14:schemeClr w14:val="tx1"/>
            </w14:solidFill>
          </w14:textFill>
        </w:rPr>
        <w:t>。</w:t>
      </w:r>
      <w:r>
        <w:rPr>
          <w:rFonts w:ascii="仿宋_GB2312" w:hAnsi="仿宋_GB2312" w:eastAsia="仿宋_GB2312" w:cs="仿宋_GB2312"/>
          <w:color w:val="000000" w:themeColor="text1"/>
          <w:sz w:val="32"/>
          <w:szCs w:val="32"/>
          <w14:textFill>
            <w14:solidFill>
              <w14:schemeClr w14:val="tx1"/>
            </w14:solidFill>
          </w14:textFill>
        </w:rPr>
        <w:t>支持符合条件的金融机构、地方金融组织和企业在境内外发行绿色债券、转型债券和绿色资产证券化产品</w:t>
      </w:r>
      <w:r>
        <w:rPr>
          <w:rFonts w:hint="eastAsia" w:ascii="仿宋_GB2312" w:hAnsi="仿宋_GB2312" w:eastAsia="仿宋_GB2312" w:cs="仿宋_GB2312"/>
          <w:color w:val="000000" w:themeColor="text1"/>
          <w:sz w:val="32"/>
          <w:szCs w:val="32"/>
          <w14:textFill>
            <w14:solidFill>
              <w14:schemeClr w14:val="tx1"/>
            </w14:solidFill>
          </w14:textFill>
        </w:rPr>
        <w:t>。支持集聚</w:t>
      </w:r>
      <w:r>
        <w:rPr>
          <w:rFonts w:ascii="仿宋_GB2312" w:hAnsi="仿宋_GB2312" w:eastAsia="仿宋_GB2312" w:cs="仿宋_GB2312"/>
          <w:color w:val="000000" w:themeColor="text1"/>
          <w:sz w:val="32"/>
          <w:szCs w:val="32"/>
          <w14:textFill>
            <w14:solidFill>
              <w14:schemeClr w14:val="tx1"/>
            </w14:solidFill>
          </w14:textFill>
        </w:rPr>
        <w:t>绿色金融专业机构，建立健全</w:t>
      </w:r>
      <w:r>
        <w:rPr>
          <w:rFonts w:hint="eastAsia" w:ascii="仿宋_GB2312" w:hAnsi="仿宋_GB2312" w:eastAsia="仿宋_GB2312" w:cs="仿宋_GB2312"/>
          <w:color w:val="000000" w:themeColor="text1"/>
          <w:sz w:val="32"/>
          <w:szCs w:val="32"/>
          <w14:textFill>
            <w14:solidFill>
              <w14:schemeClr w14:val="tx1"/>
            </w14:solidFill>
          </w14:textFill>
        </w:rPr>
        <w:t>绿色金融专业服务</w:t>
      </w:r>
      <w:r>
        <w:rPr>
          <w:rFonts w:ascii="仿宋_GB2312" w:hAnsi="仿宋_GB2312" w:eastAsia="仿宋_GB2312" w:cs="仿宋_GB2312"/>
          <w:color w:val="000000" w:themeColor="text1"/>
          <w:sz w:val="32"/>
          <w:szCs w:val="32"/>
          <w14:textFill>
            <w14:solidFill>
              <w14:schemeClr w14:val="tx1"/>
            </w14:solidFill>
          </w14:textFill>
        </w:rPr>
        <w:t>体系。</w:t>
      </w:r>
      <w:r>
        <w:rPr>
          <w:rFonts w:hint="eastAsia" w:ascii="仿宋_GB2312" w:hAnsi="仿宋_GB2312" w:eastAsia="仿宋_GB2312" w:cs="仿宋_GB2312"/>
          <w:color w:val="000000" w:themeColor="text1"/>
          <w:sz w:val="32"/>
          <w:szCs w:val="32"/>
          <w14:textFill>
            <w14:solidFill>
              <w14:schemeClr w14:val="tx1"/>
            </w14:solidFill>
          </w14:textFill>
        </w:rPr>
        <w:t>对绿色金融支持力度较强的前2</w:t>
      </w:r>
      <w:r>
        <w:rPr>
          <w:rFonts w:ascii="仿宋_GB2312" w:hAnsi="仿宋_GB2312" w:eastAsia="仿宋_GB2312" w:cs="仿宋_GB2312"/>
          <w:color w:val="000000" w:themeColor="text1"/>
          <w:sz w:val="32"/>
          <w:szCs w:val="32"/>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银行机构给予荣誉称号，探索将绿色信贷指标纳入经开区银行评价体系。</w:t>
      </w:r>
    </w:p>
    <w:p w14:paraId="420321D1">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第六条 鼓励发展数字金融</w:t>
      </w:r>
    </w:p>
    <w:p w14:paraId="22B81AA3">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支持数字金融相关机构集聚，鼓励各类金融机构科技子公司及大型产业集团的金融科技子公司在区内落地发展。鼓励企业利用“信用+”赋能发展，支持有条件的企业发起设立个人征信机构。鼓励金融机构通过数字金融手段促进金融服务的普惠化、智能化，提升金融服务数字化能力。鼓励金融机构布局数字生态场景体系，构建数字生态运营体系，加快数字人民币与数字经济产业的深度融合运用。</w:t>
      </w:r>
    </w:p>
    <w:p w14:paraId="7DA75071">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第七条 鼓励发展养老金融</w:t>
      </w:r>
    </w:p>
    <w:p w14:paraId="5C32BEEC">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鼓励金融机构开发推广具有长期性、安全性，覆盖全生命周期的养老金融产品。完善金融支持养老产业发展的运行机制，打通养老产业链和金融服务链，实现覆盖养老全产业链的综合金融服务供给。鼓励各类主体积极扩大企业年金管理规模，支持区内用人单位为本单位人才建立年金，为员工提供更优保障。</w:t>
      </w:r>
    </w:p>
    <w:p w14:paraId="781F2813">
      <w:pPr>
        <w:pStyle w:val="5"/>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（二）推动产业金融生态提级聚能</w:t>
      </w:r>
    </w:p>
    <w:p w14:paraId="3E9FFE4E">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第八条 支持持牌法人金融</w:t>
      </w:r>
      <w:r>
        <w:rPr>
          <w:rFonts w:hint="eastAsia" w:ascii="仿宋_GB2312" w:hAnsi="楷体" w:cs="楷体"/>
          <w:color w:val="000000" w:themeColor="text1"/>
          <w14:textFill>
            <w14:solidFill>
              <w14:schemeClr w14:val="tx1"/>
            </w14:solidFill>
          </w14:textFill>
        </w:rPr>
        <w:t>机构</w:t>
      </w:r>
      <w:r>
        <w:rPr>
          <w:rFonts w:hint="eastAsia"/>
          <w:color w:val="000000" w:themeColor="text1"/>
          <w14:textFill>
            <w14:solidFill>
              <w14:schemeClr w14:val="tx1"/>
            </w14:solidFill>
          </w14:textFill>
        </w:rPr>
        <w:t>落户</w:t>
      </w:r>
    </w:p>
    <w:p w14:paraId="15B96596">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推动</w:t>
      </w:r>
      <w:r>
        <w:rPr>
          <w:rFonts w:ascii="仿宋_GB2312" w:hAnsi="仿宋_GB2312" w:eastAsia="仿宋_GB2312" w:cs="仿宋_GB2312"/>
          <w:color w:val="000000" w:themeColor="text1"/>
          <w:sz w:val="32"/>
          <w:szCs w:val="32"/>
          <w14:textFill>
            <w14:solidFill>
              <w14:schemeClr w14:val="tx1"/>
            </w14:solidFill>
          </w14:textFill>
        </w:rPr>
        <w:t>与产业发展更为密切的</w:t>
      </w:r>
      <w:r>
        <w:rPr>
          <w:rFonts w:hint="eastAsia" w:ascii="仿宋_GB2312" w:hAnsi="仿宋_GB2312" w:eastAsia="仿宋_GB2312" w:cs="仿宋_GB2312"/>
          <w:color w:val="000000" w:themeColor="text1"/>
          <w:sz w:val="32"/>
          <w:szCs w:val="32"/>
          <w14:textFill>
            <w14:solidFill>
              <w14:schemeClr w14:val="tx1"/>
            </w14:solidFill>
          </w14:textFill>
        </w:rPr>
        <w:t>各类持牌法人</w:t>
      </w:r>
      <w:r>
        <w:rPr>
          <w:rFonts w:ascii="仿宋_GB2312" w:hAnsi="仿宋_GB2312" w:eastAsia="仿宋_GB2312" w:cs="仿宋_GB2312"/>
          <w:color w:val="000000" w:themeColor="text1"/>
          <w:sz w:val="32"/>
          <w:szCs w:val="32"/>
          <w14:textFill>
            <w14:solidFill>
              <w14:schemeClr w14:val="tx1"/>
            </w14:solidFill>
          </w14:textFill>
        </w:rPr>
        <w:t>金融机构</w:t>
      </w:r>
      <w:r>
        <w:rPr>
          <w:rFonts w:hint="eastAsia" w:ascii="仿宋_GB2312" w:hAnsi="仿宋_GB2312" w:eastAsia="仿宋_GB2312" w:cs="仿宋_GB2312"/>
          <w:color w:val="000000" w:themeColor="text1"/>
          <w:sz w:val="32"/>
          <w:szCs w:val="32"/>
          <w14:textFill>
            <w14:solidFill>
              <w14:schemeClr w14:val="tx1"/>
            </w14:solidFill>
          </w14:textFill>
        </w:rPr>
        <w:t>集聚</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丰富</w:t>
      </w:r>
      <w:r>
        <w:rPr>
          <w:rFonts w:ascii="仿宋_GB2312" w:hAnsi="仿宋_GB2312" w:eastAsia="仿宋_GB2312" w:cs="仿宋_GB2312"/>
          <w:color w:val="000000" w:themeColor="text1"/>
          <w:sz w:val="32"/>
          <w:szCs w:val="32"/>
          <w14:textFill>
            <w14:solidFill>
              <w14:schemeClr w14:val="tx1"/>
            </w14:solidFill>
          </w14:textFill>
        </w:rPr>
        <w:t>公募基金、汽车金融、征信机构等</w:t>
      </w:r>
      <w:r>
        <w:rPr>
          <w:rFonts w:hint="eastAsia" w:ascii="仿宋_GB2312" w:hAnsi="仿宋_GB2312" w:eastAsia="仿宋_GB2312" w:cs="仿宋_GB2312"/>
          <w:color w:val="000000" w:themeColor="text1"/>
          <w:sz w:val="32"/>
          <w:szCs w:val="32"/>
          <w14:textFill>
            <w14:solidFill>
              <w14:schemeClr w14:val="tx1"/>
            </w14:solidFill>
          </w14:textFill>
        </w:rPr>
        <w:t>特色法人金融业态。支持有条件的主体发起设立持牌法人金融</w:t>
      </w:r>
      <w:r>
        <w:rPr>
          <w:rFonts w:hint="eastAsia" w:ascii="仿宋_GB2312" w:hAnsi="仿宋_GB2312" w:eastAsia="仿宋_GB2312"/>
          <w:color w:val="000000" w:themeColor="text1"/>
          <w:sz w:val="32"/>
          <w:szCs w:val="40"/>
          <w14:textFill>
            <w14:solidFill>
              <w14:schemeClr w14:val="tx1"/>
            </w14:solidFill>
          </w14:textFill>
        </w:rPr>
        <w:t>机构</w:t>
      </w:r>
      <w:r>
        <w:rPr>
          <w:rFonts w:hint="eastAsia" w:ascii="仿宋_GB2312" w:hAnsi="仿宋_GB2312" w:eastAsia="仿宋_GB2312" w:cs="仿宋_GB2312"/>
          <w:color w:val="000000" w:themeColor="text1"/>
          <w:sz w:val="32"/>
          <w:szCs w:val="32"/>
          <w14:textFill>
            <w14:solidFill>
              <w14:schemeClr w14:val="tx1"/>
            </w14:solidFill>
          </w14:textFill>
        </w:rPr>
        <w:t>及专业子公司。</w:t>
      </w:r>
      <w:r>
        <w:rPr>
          <w:rFonts w:ascii="仿宋_GB2312" w:hAnsi="仿宋_GB2312" w:eastAsia="仿宋_GB2312" w:cs="仿宋_GB2312"/>
          <w:color w:val="000000" w:themeColor="text1"/>
          <w:sz w:val="32"/>
          <w:szCs w:val="32"/>
          <w14:textFill>
            <w14:solidFill>
              <w14:schemeClr w14:val="tx1"/>
            </w14:solidFill>
          </w14:textFill>
        </w:rPr>
        <w:t>对经国家金融管理部门批准设立的</w:t>
      </w:r>
      <w:r>
        <w:rPr>
          <w:rFonts w:hint="eastAsia" w:ascii="仿宋_GB2312" w:hAnsi="仿宋_GB2312" w:eastAsia="仿宋_GB2312" w:cs="仿宋_GB2312"/>
          <w:color w:val="000000" w:themeColor="text1"/>
          <w:sz w:val="32"/>
          <w:szCs w:val="32"/>
          <w14:textFill>
            <w14:solidFill>
              <w14:schemeClr w14:val="tx1"/>
            </w14:solidFill>
          </w14:textFill>
        </w:rPr>
        <w:t>持牌法人</w:t>
      </w:r>
      <w:r>
        <w:rPr>
          <w:rFonts w:hint="eastAsia" w:ascii="仿宋_GB2312" w:hAnsi="仿宋_GB2312" w:eastAsia="仿宋_GB2312"/>
          <w:color w:val="000000" w:themeColor="text1"/>
          <w:sz w:val="32"/>
          <w:szCs w:val="32"/>
          <w14:textFill>
            <w14:solidFill>
              <w14:schemeClr w14:val="tx1"/>
            </w14:solidFill>
          </w14:textFill>
        </w:rPr>
        <w:t>金融机构，实收资本1亿元（含）-5亿元的，按照“500万元+实收资本*1%”给予补助；实收资本5亿元（含）-10亿元的，按照“1000万元+实收资本*0.5%”给予补助；实收资本10亿元（含）-30亿元的，按照“2000万元+实收资本*0.3%”给予补助；30亿元（含）以上的，按照“5000万元+实收资本*0.2%”给予补助，最高不超过6000万元。持牌法人</w:t>
      </w:r>
      <w:r>
        <w:rPr>
          <w:rFonts w:ascii="仿宋_GB2312" w:hAnsi="仿宋_GB2312" w:eastAsia="仿宋_GB2312"/>
          <w:color w:val="000000" w:themeColor="text1"/>
          <w:sz w:val="32"/>
          <w:szCs w:val="32"/>
          <w14:textFill>
            <w14:solidFill>
              <w14:schemeClr w14:val="tx1"/>
            </w14:solidFill>
          </w14:textFill>
        </w:rPr>
        <w:t>金融机构增资的</w:t>
      </w:r>
      <w:r>
        <w:rPr>
          <w:rFonts w:hint="eastAsia" w:ascii="仿宋_GB2312" w:hAnsi="仿宋_GB2312" w:eastAsia="仿宋_GB2312"/>
          <w:color w:val="000000" w:themeColor="text1"/>
          <w:sz w:val="32"/>
          <w:szCs w:val="32"/>
          <w14:textFill>
            <w14:solidFill>
              <w14:schemeClr w14:val="tx1"/>
            </w14:solidFill>
          </w14:textFill>
        </w:rPr>
        <w:t>，实收资本每新增1亿元（含）以上的，按增资额度的1%给予补助，最高不超过2000万元。</w:t>
      </w:r>
    </w:p>
    <w:p w14:paraId="02FD043E">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第九条 </w:t>
      </w:r>
      <w:r>
        <w:rPr>
          <w:color w:val="000000" w:themeColor="text1"/>
          <w14:textFill>
            <w14:solidFill>
              <w14:schemeClr w14:val="tx1"/>
            </w14:solidFill>
          </w14:textFill>
        </w:rPr>
        <w:t>支持金融分支机构</w:t>
      </w:r>
      <w:r>
        <w:rPr>
          <w:rFonts w:hint="eastAsia" w:ascii="仿宋_GB2312" w:hAnsi="仿宋_GB2312"/>
          <w:color w:val="000000" w:themeColor="text1"/>
          <w14:textFill>
            <w14:solidFill>
              <w14:schemeClr w14:val="tx1"/>
            </w14:solidFill>
          </w14:textFill>
        </w:rPr>
        <w:t>提档升级</w:t>
      </w:r>
    </w:p>
    <w:p w14:paraId="61B6BBE5">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14:textFill>
            <w14:solidFill>
              <w14:schemeClr w14:val="tx1"/>
            </w14:solidFill>
          </w14:textFill>
        </w:rPr>
        <w:t>支持各类金融机构提档升级，鼓励金融机构新设一二级分支机构，新设区域业务总部、客户服务中心等功能性总部。对新设立的银行一级分行以及证券公司、保险公司一级分支机构，给予400万元一次性开办费支持，新升格的银行二级分行给予200万元一次性开办费支持。</w:t>
      </w:r>
    </w:p>
    <w:p w14:paraId="2319B9B1">
      <w:pPr>
        <w:pStyle w:val="6"/>
        <w:pageBreakBefore w:val="0"/>
        <w:widowControl w:val="0"/>
        <w:kinsoku/>
        <w:wordWrap/>
        <w:overflowPunct/>
        <w:topLinePunct w:val="0"/>
        <w:autoSpaceDE/>
        <w:autoSpaceDN/>
        <w:bidi w:val="0"/>
        <w:spacing w:line="560" w:lineRule="exact"/>
        <w:ind w:firstLine="643"/>
        <w:textAlignment w:val="auto"/>
        <w:rPr>
          <w:rFonts w:hint="eastAsia" w:ascii="仿宋_GB2312" w:hAnsi="仿宋_GB2312"/>
          <w:color w:val="000000" w:themeColor="text1"/>
          <w14:textFill>
            <w14:solidFill>
              <w14:schemeClr w14:val="tx1"/>
            </w14:solidFill>
          </w14:textFill>
        </w:rPr>
      </w:pPr>
      <w:r>
        <w:rPr>
          <w:rFonts w:hint="eastAsia"/>
          <w:color w:val="000000" w:themeColor="text1"/>
          <w14:textFill>
            <w14:solidFill>
              <w14:schemeClr w14:val="tx1"/>
            </w14:solidFill>
          </w14:textFill>
        </w:rPr>
        <w:t>第十条 支持地方金融组织落户</w:t>
      </w:r>
    </w:p>
    <w:p w14:paraId="4EAEF312">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ascii="仿宋_GB2312" w:hAnsi="仿宋_GB2312" w:eastAsia="仿宋_GB2312" w:cs="仿宋_GB2312"/>
          <w:color w:val="000000" w:themeColor="text1"/>
          <w:sz w:val="32"/>
          <w:szCs w:val="32"/>
          <w14:textFill>
            <w14:solidFill>
              <w14:schemeClr w14:val="tx1"/>
            </w14:solidFill>
          </w14:textFill>
        </w:rPr>
        <w:t>推动形成多层次地方金融</w:t>
      </w:r>
      <w:r>
        <w:rPr>
          <w:rFonts w:hint="eastAsia" w:ascii="仿宋_GB2312" w:hAnsi="仿宋_GB2312" w:eastAsia="仿宋_GB2312" w:cs="仿宋_GB2312"/>
          <w:color w:val="000000" w:themeColor="text1"/>
          <w:sz w:val="32"/>
          <w:szCs w:val="32"/>
          <w14:textFill>
            <w14:solidFill>
              <w14:schemeClr w14:val="tx1"/>
            </w14:solidFill>
          </w14:textFill>
        </w:rPr>
        <w:t>组织</w:t>
      </w:r>
      <w:r>
        <w:rPr>
          <w:rFonts w:ascii="仿宋_GB2312" w:hAnsi="仿宋_GB2312" w:eastAsia="仿宋_GB2312" w:cs="仿宋_GB2312"/>
          <w:color w:val="000000" w:themeColor="text1"/>
          <w:sz w:val="32"/>
          <w:szCs w:val="32"/>
          <w14:textFill>
            <w14:solidFill>
              <w14:schemeClr w14:val="tx1"/>
            </w14:solidFill>
          </w14:textFill>
        </w:rPr>
        <w:t>体系</w:t>
      </w:r>
      <w:r>
        <w:rPr>
          <w:rFonts w:hint="eastAsia" w:ascii="仿宋_GB2312" w:hAnsi="仿宋_GB2312" w:eastAsia="仿宋_GB2312" w:cs="仿宋_GB2312"/>
          <w:color w:val="000000" w:themeColor="text1"/>
          <w:sz w:val="32"/>
          <w:szCs w:val="32"/>
          <w14:textFill>
            <w14:solidFill>
              <w14:schemeClr w14:val="tx1"/>
            </w14:solidFill>
          </w14:textFill>
        </w:rPr>
        <w:t>，</w:t>
      </w:r>
      <w:r>
        <w:rPr>
          <w:rFonts w:ascii="仿宋_GB2312" w:hAnsi="仿宋_GB2312" w:eastAsia="仿宋_GB2312" w:cs="仿宋_GB2312"/>
          <w:color w:val="000000" w:themeColor="text1"/>
          <w:sz w:val="32"/>
          <w:szCs w:val="32"/>
          <w14:textFill>
            <w14:solidFill>
              <w14:schemeClr w14:val="tx1"/>
            </w14:solidFill>
          </w14:textFill>
        </w:rPr>
        <w:t>支持</w:t>
      </w:r>
      <w:r>
        <w:rPr>
          <w:rFonts w:hint="eastAsia" w:ascii="仿宋_GB2312" w:hAnsi="仿宋_GB2312" w:eastAsia="仿宋_GB2312" w:cs="仿宋_GB2312"/>
          <w:color w:val="000000" w:themeColor="text1"/>
          <w:sz w:val="32"/>
          <w:szCs w:val="32"/>
          <w14:textFill>
            <w14:solidFill>
              <w14:schemeClr w14:val="tx1"/>
            </w14:solidFill>
          </w14:textFill>
        </w:rPr>
        <w:t>优质</w:t>
      </w:r>
      <w:r>
        <w:rPr>
          <w:rFonts w:ascii="仿宋_GB2312" w:hAnsi="仿宋_GB2312" w:eastAsia="仿宋_GB2312" w:cs="仿宋_GB2312"/>
          <w:color w:val="000000" w:themeColor="text1"/>
          <w:sz w:val="32"/>
          <w:szCs w:val="32"/>
          <w14:textFill>
            <w14:solidFill>
              <w14:schemeClr w14:val="tx1"/>
            </w14:solidFill>
          </w14:textFill>
        </w:rPr>
        <w:t>市场主体设立地方金融组织。支持地方金融组织引入战略投资者、开展股权激励等方式优化</w:t>
      </w:r>
      <w:r>
        <w:rPr>
          <w:rFonts w:hint="eastAsia" w:ascii="仿宋_GB2312" w:hAnsi="仿宋_GB2312" w:eastAsia="仿宋_GB2312" w:cs="仿宋_GB2312"/>
          <w:color w:val="000000" w:themeColor="text1"/>
          <w:sz w:val="32"/>
          <w:szCs w:val="32"/>
          <w14:textFill>
            <w14:solidFill>
              <w14:schemeClr w14:val="tx1"/>
            </w14:solidFill>
          </w14:textFill>
        </w:rPr>
        <w:t>股权</w:t>
      </w:r>
      <w:r>
        <w:rPr>
          <w:rFonts w:ascii="仿宋_GB2312" w:hAnsi="仿宋_GB2312" w:eastAsia="仿宋_GB2312" w:cs="仿宋_GB2312"/>
          <w:color w:val="000000" w:themeColor="text1"/>
          <w:sz w:val="32"/>
          <w:szCs w:val="32"/>
          <w14:textFill>
            <w14:solidFill>
              <w14:schemeClr w14:val="tx1"/>
            </w14:solidFill>
          </w14:textFill>
        </w:rPr>
        <w:t>结构</w:t>
      </w:r>
      <w:r>
        <w:rPr>
          <w:rFonts w:hint="eastAsia" w:ascii="仿宋_GB2312" w:hAnsi="仿宋_GB2312" w:eastAsia="仿宋_GB2312" w:cs="仿宋_GB2312"/>
          <w:color w:val="000000" w:themeColor="text1"/>
          <w:sz w:val="32"/>
          <w:szCs w:val="32"/>
          <w14:textFill>
            <w14:solidFill>
              <w14:schemeClr w14:val="tx1"/>
            </w14:solidFill>
          </w14:textFill>
        </w:rPr>
        <w:t>。经北京市地方金融管理局批准新设立的融资租赁公司、商业保理公司、融资担保公司，实收资本5亿元（含）以上的，按实收资本的0.5%给予一次性落户奖励，最高不超过2500万元。实收资本增加1亿元（含）以上的，按增资额度的0.5%给予奖励，最高不超过</w:t>
      </w:r>
      <w:r>
        <w:rPr>
          <w:rFonts w:ascii="仿宋_GB2312" w:hAnsi="仿宋_GB2312" w:eastAsia="仿宋_GB2312" w:cs="仿宋_GB2312"/>
          <w:color w:val="000000" w:themeColor="text1"/>
          <w:sz w:val="32"/>
          <w:szCs w:val="32"/>
          <w14:textFill>
            <w14:solidFill>
              <w14:schemeClr w14:val="tx1"/>
            </w14:solidFill>
          </w14:textFill>
        </w:rPr>
        <w:t>500</w:t>
      </w:r>
      <w:r>
        <w:rPr>
          <w:rFonts w:hint="eastAsia" w:ascii="仿宋_GB2312" w:hAnsi="仿宋_GB2312" w:eastAsia="仿宋_GB2312" w:cs="仿宋_GB2312"/>
          <w:color w:val="000000" w:themeColor="text1"/>
          <w:sz w:val="32"/>
          <w:szCs w:val="32"/>
          <w14:textFill>
            <w14:solidFill>
              <w14:schemeClr w14:val="tx1"/>
            </w14:solidFill>
          </w14:textFill>
        </w:rPr>
        <w:t>万元。</w:t>
      </w:r>
    </w:p>
    <w:p w14:paraId="078C95DF">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第十一条 支持私募投资机构落户</w:t>
      </w:r>
    </w:p>
    <w:p w14:paraId="6F13228F">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聚焦科技创新和产业升级，支持引进</w:t>
      </w:r>
      <w:r>
        <w:rPr>
          <w:rFonts w:ascii="仿宋_GB2312" w:hAnsi="仿宋_GB2312" w:eastAsia="仿宋_GB2312" w:cs="仿宋_GB2312"/>
          <w:color w:val="000000" w:themeColor="text1"/>
          <w:sz w:val="32"/>
          <w:szCs w:val="32"/>
          <w14:textFill>
            <w14:solidFill>
              <w14:schemeClr w14:val="tx1"/>
            </w14:solidFill>
          </w14:textFill>
        </w:rPr>
        <w:t>知名</w:t>
      </w:r>
      <w:r>
        <w:rPr>
          <w:rFonts w:hint="eastAsia" w:ascii="仿宋_GB2312" w:hAnsi="仿宋_GB2312" w:eastAsia="仿宋_GB2312" w:cs="仿宋_GB2312"/>
          <w:color w:val="000000" w:themeColor="text1"/>
          <w:sz w:val="32"/>
          <w:szCs w:val="32"/>
          <w14:textFill>
            <w14:solidFill>
              <w14:schemeClr w14:val="tx1"/>
            </w14:solidFill>
          </w14:textFill>
        </w:rPr>
        <w:t>私募投资</w:t>
      </w:r>
      <w:r>
        <w:rPr>
          <w:rFonts w:ascii="仿宋_GB2312" w:hAnsi="仿宋_GB2312" w:eastAsia="仿宋_GB2312" w:cs="仿宋_GB2312"/>
          <w:color w:val="000000" w:themeColor="text1"/>
          <w:sz w:val="32"/>
          <w:szCs w:val="32"/>
          <w14:textFill>
            <w14:solidFill>
              <w14:schemeClr w14:val="tx1"/>
            </w14:solidFill>
          </w14:textFill>
        </w:rPr>
        <w:t>机构，形成创新资本聚集新高地。</w:t>
      </w:r>
      <w:r>
        <w:rPr>
          <w:rFonts w:hint="eastAsia" w:ascii="仿宋_GB2312" w:hAnsi="仿宋_GB2312" w:eastAsia="仿宋_GB2312" w:cs="仿宋_GB2312"/>
          <w:color w:val="000000" w:themeColor="text1"/>
          <w:sz w:val="32"/>
          <w:szCs w:val="32"/>
          <w14:textFill>
            <w14:solidFill>
              <w14:schemeClr w14:val="tx1"/>
            </w14:solidFill>
          </w14:textFill>
        </w:rPr>
        <w:t>支持基金管理人和所管理基金“双落地”。基金管理人实缴资本1000万元以上，所管理基金实缴规模合计达到1亿元（含）以上，经评定，对实体企业带动作用较强的，按基金管理人实缴资本的一定比例给予奖励。基金管理人实缴资本1</w:t>
      </w:r>
      <w:r>
        <w:rPr>
          <w:rFonts w:ascii="仿宋_GB2312" w:hAnsi="仿宋_GB2312" w:eastAsia="仿宋_GB2312" w:cs="仿宋_GB2312"/>
          <w:color w:val="000000" w:themeColor="text1"/>
          <w:sz w:val="32"/>
          <w:szCs w:val="32"/>
          <w14:textFill>
            <w14:solidFill>
              <w14:schemeClr w14:val="tx1"/>
            </w14:solidFill>
          </w14:textFill>
        </w:rPr>
        <w:t>000</w:t>
      </w:r>
      <w:r>
        <w:rPr>
          <w:rFonts w:hint="eastAsia" w:ascii="仿宋_GB2312" w:hAnsi="仿宋_GB2312" w:eastAsia="仿宋_GB2312" w:cs="仿宋_GB2312"/>
          <w:color w:val="000000" w:themeColor="text1"/>
          <w:sz w:val="32"/>
          <w:szCs w:val="32"/>
          <w14:textFill>
            <w14:solidFill>
              <w14:schemeClr w14:val="tx1"/>
            </w14:solidFill>
          </w14:textFill>
        </w:rPr>
        <w:t>万元（含）-</w:t>
      </w:r>
      <w:r>
        <w:rPr>
          <w:rFonts w:ascii="仿宋_GB2312" w:hAnsi="仿宋_GB2312" w:eastAsia="仿宋_GB2312" w:cs="仿宋_GB2312"/>
          <w:color w:val="000000" w:themeColor="text1"/>
          <w:sz w:val="32"/>
          <w:szCs w:val="32"/>
          <w14:textFill>
            <w14:solidFill>
              <w14:schemeClr w14:val="tx1"/>
            </w14:solidFill>
          </w14:textFill>
        </w:rPr>
        <w:t>5000</w:t>
      </w:r>
      <w:r>
        <w:rPr>
          <w:rFonts w:hint="eastAsia" w:ascii="仿宋_GB2312" w:hAnsi="仿宋_GB2312" w:eastAsia="仿宋_GB2312" w:cs="仿宋_GB2312"/>
          <w:color w:val="000000" w:themeColor="text1"/>
          <w:sz w:val="32"/>
          <w:szCs w:val="32"/>
          <w14:textFill>
            <w14:solidFill>
              <w14:schemeClr w14:val="tx1"/>
            </w14:solidFill>
          </w14:textFill>
        </w:rPr>
        <w:t>万元的，按实缴资本的2</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给予最高不超过1</w:t>
      </w:r>
      <w:r>
        <w:rPr>
          <w:rFonts w:ascii="仿宋_GB2312" w:hAnsi="仿宋_GB2312" w:eastAsia="仿宋_GB2312" w:cs="仿宋_GB2312"/>
          <w:color w:val="000000" w:themeColor="text1"/>
          <w:sz w:val="32"/>
          <w:szCs w:val="32"/>
          <w14:textFill>
            <w14:solidFill>
              <w14:schemeClr w14:val="tx1"/>
            </w14:solidFill>
          </w14:textFill>
        </w:rPr>
        <w:t>00</w:t>
      </w:r>
      <w:r>
        <w:rPr>
          <w:rFonts w:hint="eastAsia" w:ascii="仿宋_GB2312" w:hAnsi="仿宋_GB2312" w:eastAsia="仿宋_GB2312" w:cs="仿宋_GB2312"/>
          <w:color w:val="000000" w:themeColor="text1"/>
          <w:sz w:val="32"/>
          <w:szCs w:val="32"/>
          <w14:textFill>
            <w14:solidFill>
              <w14:schemeClr w14:val="tx1"/>
            </w14:solidFill>
          </w14:textFill>
        </w:rPr>
        <w:t>万元奖励。基金管理人实缴资本5</w:t>
      </w:r>
      <w:r>
        <w:rPr>
          <w:rFonts w:ascii="仿宋_GB2312" w:hAnsi="仿宋_GB2312" w:eastAsia="仿宋_GB2312" w:cs="仿宋_GB2312"/>
          <w:color w:val="000000" w:themeColor="text1"/>
          <w:sz w:val="32"/>
          <w:szCs w:val="32"/>
          <w14:textFill>
            <w14:solidFill>
              <w14:schemeClr w14:val="tx1"/>
            </w14:solidFill>
          </w14:textFill>
        </w:rPr>
        <w:t>000</w:t>
      </w:r>
      <w:r>
        <w:rPr>
          <w:rFonts w:hint="eastAsia" w:ascii="仿宋_GB2312" w:hAnsi="仿宋_GB2312" w:eastAsia="仿宋_GB2312" w:cs="仿宋_GB2312"/>
          <w:color w:val="000000" w:themeColor="text1"/>
          <w:sz w:val="32"/>
          <w:szCs w:val="32"/>
          <w14:textFill>
            <w14:solidFill>
              <w14:schemeClr w14:val="tx1"/>
            </w14:solidFill>
          </w14:textFill>
        </w:rPr>
        <w:t>万元（含）-</w:t>
      </w:r>
      <w:r>
        <w:rPr>
          <w:rFonts w:ascii="仿宋_GB2312" w:hAnsi="仿宋_GB2312" w:eastAsia="仿宋_GB2312" w:cs="仿宋_GB2312"/>
          <w:color w:val="000000" w:themeColor="text1"/>
          <w:sz w:val="32"/>
          <w:szCs w:val="32"/>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亿元的，按实缴资本的3</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给予最高不超过3</w:t>
      </w:r>
      <w:r>
        <w:rPr>
          <w:rFonts w:ascii="仿宋_GB2312" w:hAnsi="仿宋_GB2312" w:eastAsia="仿宋_GB2312" w:cs="仿宋_GB2312"/>
          <w:color w:val="000000" w:themeColor="text1"/>
          <w:sz w:val="32"/>
          <w:szCs w:val="32"/>
          <w14:textFill>
            <w14:solidFill>
              <w14:schemeClr w14:val="tx1"/>
            </w14:solidFill>
          </w14:textFill>
        </w:rPr>
        <w:t>00</w:t>
      </w:r>
      <w:r>
        <w:rPr>
          <w:rFonts w:hint="eastAsia" w:ascii="仿宋_GB2312" w:hAnsi="仿宋_GB2312" w:eastAsia="仿宋_GB2312" w:cs="仿宋_GB2312"/>
          <w:color w:val="000000" w:themeColor="text1"/>
          <w:sz w:val="32"/>
          <w:szCs w:val="32"/>
          <w14:textFill>
            <w14:solidFill>
              <w14:schemeClr w14:val="tx1"/>
            </w14:solidFill>
          </w14:textFill>
        </w:rPr>
        <w:t>万元奖励。基金管理人实缴资本1亿元（含）及以上的，按实缴资本</w:t>
      </w:r>
      <w:r>
        <w:rPr>
          <w:rFonts w:ascii="仿宋_GB2312" w:hAnsi="仿宋_GB2312" w:eastAsia="仿宋_GB2312" w:cs="仿宋_GB2312"/>
          <w:color w:val="000000" w:themeColor="text1"/>
          <w:sz w:val="32"/>
          <w:szCs w:val="32"/>
          <w14:textFill>
            <w14:solidFill>
              <w14:schemeClr w14:val="tx1"/>
            </w14:solidFill>
          </w14:textFill>
        </w:rPr>
        <w:t>4%</w:t>
      </w:r>
      <w:r>
        <w:rPr>
          <w:rFonts w:hint="eastAsia" w:ascii="仿宋_GB2312" w:hAnsi="仿宋_GB2312" w:eastAsia="仿宋_GB2312" w:cs="仿宋_GB2312"/>
          <w:color w:val="000000" w:themeColor="text1"/>
          <w:sz w:val="32"/>
          <w:szCs w:val="32"/>
          <w14:textFill>
            <w14:solidFill>
              <w14:schemeClr w14:val="tx1"/>
            </w14:solidFill>
          </w14:textFill>
        </w:rPr>
        <w:t>给予最高不超过5</w:t>
      </w:r>
      <w:r>
        <w:rPr>
          <w:rFonts w:ascii="仿宋_GB2312" w:hAnsi="仿宋_GB2312" w:eastAsia="仿宋_GB2312" w:cs="仿宋_GB2312"/>
          <w:color w:val="000000" w:themeColor="text1"/>
          <w:sz w:val="32"/>
          <w:szCs w:val="32"/>
          <w14:textFill>
            <w14:solidFill>
              <w14:schemeClr w14:val="tx1"/>
            </w14:solidFill>
          </w14:textFill>
        </w:rPr>
        <w:t>00</w:t>
      </w:r>
      <w:r>
        <w:rPr>
          <w:rFonts w:hint="eastAsia" w:ascii="仿宋_GB2312" w:hAnsi="仿宋_GB2312" w:eastAsia="仿宋_GB2312" w:cs="仿宋_GB2312"/>
          <w:color w:val="000000" w:themeColor="text1"/>
          <w:sz w:val="32"/>
          <w:szCs w:val="32"/>
          <w14:textFill>
            <w14:solidFill>
              <w14:schemeClr w14:val="tx1"/>
            </w14:solidFill>
          </w14:textFill>
        </w:rPr>
        <w:t>万元奖励。对</w:t>
      </w:r>
      <w:r>
        <w:rPr>
          <w:rFonts w:hint="eastAsia" w:ascii="仿宋_GB2312" w:hAnsi="仿宋_GB2312" w:eastAsia="仿宋_GB2312"/>
          <w:color w:val="000000" w:themeColor="text1"/>
          <w:sz w:val="32"/>
          <w:szCs w:val="32"/>
          <w14:textFill>
            <w14:solidFill>
              <w14:schemeClr w14:val="tx1"/>
            </w14:solidFill>
          </w14:textFill>
        </w:rPr>
        <w:t>已设立</w:t>
      </w:r>
      <w:r>
        <w:rPr>
          <w:rFonts w:hint="eastAsia" w:ascii="仿宋_GB2312" w:hAnsi="仿宋_GB2312" w:eastAsia="仿宋_GB2312" w:cs="仿宋_GB2312"/>
          <w:color w:val="000000" w:themeColor="text1"/>
          <w:sz w:val="32"/>
          <w:szCs w:val="32"/>
          <w14:textFill>
            <w14:solidFill>
              <w14:schemeClr w14:val="tx1"/>
            </w14:solidFill>
          </w14:textFill>
        </w:rPr>
        <w:t>基金管理人增资的,实缴增资额达1000万元（含）以上的，按增资金额的</w:t>
      </w:r>
      <w:r>
        <w:rPr>
          <w:rFonts w:ascii="仿宋_GB2312" w:hAnsi="仿宋_GB2312" w:eastAsia="仿宋_GB2312" w:cs="仿宋_GB2312"/>
          <w:color w:val="000000" w:themeColor="text1"/>
          <w:sz w:val="32"/>
          <w:szCs w:val="32"/>
          <w14:textFill>
            <w14:solidFill>
              <w14:schemeClr w14:val="tx1"/>
            </w14:solidFill>
          </w14:textFill>
        </w:rPr>
        <w:t>0.5</w:t>
      </w:r>
      <w:r>
        <w:rPr>
          <w:rFonts w:hint="eastAsia" w:ascii="仿宋_GB2312" w:hAnsi="仿宋_GB2312" w:eastAsia="仿宋_GB2312" w:cs="仿宋_GB2312"/>
          <w:color w:val="000000" w:themeColor="text1"/>
          <w:sz w:val="32"/>
          <w:szCs w:val="32"/>
          <w14:textFill>
            <w14:solidFill>
              <w14:schemeClr w14:val="tx1"/>
            </w14:solidFill>
          </w14:textFill>
        </w:rPr>
        <w:t>%给予一次性奖励，最高不超过</w:t>
      </w:r>
      <w:r>
        <w:rPr>
          <w:rFonts w:ascii="仿宋_GB2312" w:hAnsi="仿宋_GB2312" w:eastAsia="仿宋_GB2312" w:cs="仿宋_GB2312"/>
          <w:color w:val="000000" w:themeColor="text1"/>
          <w:sz w:val="32"/>
          <w:szCs w:val="32"/>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00万元。</w:t>
      </w:r>
      <w:r>
        <w:rPr>
          <w:rFonts w:ascii="仿宋_GB2312" w:hAnsi="仿宋_GB2312" w:eastAsia="仿宋_GB2312" w:cs="仿宋_GB2312"/>
          <w:color w:val="000000" w:themeColor="text1"/>
          <w:sz w:val="32"/>
          <w:szCs w:val="32"/>
          <w14:textFill>
            <w14:solidFill>
              <w14:schemeClr w14:val="tx1"/>
            </w14:solidFill>
          </w14:textFill>
        </w:rPr>
        <w:t>涉及</w:t>
      </w:r>
      <w:r>
        <w:rPr>
          <w:rFonts w:hint="eastAsia" w:ascii="仿宋_GB2312" w:hAnsi="仿宋_GB2312" w:eastAsia="仿宋_GB2312" w:cs="仿宋_GB2312"/>
          <w:color w:val="000000" w:themeColor="text1"/>
          <w:sz w:val="32"/>
          <w:szCs w:val="32"/>
          <w14:textFill>
            <w14:solidFill>
              <w14:schemeClr w14:val="tx1"/>
            </w14:solidFill>
          </w14:textFill>
        </w:rPr>
        <w:t>经开区</w:t>
      </w:r>
      <w:r>
        <w:rPr>
          <w:rFonts w:ascii="仿宋_GB2312" w:hAnsi="仿宋_GB2312" w:eastAsia="仿宋_GB2312" w:cs="仿宋_GB2312"/>
          <w:color w:val="000000" w:themeColor="text1"/>
          <w:sz w:val="32"/>
          <w:szCs w:val="32"/>
          <w14:textFill>
            <w14:solidFill>
              <w14:schemeClr w14:val="tx1"/>
            </w14:solidFill>
          </w14:textFill>
        </w:rPr>
        <w:t>政府引导基金、财政资金或国有资本参与出资的，应剔除上述出资部分的投资额</w:t>
      </w:r>
      <w:r>
        <w:rPr>
          <w:rFonts w:hint="eastAsia" w:ascii="仿宋_GB2312" w:hAnsi="仿宋_GB2312" w:eastAsia="仿宋_GB2312" w:cs="仿宋_GB2312"/>
          <w:color w:val="000000" w:themeColor="text1"/>
          <w:sz w:val="32"/>
          <w:szCs w:val="32"/>
          <w14:textFill>
            <w14:solidFill>
              <w14:schemeClr w14:val="tx1"/>
            </w14:solidFill>
          </w14:textFill>
        </w:rPr>
        <w:t>后，</w:t>
      </w:r>
      <w:r>
        <w:rPr>
          <w:rFonts w:ascii="仿宋_GB2312" w:hAnsi="仿宋_GB2312" w:eastAsia="仿宋_GB2312" w:cs="仿宋_GB2312"/>
          <w:color w:val="000000" w:themeColor="text1"/>
          <w:sz w:val="32"/>
          <w:szCs w:val="32"/>
          <w14:textFill>
            <w14:solidFill>
              <w14:schemeClr w14:val="tx1"/>
            </w14:solidFill>
          </w14:textFill>
        </w:rPr>
        <w:t>再行计算奖励</w:t>
      </w:r>
      <w:r>
        <w:rPr>
          <w:rFonts w:hint="eastAsia" w:ascii="仿宋_GB2312" w:hAnsi="仿宋_GB2312" w:eastAsia="仿宋_GB2312" w:cs="仿宋_GB2312"/>
          <w:color w:val="000000" w:themeColor="text1"/>
          <w:sz w:val="32"/>
          <w:szCs w:val="32"/>
          <w14:textFill>
            <w14:solidFill>
              <w14:schemeClr w14:val="tx1"/>
            </w14:solidFill>
          </w14:textFill>
        </w:rPr>
        <w:t>资金</w:t>
      </w:r>
      <w:r>
        <w:rPr>
          <w:rFonts w:ascii="仿宋_GB2312" w:hAnsi="仿宋_GB2312" w:eastAsia="仿宋_GB2312" w:cs="仿宋_GB2312"/>
          <w:color w:val="000000" w:themeColor="text1"/>
          <w:sz w:val="32"/>
          <w:szCs w:val="32"/>
          <w14:textFill>
            <w14:solidFill>
              <w14:schemeClr w14:val="tx1"/>
            </w14:solidFill>
          </w14:textFill>
        </w:rPr>
        <w:t>。</w:t>
      </w:r>
    </w:p>
    <w:p w14:paraId="56FF3C41">
      <w:pPr>
        <w:pStyle w:val="6"/>
        <w:pageBreakBefore w:val="0"/>
        <w:widowControl w:val="0"/>
        <w:kinsoku/>
        <w:wordWrap/>
        <w:overflowPunct/>
        <w:topLinePunct w:val="0"/>
        <w:autoSpaceDE/>
        <w:autoSpaceDN/>
        <w:bidi w:val="0"/>
        <w:spacing w:line="560" w:lineRule="exact"/>
        <w:ind w:firstLine="643"/>
        <w:textAlignment w:val="auto"/>
        <w:rPr>
          <w:rFonts w:hint="eastAsia" w:ascii="楷体_GB2312" w:hAnsi="楷体_GB2312"/>
          <w:color w:val="000000" w:themeColor="text1"/>
          <w14:textFill>
            <w14:solidFill>
              <w14:schemeClr w14:val="tx1"/>
            </w14:solidFill>
          </w14:textFill>
        </w:rPr>
      </w:pPr>
      <w:r>
        <w:rPr>
          <w:rFonts w:hint="eastAsia" w:ascii="楷体_GB2312" w:hAnsi="楷体_GB2312"/>
          <w:color w:val="000000" w:themeColor="text1"/>
          <w14:textFill>
            <w14:solidFill>
              <w14:schemeClr w14:val="tx1"/>
            </w14:solidFill>
          </w14:textFill>
        </w:rPr>
        <w:t xml:space="preserve">第十二条 </w:t>
      </w:r>
      <w:r>
        <w:rPr>
          <w:rFonts w:ascii="楷体_GB2312" w:hAnsi="楷体_GB2312"/>
          <w:color w:val="000000" w:themeColor="text1"/>
          <w14:textFill>
            <w14:solidFill>
              <w14:schemeClr w14:val="tx1"/>
            </w14:solidFill>
          </w14:textFill>
        </w:rPr>
        <w:t>支持</w:t>
      </w:r>
      <w:r>
        <w:rPr>
          <w:rFonts w:hint="eastAsia" w:ascii="楷体_GB2312" w:hAnsi="楷体_GB2312"/>
          <w:color w:val="000000" w:themeColor="text1"/>
          <w14:textFill>
            <w14:solidFill>
              <w14:schemeClr w14:val="tx1"/>
            </w14:solidFill>
          </w14:textFill>
        </w:rPr>
        <w:t>合格境外有限合伙人（QFLP）落户</w:t>
      </w:r>
    </w:p>
    <w:p w14:paraId="3B910DE1">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14:textFill>
            <w14:solidFill>
              <w14:schemeClr w14:val="tx1"/>
            </w14:solidFill>
          </w14:textFill>
        </w:rPr>
        <w:t>支持合格境外有限合伙人（QFLP）发展，为企业发展壮大注入优质境外资本，</w:t>
      </w:r>
      <w:r>
        <w:rPr>
          <w:rFonts w:ascii="仿宋_GB2312" w:hAnsi="仿宋_GB2312" w:eastAsia="仿宋_GB2312"/>
          <w:color w:val="000000" w:themeColor="text1"/>
          <w:sz w:val="32"/>
          <w:szCs w:val="32"/>
          <w14:textFill>
            <w14:solidFill>
              <w14:schemeClr w14:val="tx1"/>
            </w14:solidFill>
          </w14:textFill>
        </w:rPr>
        <w:t>助推产业</w:t>
      </w:r>
      <w:r>
        <w:rPr>
          <w:rFonts w:hint="eastAsia" w:ascii="仿宋_GB2312" w:hAnsi="仿宋_GB2312" w:eastAsia="仿宋_GB2312"/>
          <w:color w:val="000000" w:themeColor="text1"/>
          <w:sz w:val="32"/>
          <w:szCs w:val="32"/>
          <w14:textFill>
            <w14:solidFill>
              <w14:schemeClr w14:val="tx1"/>
            </w14:solidFill>
          </w14:textFill>
        </w:rPr>
        <w:t>转型</w:t>
      </w:r>
      <w:r>
        <w:rPr>
          <w:rFonts w:ascii="仿宋_GB2312" w:hAnsi="仿宋_GB2312" w:eastAsia="仿宋_GB2312"/>
          <w:color w:val="000000" w:themeColor="text1"/>
          <w:sz w:val="32"/>
          <w:szCs w:val="32"/>
          <w14:textFill>
            <w14:solidFill>
              <w14:schemeClr w14:val="tx1"/>
            </w14:solidFill>
          </w14:textFill>
        </w:rPr>
        <w:t>升级</w:t>
      </w:r>
      <w:r>
        <w:rPr>
          <w:rFonts w:hint="eastAsia" w:ascii="仿宋_GB2312" w:hAnsi="仿宋_GB2312" w:eastAsia="仿宋_GB2312"/>
          <w:color w:val="000000" w:themeColor="text1"/>
          <w:sz w:val="32"/>
          <w:szCs w:val="32"/>
          <w14:textFill>
            <w14:solidFill>
              <w14:schemeClr w14:val="tx1"/>
            </w14:solidFill>
          </w14:textFill>
        </w:rPr>
        <w:t>。对新获得北京市合格境外有限合伙人（QFLP）试点资格的</w:t>
      </w:r>
      <w:r>
        <w:rPr>
          <w:rFonts w:ascii="仿宋_GB2312" w:hAnsi="仿宋_GB2312" w:eastAsia="仿宋_GB2312"/>
          <w:color w:val="000000" w:themeColor="text1"/>
          <w:sz w:val="32"/>
          <w:szCs w:val="32"/>
          <w14:textFill>
            <w14:solidFill>
              <w14:schemeClr w14:val="tx1"/>
            </w14:solidFill>
          </w14:textFill>
        </w:rPr>
        <w:t>基金管理公司</w:t>
      </w:r>
      <w:r>
        <w:rPr>
          <w:rFonts w:hint="eastAsia" w:ascii="仿宋_GB2312" w:hAnsi="仿宋_GB2312" w:eastAsia="仿宋_GB2312"/>
          <w:color w:val="000000" w:themeColor="text1"/>
          <w:sz w:val="32"/>
          <w:szCs w:val="32"/>
          <w14:textFill>
            <w14:solidFill>
              <w14:schemeClr w14:val="tx1"/>
            </w14:solidFill>
          </w14:textFill>
        </w:rPr>
        <w:t>，给予</w:t>
      </w:r>
      <w:r>
        <w:rPr>
          <w:rFonts w:ascii="仿宋_GB2312" w:hAnsi="仿宋_GB2312" w:eastAsia="仿宋_GB2312"/>
          <w:color w:val="000000" w:themeColor="text1"/>
          <w:sz w:val="32"/>
          <w:szCs w:val="32"/>
          <w14:textFill>
            <w14:solidFill>
              <w14:schemeClr w14:val="tx1"/>
            </w14:solidFill>
          </w14:textFill>
        </w:rPr>
        <w:t>100</w:t>
      </w:r>
      <w:r>
        <w:rPr>
          <w:rFonts w:hint="eastAsia" w:ascii="仿宋_GB2312" w:hAnsi="仿宋_GB2312" w:eastAsia="仿宋_GB2312"/>
          <w:color w:val="000000" w:themeColor="text1"/>
          <w:sz w:val="32"/>
          <w:szCs w:val="32"/>
          <w14:textFill>
            <w14:solidFill>
              <w14:schemeClr w14:val="tx1"/>
            </w14:solidFill>
          </w14:textFill>
        </w:rPr>
        <w:t>万元一次性奖励。对</w:t>
      </w:r>
      <w:r>
        <w:rPr>
          <w:rFonts w:ascii="仿宋_GB2312" w:hAnsi="仿宋_GB2312" w:eastAsia="仿宋_GB2312"/>
          <w:color w:val="000000" w:themeColor="text1"/>
          <w:sz w:val="32"/>
          <w:szCs w:val="32"/>
          <w14:textFill>
            <w14:solidFill>
              <w14:schemeClr w14:val="tx1"/>
            </w14:solidFill>
          </w14:textFill>
        </w:rPr>
        <w:t>依法完成中国证券投资基金业协会备案</w:t>
      </w:r>
      <w:r>
        <w:rPr>
          <w:rFonts w:hint="eastAsia" w:ascii="仿宋_GB2312" w:hAnsi="仿宋_GB2312" w:eastAsia="仿宋_GB2312"/>
          <w:color w:val="000000" w:themeColor="text1"/>
          <w:sz w:val="32"/>
          <w:szCs w:val="32"/>
          <w14:textFill>
            <w14:solidFill>
              <w14:schemeClr w14:val="tx1"/>
            </w14:solidFill>
          </w14:textFill>
        </w:rPr>
        <w:t>且在经开区实际经营</w:t>
      </w:r>
      <w:r>
        <w:rPr>
          <w:rFonts w:ascii="仿宋_GB2312" w:hAnsi="仿宋_GB2312" w:eastAsia="仿宋_GB2312"/>
          <w:color w:val="000000" w:themeColor="text1"/>
          <w:sz w:val="32"/>
          <w:szCs w:val="32"/>
          <w14:textFill>
            <w14:solidFill>
              <w14:schemeClr w14:val="tx1"/>
            </w14:solidFill>
          </w14:textFill>
        </w:rPr>
        <w:t>的</w:t>
      </w:r>
      <w:r>
        <w:rPr>
          <w:rFonts w:hint="eastAsia" w:ascii="仿宋_GB2312" w:hAnsi="仿宋_GB2312" w:eastAsia="仿宋_GB2312"/>
          <w:color w:val="000000" w:themeColor="text1"/>
          <w:sz w:val="32"/>
          <w:szCs w:val="32"/>
          <w14:textFill>
            <w14:solidFill>
              <w14:schemeClr w14:val="tx1"/>
            </w14:solidFill>
          </w14:textFill>
        </w:rPr>
        <w:t>QFLP基金产品，按基金产品规模实缴美元（或等值人民币）2000万美元（含）-5000万美元以下、5000万美元（含）-1亿美元、1亿美元（含）以上，分别给予一次性</w:t>
      </w:r>
      <w:r>
        <w:rPr>
          <w:rFonts w:ascii="仿宋_GB2312" w:hAnsi="仿宋_GB2312" w:eastAsia="仿宋_GB2312"/>
          <w:color w:val="000000" w:themeColor="text1"/>
          <w:sz w:val="32"/>
          <w:szCs w:val="32"/>
          <w14:textFill>
            <w14:solidFill>
              <w14:schemeClr w14:val="tx1"/>
            </w14:solidFill>
          </w14:textFill>
        </w:rPr>
        <w:t>50万</w:t>
      </w:r>
      <w:r>
        <w:rPr>
          <w:rFonts w:hint="eastAsia" w:ascii="仿宋_GB2312" w:hAnsi="仿宋_GB2312" w:eastAsia="仿宋_GB2312"/>
          <w:color w:val="000000" w:themeColor="text1"/>
          <w:sz w:val="32"/>
          <w:szCs w:val="32"/>
          <w14:textFill>
            <w14:solidFill>
              <w14:schemeClr w14:val="tx1"/>
            </w14:solidFill>
          </w14:textFill>
        </w:rPr>
        <w:t>元</w:t>
      </w:r>
      <w:r>
        <w:rPr>
          <w:rFonts w:ascii="仿宋_GB2312" w:hAnsi="仿宋_GB2312" w:eastAsia="仿宋_GB2312"/>
          <w:color w:val="000000" w:themeColor="text1"/>
          <w:sz w:val="32"/>
          <w:szCs w:val="32"/>
          <w14:textFill>
            <w14:solidFill>
              <w14:schemeClr w14:val="tx1"/>
            </w14:solidFill>
          </w14:textFill>
        </w:rPr>
        <w:t>、80万</w:t>
      </w:r>
      <w:r>
        <w:rPr>
          <w:rFonts w:hint="eastAsia" w:ascii="仿宋_GB2312" w:hAnsi="仿宋_GB2312" w:eastAsia="仿宋_GB2312"/>
          <w:color w:val="000000" w:themeColor="text1"/>
          <w:sz w:val="32"/>
          <w:szCs w:val="32"/>
          <w14:textFill>
            <w14:solidFill>
              <w14:schemeClr w14:val="tx1"/>
            </w14:solidFill>
          </w14:textFill>
        </w:rPr>
        <w:t>元</w:t>
      </w:r>
      <w:r>
        <w:rPr>
          <w:rFonts w:ascii="仿宋_GB2312" w:hAnsi="仿宋_GB2312" w:eastAsia="仿宋_GB2312"/>
          <w:color w:val="000000" w:themeColor="text1"/>
          <w:sz w:val="32"/>
          <w:szCs w:val="32"/>
          <w14:textFill>
            <w14:solidFill>
              <w14:schemeClr w14:val="tx1"/>
            </w14:solidFill>
          </w14:textFill>
        </w:rPr>
        <w:t>、100万元</w:t>
      </w:r>
      <w:r>
        <w:rPr>
          <w:rFonts w:hint="eastAsia" w:ascii="仿宋_GB2312" w:hAnsi="仿宋_GB2312" w:eastAsia="仿宋_GB2312"/>
          <w:color w:val="000000" w:themeColor="text1"/>
          <w:sz w:val="32"/>
          <w:szCs w:val="32"/>
          <w14:textFill>
            <w14:solidFill>
              <w14:schemeClr w14:val="tx1"/>
            </w14:solidFill>
          </w14:textFill>
        </w:rPr>
        <w:t>人民币</w:t>
      </w:r>
      <w:r>
        <w:rPr>
          <w:rFonts w:ascii="仿宋_GB2312" w:hAnsi="仿宋_GB2312" w:eastAsia="仿宋_GB2312"/>
          <w:color w:val="000000" w:themeColor="text1"/>
          <w:sz w:val="32"/>
          <w:szCs w:val="32"/>
          <w14:textFill>
            <w14:solidFill>
              <w14:schemeClr w14:val="tx1"/>
            </w14:solidFill>
          </w14:textFill>
        </w:rPr>
        <w:t>奖励。</w:t>
      </w:r>
      <w:r>
        <w:rPr>
          <w:rFonts w:ascii="仿宋_GB2312" w:hAnsi="仿宋_GB2312" w:eastAsia="仿宋_GB2312" w:cs="仿宋_GB2312"/>
          <w:color w:val="000000" w:themeColor="text1"/>
          <w:sz w:val="32"/>
          <w:szCs w:val="32"/>
          <w14:textFill>
            <w14:solidFill>
              <w14:schemeClr w14:val="tx1"/>
            </w14:solidFill>
          </w14:textFill>
        </w:rPr>
        <w:t>涉及</w:t>
      </w:r>
      <w:r>
        <w:rPr>
          <w:rFonts w:hint="eastAsia" w:ascii="仿宋_GB2312" w:hAnsi="仿宋_GB2312" w:eastAsia="仿宋_GB2312" w:cs="仿宋_GB2312"/>
          <w:color w:val="000000" w:themeColor="text1"/>
          <w:sz w:val="32"/>
          <w:szCs w:val="32"/>
          <w14:textFill>
            <w14:solidFill>
              <w14:schemeClr w14:val="tx1"/>
            </w14:solidFill>
          </w14:textFill>
        </w:rPr>
        <w:t>经开区</w:t>
      </w:r>
      <w:r>
        <w:rPr>
          <w:rFonts w:ascii="仿宋_GB2312" w:hAnsi="仿宋_GB2312" w:eastAsia="仿宋_GB2312" w:cs="仿宋_GB2312"/>
          <w:color w:val="000000" w:themeColor="text1"/>
          <w:sz w:val="32"/>
          <w:szCs w:val="32"/>
          <w14:textFill>
            <w14:solidFill>
              <w14:schemeClr w14:val="tx1"/>
            </w14:solidFill>
          </w14:textFill>
        </w:rPr>
        <w:t>政府引导基金、财政资金或国有资本参与出资的，应剔除上述</w:t>
      </w:r>
      <w:r>
        <w:rPr>
          <w:rFonts w:ascii="仿宋_GB2312" w:hAnsi="仿宋_GB2312" w:eastAsia="仿宋_GB2312"/>
          <w:color w:val="000000" w:themeColor="text1"/>
          <w:sz w:val="32"/>
          <w:szCs w:val="40"/>
          <w14:textFill>
            <w14:solidFill>
              <w14:schemeClr w14:val="tx1"/>
            </w14:solidFill>
          </w14:textFill>
        </w:rPr>
        <w:t>出资</w:t>
      </w:r>
      <w:r>
        <w:rPr>
          <w:rFonts w:ascii="仿宋_GB2312" w:hAnsi="仿宋_GB2312" w:eastAsia="仿宋_GB2312" w:cs="仿宋_GB2312"/>
          <w:color w:val="000000" w:themeColor="text1"/>
          <w:sz w:val="32"/>
          <w:szCs w:val="32"/>
          <w14:textFill>
            <w14:solidFill>
              <w14:schemeClr w14:val="tx1"/>
            </w14:solidFill>
          </w14:textFill>
        </w:rPr>
        <w:t>部分的投资额</w:t>
      </w:r>
      <w:r>
        <w:rPr>
          <w:rFonts w:hint="eastAsia" w:ascii="仿宋_GB2312" w:hAnsi="仿宋_GB2312" w:eastAsia="仿宋_GB2312" w:cs="仿宋_GB2312"/>
          <w:color w:val="000000" w:themeColor="text1"/>
          <w:sz w:val="32"/>
          <w:szCs w:val="32"/>
          <w14:textFill>
            <w14:solidFill>
              <w14:schemeClr w14:val="tx1"/>
            </w14:solidFill>
          </w14:textFill>
        </w:rPr>
        <w:t>后，</w:t>
      </w:r>
      <w:r>
        <w:rPr>
          <w:rFonts w:ascii="仿宋_GB2312" w:hAnsi="仿宋_GB2312" w:eastAsia="仿宋_GB2312" w:cs="仿宋_GB2312"/>
          <w:color w:val="000000" w:themeColor="text1"/>
          <w:sz w:val="32"/>
          <w:szCs w:val="32"/>
          <w14:textFill>
            <w14:solidFill>
              <w14:schemeClr w14:val="tx1"/>
            </w14:solidFill>
          </w14:textFill>
        </w:rPr>
        <w:t>再行计算奖励</w:t>
      </w:r>
      <w:r>
        <w:rPr>
          <w:rFonts w:hint="eastAsia" w:ascii="仿宋_GB2312" w:hAnsi="仿宋_GB2312" w:eastAsia="仿宋_GB2312" w:cs="仿宋_GB2312"/>
          <w:color w:val="000000" w:themeColor="text1"/>
          <w:sz w:val="32"/>
          <w:szCs w:val="32"/>
          <w14:textFill>
            <w14:solidFill>
              <w14:schemeClr w14:val="tx1"/>
            </w14:solidFill>
          </w14:textFill>
        </w:rPr>
        <w:t>资金</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olor w:val="000000" w:themeColor="text1"/>
          <w:sz w:val="32"/>
          <w:szCs w:val="32"/>
          <w14:textFill>
            <w14:solidFill>
              <w14:schemeClr w14:val="tx1"/>
            </w14:solidFill>
          </w14:textFill>
        </w:rPr>
        <w:t>本条</w:t>
      </w:r>
      <w:r>
        <w:rPr>
          <w:rFonts w:hint="eastAsia" w:ascii="仿宋_GB2312" w:hAnsi="仿宋_GB2312" w:eastAsia="仿宋_GB2312" w:cs="仿宋_GB2312"/>
          <w:color w:val="000000" w:themeColor="text1"/>
          <w:sz w:val="32"/>
          <w:szCs w:val="32"/>
          <w14:textFill>
            <w14:solidFill>
              <w14:schemeClr w14:val="tx1"/>
            </w14:solidFill>
          </w14:textFill>
        </w:rPr>
        <w:t>内容</w:t>
      </w:r>
      <w:r>
        <w:rPr>
          <w:rFonts w:hint="eastAsia" w:ascii="仿宋_GB2312" w:hAnsi="仿宋_GB2312" w:eastAsia="仿宋_GB2312"/>
          <w:color w:val="000000" w:themeColor="text1"/>
          <w:sz w:val="32"/>
          <w:szCs w:val="32"/>
          <w14:textFill>
            <w14:solidFill>
              <w14:schemeClr w14:val="tx1"/>
            </w14:solidFill>
          </w14:textFill>
        </w:rPr>
        <w:t>与第十五条</w:t>
      </w:r>
      <w:r>
        <w:rPr>
          <w:rFonts w:hint="eastAsia" w:ascii="仿宋_GB2312" w:hAnsi="仿宋_GB2312" w:eastAsia="仿宋_GB2312" w:cs="仿宋_GB2312"/>
          <w:color w:val="000000" w:themeColor="text1"/>
          <w:sz w:val="32"/>
          <w:szCs w:val="32"/>
          <w14:textFill>
            <w14:solidFill>
              <w14:schemeClr w14:val="tx1"/>
            </w14:solidFill>
          </w14:textFill>
        </w:rPr>
        <w:t>按“就高不重复”原则执行。</w:t>
      </w:r>
    </w:p>
    <w:p w14:paraId="53689C7F">
      <w:pPr>
        <w:pStyle w:val="5"/>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（三）支持金融机构高质量发展</w:t>
      </w:r>
    </w:p>
    <w:p w14:paraId="639A1D3D">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第十三条 支持持牌法人金融机构扩大业务规模</w:t>
      </w:r>
    </w:p>
    <w:p w14:paraId="56DED305">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14:textFill>
            <w14:solidFill>
              <w14:schemeClr w14:val="tx1"/>
            </w14:solidFill>
          </w14:textFill>
        </w:rPr>
        <w:t>引导持牌法人金融机构围绕经开区金融发展导向，加大对重大战略、重点领域支持力度，加强金融与产业深度融合发展，为区域经济高质量发展提供有力支撑。银行、汽车金融、财务公司、金融租赁等银行业法人机构（统计代码66），落户</w:t>
      </w:r>
      <w:r>
        <w:rPr>
          <w:rFonts w:hint="eastAsia" w:ascii="仿宋_GB2312" w:hAnsi="仿宋_GB2312" w:eastAsia="仿宋_GB2312"/>
          <w:color w:val="000000" w:themeColor="text1"/>
          <w:sz w:val="32"/>
          <w:szCs w:val="40"/>
          <w14:textFill>
            <w14:solidFill>
              <w14:schemeClr w14:val="tx1"/>
            </w14:solidFill>
          </w14:textFill>
        </w:rPr>
        <w:t>当年</w:t>
      </w:r>
      <w:r>
        <w:rPr>
          <w:rFonts w:hint="eastAsia" w:ascii="仿宋_GB2312" w:hAnsi="仿宋_GB2312" w:eastAsia="仿宋_GB2312"/>
          <w:color w:val="000000" w:themeColor="text1"/>
          <w:sz w:val="32"/>
          <w:szCs w:val="32"/>
          <w14:textFill>
            <w14:solidFill>
              <w14:schemeClr w14:val="tx1"/>
            </w14:solidFill>
          </w14:textFill>
        </w:rPr>
        <w:t>的营业收入达到5亿元以上且正增长的，按当年营业收入的0.5%，给予最高1000万元的一次性奖励。证券公司、公募基金、基金销售等证券业法人机构（统计代码67），落户当年的证券交易额达500亿元以上且正增长的，按当年营业收入的1%，给予最高500万元的一次性奖励。保险公司、保险经纪、保险代理等保险业法人机构（统计代码68），落户当年的保费收入规模200亿元以上且正增长的，按当年营业收入的0.5%，给予最高300万元的一次性奖励。</w:t>
      </w:r>
    </w:p>
    <w:p w14:paraId="041B51A7">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第十四条 支持各类金融机构提升业务增速</w:t>
      </w:r>
    </w:p>
    <w:p w14:paraId="6D4BE88C">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14:textFill>
            <w14:solidFill>
              <w14:schemeClr w14:val="tx1"/>
            </w14:solidFill>
          </w14:textFill>
        </w:rPr>
        <w:t>鼓励各类金融机构精准对接产业需求，创新金融产品和服务模式。畅通金融机构展业渠道，鼓励各类金融机构探索创新业务发展路径。</w:t>
      </w:r>
      <w:r>
        <w:rPr>
          <w:rFonts w:ascii="仿宋_GB2312" w:hAnsi="仿宋_GB2312" w:eastAsia="仿宋_GB2312"/>
          <w:color w:val="000000" w:themeColor="text1"/>
          <w:sz w:val="32"/>
          <w:szCs w:val="32"/>
          <w14:textFill>
            <w14:solidFill>
              <w14:schemeClr w14:val="tx1"/>
            </w14:solidFill>
          </w14:textFill>
        </w:rPr>
        <w:t>对符合本措施奖励对象的所有金融类机构（统计代码66、67、68、69开头），全年营业收入5000万元以下、增速18%（含）以上，按年度营业收入增量部分的2%给予支持；全年营业收入达5000万元（含）以上、增速15%（含）以上，按年度营业收入增量部分的2%给予支持；单家机构每年最高支持金额200万元。同一系统内的机构，在经开区存在上下级关系，只给予上级机构业务增速奖励。</w:t>
      </w:r>
      <w:r>
        <w:rPr>
          <w:rFonts w:hint="eastAsia" w:ascii="仿宋_GB2312" w:hAnsi="仿宋_GB2312" w:eastAsia="仿宋_GB2312"/>
          <w:color w:val="000000" w:themeColor="text1"/>
          <w:sz w:val="32"/>
          <w:szCs w:val="32"/>
          <w14:textFill>
            <w14:solidFill>
              <w14:schemeClr w14:val="tx1"/>
            </w14:solidFill>
          </w14:textFill>
        </w:rPr>
        <w:t>本条</w:t>
      </w:r>
      <w:r>
        <w:rPr>
          <w:rFonts w:hint="eastAsia" w:ascii="仿宋_GB2312" w:hAnsi="仿宋_GB2312" w:eastAsia="仿宋_GB2312" w:cs="仿宋_GB2312"/>
          <w:color w:val="000000" w:themeColor="text1"/>
          <w:sz w:val="32"/>
          <w:szCs w:val="32"/>
          <w14:textFill>
            <w14:solidFill>
              <w14:schemeClr w14:val="tx1"/>
            </w14:solidFill>
          </w14:textFill>
        </w:rPr>
        <w:t>内容</w:t>
      </w:r>
      <w:r>
        <w:rPr>
          <w:rFonts w:hint="eastAsia" w:ascii="仿宋_GB2312" w:hAnsi="仿宋_GB2312" w:eastAsia="仿宋_GB2312"/>
          <w:color w:val="000000" w:themeColor="text1"/>
          <w:sz w:val="32"/>
          <w:szCs w:val="32"/>
          <w14:textFill>
            <w14:solidFill>
              <w14:schemeClr w14:val="tx1"/>
            </w14:solidFill>
          </w14:textFill>
        </w:rPr>
        <w:t>与第三条、第八条</w:t>
      </w:r>
      <w:r>
        <w:rPr>
          <w:rFonts w:hint="eastAsia" w:ascii="仿宋_GB2312" w:hAnsi="仿宋_GB2312" w:eastAsia="仿宋_GB2312" w:cs="仿宋_GB2312"/>
          <w:color w:val="000000" w:themeColor="text1"/>
          <w:sz w:val="32"/>
          <w:szCs w:val="32"/>
          <w14:textFill>
            <w14:solidFill>
              <w14:schemeClr w14:val="tx1"/>
            </w14:solidFill>
          </w14:textFill>
        </w:rPr>
        <w:t>按“就高不重复”原则执行。</w:t>
      </w:r>
    </w:p>
    <w:p w14:paraId="66EBE638">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第十五条 支持投早投小投硬科技</w:t>
      </w:r>
    </w:p>
    <w:p w14:paraId="7372FD44">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olor w:val="000000" w:themeColor="text1"/>
          <w:sz w:val="32"/>
          <w:szCs w:val="32"/>
          <w14:textFill>
            <w14:solidFill>
              <w14:schemeClr w14:val="tx1"/>
            </w14:solidFill>
          </w14:textFill>
        </w:rPr>
        <w:t>推动发展耐心资本，</w:t>
      </w:r>
      <w:r>
        <w:rPr>
          <w:rFonts w:ascii="仿宋_GB2312" w:hAnsi="仿宋_GB2312" w:eastAsia="仿宋_GB2312"/>
          <w:color w:val="000000" w:themeColor="text1"/>
          <w:sz w:val="32"/>
          <w:szCs w:val="32"/>
          <w14:textFill>
            <w14:solidFill>
              <w14:schemeClr w14:val="tx1"/>
            </w14:solidFill>
          </w14:textFill>
        </w:rPr>
        <w:t>培育天使投资人、天使投资基金、天使+孵化等各类市场主体</w:t>
      </w:r>
      <w:r>
        <w:rPr>
          <w:rFonts w:hint="eastAsia" w:ascii="仿宋_GB2312" w:hAnsi="仿宋_GB2312" w:eastAsia="仿宋_GB2312"/>
          <w:color w:val="000000" w:themeColor="text1"/>
          <w:sz w:val="32"/>
          <w:szCs w:val="32"/>
          <w14:textFill>
            <w14:solidFill>
              <w14:schemeClr w14:val="tx1"/>
            </w14:solidFill>
          </w14:textFill>
        </w:rPr>
        <w:t>。鼓励加大投早、投小、投长期、投硬科技，长期支持陪伴科技创新企业成长壮大。鼓励</w:t>
      </w:r>
      <w:r>
        <w:rPr>
          <w:rFonts w:ascii="仿宋_GB2312" w:hAnsi="仿宋_GB2312" w:eastAsia="仿宋_GB2312"/>
          <w:color w:val="000000" w:themeColor="text1"/>
          <w:sz w:val="32"/>
          <w:szCs w:val="32"/>
          <w14:textFill>
            <w14:solidFill>
              <w14:schemeClr w14:val="tx1"/>
            </w14:solidFill>
          </w14:textFill>
        </w:rPr>
        <w:t>风投创投机构</w:t>
      </w:r>
      <w:r>
        <w:rPr>
          <w:rFonts w:hint="eastAsia" w:ascii="仿宋_GB2312" w:hAnsi="仿宋_GB2312" w:eastAsia="仿宋_GB2312"/>
          <w:color w:val="000000" w:themeColor="text1"/>
          <w:sz w:val="32"/>
          <w:szCs w:val="32"/>
          <w14:textFill>
            <w14:solidFill>
              <w14:schemeClr w14:val="tx1"/>
            </w14:solidFill>
          </w14:textFill>
        </w:rPr>
        <w:t>投资初创型企业，自投资划款之日起满</w:t>
      </w:r>
      <w:r>
        <w:rPr>
          <w:rFonts w:ascii="仿宋_GB2312" w:hAnsi="仿宋_GB2312" w:eastAsia="仿宋_GB2312"/>
          <w:color w:val="000000" w:themeColor="text1"/>
          <w:sz w:val="32"/>
          <w:szCs w:val="32"/>
          <w14:textFill>
            <w14:solidFill>
              <w14:schemeClr w14:val="tx1"/>
            </w14:solidFill>
          </w14:textFill>
        </w:rPr>
        <w:t>2年的</w:t>
      </w:r>
      <w:r>
        <w:rPr>
          <w:rFonts w:hint="eastAsia" w:ascii="仿宋_GB2312" w:hAnsi="仿宋_GB2312" w:eastAsia="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投资</w:t>
      </w:r>
      <w:r>
        <w:rPr>
          <w:rFonts w:hint="eastAsia" w:ascii="仿宋_GB2312" w:hAnsi="仿宋_GB2312" w:eastAsia="仿宋_GB2312"/>
          <w:color w:val="000000" w:themeColor="text1"/>
          <w:sz w:val="32"/>
          <w:szCs w:val="32"/>
          <w14:textFill>
            <w14:solidFill>
              <w14:schemeClr w14:val="tx1"/>
            </w14:solidFill>
          </w14:textFill>
        </w:rPr>
        <w:t>划款日在政策有效期内的，兑现期直至满2年止）</w:t>
      </w:r>
      <w:r>
        <w:rPr>
          <w:rFonts w:ascii="仿宋_GB2312" w:hAnsi="仿宋_GB2312" w:eastAsia="仿宋_GB2312"/>
          <w:color w:val="000000" w:themeColor="text1"/>
          <w:sz w:val="32"/>
          <w:szCs w:val="32"/>
          <w14:textFill>
            <w14:solidFill>
              <w14:schemeClr w14:val="tx1"/>
            </w14:solidFill>
          </w14:textFill>
        </w:rPr>
        <w:t>，</w:t>
      </w:r>
      <w:bookmarkStart w:id="1" w:name="_Hlk184582472"/>
      <w:r>
        <w:rPr>
          <w:rFonts w:hint="eastAsia" w:ascii="仿宋_GB2312" w:hAnsi="仿宋_GB2312" w:eastAsia="仿宋_GB2312"/>
          <w:color w:val="000000" w:themeColor="text1"/>
          <w:sz w:val="32"/>
          <w:szCs w:val="32"/>
          <w14:textFill>
            <w14:solidFill>
              <w14:schemeClr w14:val="tx1"/>
            </w14:solidFill>
          </w14:textFill>
        </w:rPr>
        <w:t>经评定，</w:t>
      </w:r>
      <w:bookmarkEnd w:id="1"/>
      <w:r>
        <w:rPr>
          <w:rFonts w:hint="eastAsia" w:ascii="仿宋_GB2312" w:hAnsi="仿宋_GB2312" w:eastAsia="仿宋_GB2312" w:cs="仿宋_GB2312"/>
          <w:color w:val="000000" w:themeColor="text1"/>
          <w:sz w:val="32"/>
          <w:szCs w:val="32"/>
          <w14:textFill>
            <w14:solidFill>
              <w14:schemeClr w14:val="tx1"/>
            </w14:solidFill>
          </w14:textFill>
        </w:rPr>
        <w:t>对实体企业带动作用较强的</w:t>
      </w:r>
      <w:r>
        <w:rPr>
          <w:rFonts w:hint="eastAsia" w:ascii="仿宋_GB2312" w:hAnsi="仿宋_GB2312" w:eastAsia="仿宋_GB2312"/>
          <w:color w:val="000000" w:themeColor="text1"/>
          <w:sz w:val="32"/>
          <w:szCs w:val="32"/>
          <w14:textFill>
            <w14:solidFill>
              <w14:schemeClr w14:val="tx1"/>
            </w14:solidFill>
          </w14:textFill>
        </w:rPr>
        <w:t>，按</w:t>
      </w:r>
      <w:r>
        <w:rPr>
          <w:rFonts w:ascii="仿宋_GB2312" w:hAnsi="仿宋_GB2312" w:eastAsia="仿宋_GB2312"/>
          <w:color w:val="000000" w:themeColor="text1"/>
          <w:sz w:val="32"/>
          <w:szCs w:val="32"/>
          <w14:textFill>
            <w14:solidFill>
              <w14:schemeClr w14:val="tx1"/>
            </w14:solidFill>
          </w14:textFill>
        </w:rPr>
        <w:t>照实际投资金额的2%（仅限首次投资）给予管理企业单个项目最高</w:t>
      </w:r>
      <w:r>
        <w:rPr>
          <w:rFonts w:hint="eastAsia" w:ascii="仿宋_GB2312" w:hAnsi="仿宋_GB2312" w:eastAsia="仿宋_GB2312"/>
          <w:color w:val="000000" w:themeColor="text1"/>
          <w:sz w:val="32"/>
          <w:szCs w:val="32"/>
          <w14:textFill>
            <w14:solidFill>
              <w14:schemeClr w14:val="tx1"/>
            </w14:solidFill>
          </w14:textFill>
        </w:rPr>
        <w:t>50</w:t>
      </w:r>
      <w:r>
        <w:rPr>
          <w:rFonts w:ascii="仿宋_GB2312" w:hAnsi="仿宋_GB2312" w:eastAsia="仿宋_GB2312"/>
          <w:color w:val="000000" w:themeColor="text1"/>
          <w:sz w:val="32"/>
          <w:szCs w:val="32"/>
          <w14:textFill>
            <w14:solidFill>
              <w14:schemeClr w14:val="tx1"/>
            </w14:solidFill>
          </w14:textFill>
        </w:rPr>
        <w:t>万元奖励。每家机构每年累计奖励金额</w:t>
      </w:r>
      <w:r>
        <w:rPr>
          <w:rFonts w:hint="eastAsia" w:ascii="仿宋_GB2312" w:hAnsi="仿宋_GB2312" w:eastAsia="仿宋_GB2312"/>
          <w:color w:val="000000" w:themeColor="text1"/>
          <w:sz w:val="32"/>
          <w:szCs w:val="32"/>
          <w14:textFill>
            <w14:solidFill>
              <w14:schemeClr w14:val="tx1"/>
            </w14:solidFill>
          </w14:textFill>
        </w:rPr>
        <w:t>最高</w:t>
      </w:r>
      <w:r>
        <w:rPr>
          <w:rFonts w:ascii="仿宋_GB2312" w:hAnsi="仿宋_GB2312" w:eastAsia="仿宋_GB2312"/>
          <w:color w:val="000000" w:themeColor="text1"/>
          <w:sz w:val="32"/>
          <w:szCs w:val="32"/>
          <w14:textFill>
            <w14:solidFill>
              <w14:schemeClr w14:val="tx1"/>
            </w14:solidFill>
          </w14:textFill>
        </w:rPr>
        <w:t>不超过2</w:t>
      </w:r>
      <w:r>
        <w:rPr>
          <w:rFonts w:hint="eastAsia" w:ascii="仿宋_GB2312" w:hAnsi="仿宋_GB2312" w:eastAsia="仿宋_GB2312"/>
          <w:color w:val="000000" w:themeColor="text1"/>
          <w:sz w:val="32"/>
          <w:szCs w:val="32"/>
          <w14:textFill>
            <w14:solidFill>
              <w14:schemeClr w14:val="tx1"/>
            </w14:solidFill>
          </w14:textFill>
        </w:rPr>
        <w:t>00</w:t>
      </w:r>
      <w:r>
        <w:rPr>
          <w:rFonts w:ascii="仿宋_GB2312" w:hAnsi="仿宋_GB2312" w:eastAsia="仿宋_GB2312"/>
          <w:color w:val="000000" w:themeColor="text1"/>
          <w:sz w:val="32"/>
          <w:szCs w:val="32"/>
          <w14:textFill>
            <w14:solidFill>
              <w14:schemeClr w14:val="tx1"/>
            </w14:solidFill>
          </w14:textFill>
        </w:rPr>
        <w:t>万元</w:t>
      </w:r>
      <w:r>
        <w:rPr>
          <w:rFonts w:hint="eastAsia" w:ascii="仿宋_GB2312" w:hAnsi="仿宋_GB2312" w:eastAsia="仿宋_GB2312" w:cs="仿宋_GB2312"/>
          <w:color w:val="000000" w:themeColor="text1"/>
          <w:sz w:val="32"/>
          <w:szCs w:val="32"/>
          <w14:textFill>
            <w14:solidFill>
              <w14:schemeClr w14:val="tx1"/>
            </w14:solidFill>
          </w14:textFill>
        </w:rPr>
        <w:t>。</w:t>
      </w:r>
      <w:r>
        <w:rPr>
          <w:rFonts w:ascii="仿宋_GB2312" w:hAnsi="仿宋_GB2312" w:eastAsia="仿宋_GB2312" w:cs="仿宋_GB2312"/>
          <w:color w:val="000000" w:themeColor="text1"/>
          <w:sz w:val="32"/>
          <w:szCs w:val="32"/>
          <w14:textFill>
            <w14:solidFill>
              <w14:schemeClr w14:val="tx1"/>
            </w14:solidFill>
          </w14:textFill>
        </w:rPr>
        <w:t>涉及</w:t>
      </w:r>
      <w:r>
        <w:rPr>
          <w:rFonts w:hint="eastAsia" w:ascii="仿宋_GB2312" w:hAnsi="仿宋_GB2312" w:eastAsia="仿宋_GB2312" w:cs="仿宋_GB2312"/>
          <w:color w:val="000000" w:themeColor="text1"/>
          <w:sz w:val="32"/>
          <w:szCs w:val="32"/>
          <w14:textFill>
            <w14:solidFill>
              <w14:schemeClr w14:val="tx1"/>
            </w14:solidFill>
          </w14:textFill>
        </w:rPr>
        <w:t>经开区</w:t>
      </w:r>
      <w:r>
        <w:rPr>
          <w:rFonts w:ascii="仿宋_GB2312" w:hAnsi="仿宋_GB2312" w:eastAsia="仿宋_GB2312" w:cs="仿宋_GB2312"/>
          <w:color w:val="000000" w:themeColor="text1"/>
          <w:sz w:val="32"/>
          <w:szCs w:val="32"/>
          <w14:textFill>
            <w14:solidFill>
              <w14:schemeClr w14:val="tx1"/>
            </w14:solidFill>
          </w14:textFill>
        </w:rPr>
        <w:t>政府引导基金、财政资金或国有资本参与出资的，应剔除上述出资部分的投资额</w:t>
      </w:r>
      <w:r>
        <w:rPr>
          <w:rFonts w:hint="eastAsia" w:ascii="仿宋_GB2312" w:hAnsi="仿宋_GB2312" w:eastAsia="仿宋_GB2312" w:cs="仿宋_GB2312"/>
          <w:color w:val="000000" w:themeColor="text1"/>
          <w:sz w:val="32"/>
          <w:szCs w:val="32"/>
          <w14:textFill>
            <w14:solidFill>
              <w14:schemeClr w14:val="tx1"/>
            </w14:solidFill>
          </w14:textFill>
        </w:rPr>
        <w:t>后，</w:t>
      </w:r>
      <w:r>
        <w:rPr>
          <w:rFonts w:ascii="仿宋_GB2312" w:hAnsi="仿宋_GB2312" w:eastAsia="仿宋_GB2312" w:cs="仿宋_GB2312"/>
          <w:color w:val="000000" w:themeColor="text1"/>
          <w:sz w:val="32"/>
          <w:szCs w:val="32"/>
          <w14:textFill>
            <w14:solidFill>
              <w14:schemeClr w14:val="tx1"/>
            </w14:solidFill>
          </w14:textFill>
        </w:rPr>
        <w:t>再行计算奖励</w:t>
      </w:r>
      <w:r>
        <w:rPr>
          <w:rFonts w:hint="eastAsia" w:ascii="仿宋_GB2312" w:hAnsi="仿宋_GB2312" w:eastAsia="仿宋_GB2312" w:cs="仿宋_GB2312"/>
          <w:color w:val="000000" w:themeColor="text1"/>
          <w:sz w:val="32"/>
          <w:szCs w:val="32"/>
          <w14:textFill>
            <w14:solidFill>
              <w14:schemeClr w14:val="tx1"/>
            </w14:solidFill>
          </w14:textFill>
        </w:rPr>
        <w:t>资金。</w:t>
      </w:r>
    </w:p>
    <w:p w14:paraId="306B2DA5">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第十六条 支持创新“并购+”组合融资服务</w:t>
      </w:r>
    </w:p>
    <w:p w14:paraId="7F68976A">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32"/>
          <w14:textFill>
            <w14:solidFill>
              <w14:schemeClr w14:val="tx1"/>
            </w14:solidFill>
          </w14:textFill>
        </w:rPr>
      </w:pPr>
      <w:r>
        <w:rPr>
          <w:rFonts w:ascii="仿宋_GB2312" w:hAnsi="仿宋_GB2312" w:eastAsia="仿宋_GB2312"/>
          <w:color w:val="000000" w:themeColor="text1"/>
          <w:sz w:val="32"/>
          <w:szCs w:val="32"/>
          <w14:textFill>
            <w14:solidFill>
              <w14:schemeClr w14:val="tx1"/>
            </w14:solidFill>
          </w14:textFill>
        </w:rPr>
        <w:t>支持符合国家战略导向、突破关键核心技术、符合新质生产力发展方向的企业开展并购重组</w:t>
      </w:r>
      <w:r>
        <w:rPr>
          <w:rFonts w:hint="eastAsia" w:ascii="仿宋_GB2312" w:hAnsi="仿宋_GB2312" w:eastAsia="仿宋_GB2312"/>
          <w:color w:val="000000" w:themeColor="text1"/>
          <w:sz w:val="32"/>
          <w:szCs w:val="32"/>
          <w14:textFill>
            <w14:solidFill>
              <w14:schemeClr w14:val="tx1"/>
            </w14:solidFill>
          </w14:textFill>
        </w:rPr>
        <w:t>。鼓励金融机构为并购重组及后续运营提供并购贷款、并购保险、并购债券等金融工具，丰富并购重组融资渠道。</w:t>
      </w:r>
      <w:r>
        <w:rPr>
          <w:rFonts w:ascii="仿宋_GB2312" w:hAnsi="仿宋_GB2312" w:eastAsia="仿宋_GB2312"/>
          <w:color w:val="000000" w:themeColor="text1"/>
          <w:sz w:val="32"/>
          <w:szCs w:val="32"/>
          <w14:textFill>
            <w14:solidFill>
              <w14:schemeClr w14:val="tx1"/>
            </w14:solidFill>
          </w14:textFill>
        </w:rPr>
        <w:t>支持有能力的产业链“链主”企业开展企业风险投资（CVC）。</w:t>
      </w:r>
      <w:r>
        <w:rPr>
          <w:rFonts w:hint="eastAsia" w:ascii="仿宋_GB2312" w:hAnsi="仿宋_GB2312" w:eastAsia="仿宋_GB2312"/>
          <w:color w:val="000000" w:themeColor="text1"/>
          <w:sz w:val="32"/>
          <w:szCs w:val="32"/>
          <w14:textFill>
            <w14:solidFill>
              <w14:schemeClr w14:val="tx1"/>
            </w14:solidFill>
          </w14:textFill>
        </w:rPr>
        <w:t>支持上市公司开展并购业务，</w:t>
      </w:r>
      <w:r>
        <w:rPr>
          <w:rFonts w:ascii="仿宋_GB2312" w:hAnsi="仿宋_GB2312" w:eastAsia="仿宋_GB2312"/>
          <w:color w:val="000000" w:themeColor="text1"/>
          <w:sz w:val="32"/>
          <w:szCs w:val="32"/>
          <w14:textFill>
            <w14:solidFill>
              <w14:schemeClr w14:val="tx1"/>
            </w14:solidFill>
          </w14:textFill>
        </w:rPr>
        <w:t>并购投资1亿元以上且与银行签订并购贷款合同的</w:t>
      </w:r>
      <w:r>
        <w:rPr>
          <w:rFonts w:hint="eastAsia" w:ascii="仿宋_GB2312" w:hAnsi="仿宋_GB2312" w:eastAsia="仿宋_GB2312"/>
          <w:color w:val="000000" w:themeColor="text1"/>
          <w:sz w:val="32"/>
          <w:szCs w:val="32"/>
          <w14:textFill>
            <w14:solidFill>
              <w14:schemeClr w14:val="tx1"/>
            </w14:solidFill>
          </w14:textFill>
        </w:rPr>
        <w:t>上市公司，按实际</w:t>
      </w:r>
      <w:r>
        <w:rPr>
          <w:rFonts w:ascii="仿宋_GB2312" w:hAnsi="仿宋_GB2312" w:eastAsia="仿宋_GB2312"/>
          <w:color w:val="000000" w:themeColor="text1"/>
          <w:sz w:val="32"/>
          <w:szCs w:val="32"/>
          <w14:textFill>
            <w14:solidFill>
              <w14:schemeClr w14:val="tx1"/>
            </w14:solidFill>
          </w14:textFill>
        </w:rPr>
        <w:t>支付利息的25%给予贴息支持。单户企业每年最高</w:t>
      </w:r>
      <w:r>
        <w:rPr>
          <w:rFonts w:hint="eastAsia" w:ascii="仿宋_GB2312" w:hAnsi="仿宋_GB2312" w:eastAsia="仿宋_GB2312"/>
          <w:color w:val="000000" w:themeColor="text1"/>
          <w:sz w:val="32"/>
          <w:szCs w:val="32"/>
          <w14:textFill>
            <w14:solidFill>
              <w14:schemeClr w14:val="tx1"/>
            </w14:solidFill>
          </w14:textFill>
        </w:rPr>
        <w:t>支持金额</w:t>
      </w:r>
      <w:r>
        <w:rPr>
          <w:rFonts w:ascii="仿宋_GB2312" w:hAnsi="仿宋_GB2312" w:eastAsia="仿宋_GB2312"/>
          <w:color w:val="000000" w:themeColor="text1"/>
          <w:sz w:val="32"/>
          <w:szCs w:val="32"/>
          <w14:textFill>
            <w14:solidFill>
              <w14:schemeClr w14:val="tx1"/>
            </w14:solidFill>
          </w14:textFill>
        </w:rPr>
        <w:t>300万元</w:t>
      </w:r>
      <w:r>
        <w:rPr>
          <w:rFonts w:hint="eastAsia" w:ascii="仿宋_GB2312" w:hAnsi="仿宋_GB2312" w:eastAsia="仿宋_GB2312"/>
          <w:color w:val="000000" w:themeColor="text1"/>
          <w:sz w:val="32"/>
          <w:szCs w:val="32"/>
          <w14:textFill>
            <w14:solidFill>
              <w14:schemeClr w14:val="tx1"/>
            </w14:solidFill>
          </w14:textFill>
        </w:rPr>
        <w:t>。</w:t>
      </w:r>
    </w:p>
    <w:p w14:paraId="046DE9A4">
      <w:pPr>
        <w:pStyle w:val="5"/>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（四）优化金融发展生态环境</w:t>
      </w:r>
    </w:p>
    <w:p w14:paraId="4D36EBBF">
      <w:pPr>
        <w:pStyle w:val="6"/>
        <w:pageBreakBefore w:val="0"/>
        <w:widowControl w:val="0"/>
        <w:kinsoku/>
        <w:wordWrap/>
        <w:overflowPunct/>
        <w:topLinePunct w:val="0"/>
        <w:autoSpaceDE/>
        <w:autoSpaceDN/>
        <w:bidi w:val="0"/>
        <w:spacing w:line="560" w:lineRule="exact"/>
        <w:ind w:firstLine="643"/>
        <w:textAlignment w:val="auto"/>
        <w:rPr>
          <w:rFonts w:hint="eastAsia" w:ascii="仿宋_GB2312" w:hAnsi="仿宋_GB2312"/>
          <w:color w:val="000000" w:themeColor="text1"/>
          <w:szCs w:val="40"/>
          <w14:textFill>
            <w14:solidFill>
              <w14:schemeClr w14:val="tx1"/>
            </w14:solidFill>
          </w14:textFill>
        </w:rPr>
      </w:pPr>
      <w:r>
        <w:rPr>
          <w:rFonts w:hint="eastAsia"/>
          <w:color w:val="000000" w:themeColor="text1"/>
          <w14:textFill>
            <w14:solidFill>
              <w14:schemeClr w14:val="tx1"/>
            </w14:solidFill>
          </w14:textFill>
        </w:rPr>
        <w:t>第十七条 支持引进</w:t>
      </w:r>
      <w:r>
        <w:rPr>
          <w:color w:val="000000" w:themeColor="text1"/>
          <w14:textFill>
            <w14:solidFill>
              <w14:schemeClr w14:val="tx1"/>
            </w14:solidFill>
          </w14:textFill>
        </w:rPr>
        <w:t>金融人才</w:t>
      </w:r>
    </w:p>
    <w:p w14:paraId="682D4FD4">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支持金融领域人才申报亦城人才认定，对经认定的人才创新创业提供资源要素体系支撑和高品质生活服务保障并实施专项奖励。</w:t>
      </w:r>
    </w:p>
    <w:p w14:paraId="6385407F">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第十八条 推动产业金融创新发展区</w:t>
      </w:r>
      <w:r>
        <w:rPr>
          <w:rFonts w:hint="eastAsia" w:ascii="仿宋_GB2312" w:hAnsi="楷体" w:cs="楷体"/>
          <w:color w:val="000000" w:themeColor="text1"/>
          <w14:textFill>
            <w14:solidFill>
              <w14:schemeClr w14:val="tx1"/>
            </w14:solidFill>
          </w14:textFill>
        </w:rPr>
        <w:t>建设</w:t>
      </w:r>
    </w:p>
    <w:p w14:paraId="4A85B4D5">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挂牌2</w:t>
      </w:r>
      <w:r>
        <w:rPr>
          <w:rFonts w:ascii="仿宋_GB2312" w:hAnsi="仿宋_GB2312" w:eastAsia="仿宋_GB2312"/>
          <w:color w:val="000000" w:themeColor="text1"/>
          <w:sz w:val="32"/>
          <w:szCs w:val="40"/>
          <w14:textFill>
            <w14:solidFill>
              <w14:schemeClr w14:val="tx1"/>
            </w14:solidFill>
          </w14:textFill>
        </w:rPr>
        <w:t>-3</w:t>
      </w:r>
      <w:r>
        <w:rPr>
          <w:rFonts w:hint="eastAsia" w:ascii="仿宋_GB2312" w:hAnsi="仿宋_GB2312" w:eastAsia="仿宋_GB2312"/>
          <w:color w:val="000000" w:themeColor="text1"/>
          <w:sz w:val="32"/>
          <w:szCs w:val="40"/>
          <w14:textFill>
            <w14:solidFill>
              <w14:schemeClr w14:val="tx1"/>
            </w14:solidFill>
          </w14:textFill>
        </w:rPr>
        <w:t>家金融产业园，</w:t>
      </w:r>
      <w:r>
        <w:rPr>
          <w:rFonts w:ascii="仿宋_GB2312" w:hAnsi="仿宋_GB2312" w:eastAsia="仿宋_GB2312"/>
          <w:color w:val="000000" w:themeColor="text1"/>
          <w:sz w:val="32"/>
          <w:szCs w:val="40"/>
          <w14:textFill>
            <w14:solidFill>
              <w14:schemeClr w14:val="tx1"/>
            </w14:solidFill>
          </w14:textFill>
        </w:rPr>
        <w:t>推动各类持牌金融机构、创投资本机构、科技金融企业集聚发展，</w:t>
      </w:r>
      <w:r>
        <w:rPr>
          <w:rFonts w:hint="eastAsia" w:ascii="仿宋_GB2312" w:hAnsi="仿宋_GB2312" w:eastAsia="仿宋_GB2312"/>
          <w:color w:val="000000" w:themeColor="text1"/>
          <w:sz w:val="32"/>
          <w:szCs w:val="40"/>
          <w14:textFill>
            <w14:solidFill>
              <w14:schemeClr w14:val="tx1"/>
            </w14:solidFill>
          </w14:textFill>
        </w:rPr>
        <w:t>强化</w:t>
      </w:r>
      <w:r>
        <w:rPr>
          <w:rFonts w:ascii="仿宋_GB2312" w:hAnsi="仿宋_GB2312" w:eastAsia="仿宋_GB2312"/>
          <w:color w:val="000000" w:themeColor="text1"/>
          <w:sz w:val="32"/>
          <w:szCs w:val="40"/>
          <w14:textFill>
            <w14:solidFill>
              <w14:schemeClr w14:val="tx1"/>
            </w14:solidFill>
          </w14:textFill>
        </w:rPr>
        <w:t>产业金融创新发展区</w:t>
      </w:r>
      <w:r>
        <w:rPr>
          <w:rFonts w:hint="eastAsia" w:ascii="仿宋_GB2312" w:hAnsi="仿宋_GB2312" w:eastAsia="仿宋_GB2312"/>
          <w:color w:val="000000" w:themeColor="text1"/>
          <w:sz w:val="32"/>
          <w:szCs w:val="40"/>
          <w14:textFill>
            <w14:solidFill>
              <w14:schemeClr w14:val="tx1"/>
            </w14:solidFill>
          </w14:textFill>
        </w:rPr>
        <w:t>载体支撑</w:t>
      </w:r>
      <w:r>
        <w:rPr>
          <w:rFonts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color w:val="000000" w:themeColor="text1"/>
          <w:sz w:val="32"/>
          <w:szCs w:val="40"/>
          <w14:textFill>
            <w14:solidFill>
              <w14:schemeClr w14:val="tx1"/>
            </w14:solidFill>
          </w14:textFill>
        </w:rPr>
        <w:t>探索成立经开区金融服务联盟，提供一体化金融服务</w:t>
      </w:r>
      <w:r>
        <w:rPr>
          <w:rFonts w:ascii="仿宋_GB2312" w:hAnsi="仿宋_GB2312" w:eastAsia="仿宋_GB2312"/>
          <w:color w:val="000000" w:themeColor="text1"/>
          <w:sz w:val="32"/>
          <w:szCs w:val="40"/>
          <w14:textFill>
            <w14:solidFill>
              <w14:schemeClr w14:val="tx1"/>
            </w14:solidFill>
          </w14:textFill>
        </w:rPr>
        <w:t>。加强金融领域数据资源开发利用，探索开展金融行业数据空间建设</w:t>
      </w:r>
      <w:r>
        <w:rPr>
          <w:rFonts w:hint="eastAsia" w:ascii="仿宋_GB2312" w:hAnsi="仿宋_GB2312" w:eastAsia="仿宋_GB2312"/>
          <w:color w:val="000000" w:themeColor="text1"/>
          <w:sz w:val="32"/>
          <w:szCs w:val="40"/>
          <w14:textFill>
            <w14:solidFill>
              <w14:schemeClr w14:val="tx1"/>
            </w14:solidFill>
          </w14:textFill>
        </w:rPr>
        <w:t>。支持</w:t>
      </w:r>
      <w:r>
        <w:rPr>
          <w:rFonts w:ascii="仿宋_GB2312" w:hAnsi="仿宋_GB2312" w:eastAsia="仿宋_GB2312"/>
          <w:color w:val="000000" w:themeColor="text1"/>
          <w:sz w:val="32"/>
          <w:szCs w:val="40"/>
          <w14:textFill>
            <w14:solidFill>
              <w14:schemeClr w14:val="tx1"/>
            </w14:solidFill>
          </w14:textFill>
        </w:rPr>
        <w:t>数据要素产业生态聚集</w:t>
      </w:r>
      <w:r>
        <w:rPr>
          <w:rFonts w:hint="eastAsia" w:ascii="仿宋_GB2312" w:hAnsi="仿宋_GB2312" w:eastAsia="仿宋_GB2312"/>
          <w:color w:val="000000" w:themeColor="text1"/>
          <w:sz w:val="32"/>
          <w:szCs w:val="40"/>
          <w14:textFill>
            <w14:solidFill>
              <w14:schemeClr w14:val="tx1"/>
            </w14:solidFill>
          </w14:textFill>
        </w:rPr>
        <w:t>，助力全市</w:t>
      </w:r>
      <w:r>
        <w:rPr>
          <w:rFonts w:ascii="仿宋_GB2312" w:hAnsi="仿宋_GB2312" w:eastAsia="仿宋_GB2312"/>
          <w:color w:val="000000" w:themeColor="text1"/>
          <w:sz w:val="32"/>
          <w:szCs w:val="40"/>
          <w14:textFill>
            <w14:solidFill>
              <w14:schemeClr w14:val="tx1"/>
            </w14:solidFill>
          </w14:textFill>
        </w:rPr>
        <w:t>数据基础制度先行区</w:t>
      </w:r>
      <w:r>
        <w:rPr>
          <w:rFonts w:hint="eastAsia" w:ascii="仿宋_GB2312" w:hAnsi="仿宋_GB2312" w:eastAsia="仿宋_GB2312"/>
          <w:color w:val="000000" w:themeColor="text1"/>
          <w:sz w:val="32"/>
          <w:szCs w:val="40"/>
          <w14:textFill>
            <w14:solidFill>
              <w14:schemeClr w14:val="tx1"/>
            </w14:solidFill>
          </w14:textFill>
        </w:rPr>
        <w:t>建设。</w:t>
      </w:r>
    </w:p>
    <w:p w14:paraId="5CE370A8">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第十九条</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强化金融资源统筹能力</w:t>
      </w:r>
    </w:p>
    <w:p w14:paraId="65984A8F">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联动各类金融机构，梳理企业融资需求，发挥经开区金融综合服务平台、畅融工程、千企万户大走访等机制作用，全年组织开展不少于20场次投融资对接会。充分发挥市区联动和服务企业上市机制的保障作用，深挖上市资源，持续做好多层次上市</w:t>
      </w:r>
      <w:r>
        <w:rPr>
          <w:rFonts w:ascii="仿宋_GB2312" w:hAnsi="仿宋_GB2312" w:eastAsia="仿宋_GB2312"/>
          <w:color w:val="000000" w:themeColor="text1"/>
          <w:sz w:val="32"/>
          <w:szCs w:val="40"/>
          <w14:textFill>
            <w14:solidFill>
              <w14:schemeClr w14:val="tx1"/>
            </w14:solidFill>
          </w14:textFill>
        </w:rPr>
        <w:t>企业梯队</w:t>
      </w:r>
      <w:r>
        <w:rPr>
          <w:rFonts w:hint="eastAsia" w:ascii="仿宋_GB2312" w:hAnsi="仿宋_GB2312" w:eastAsia="仿宋_GB2312"/>
          <w:color w:val="000000" w:themeColor="text1"/>
          <w:sz w:val="32"/>
          <w:szCs w:val="40"/>
          <w14:textFill>
            <w14:solidFill>
              <w14:schemeClr w14:val="tx1"/>
            </w14:solidFill>
          </w14:textFill>
        </w:rPr>
        <w:t>建设。</w:t>
      </w:r>
    </w:p>
    <w:p w14:paraId="76F6BC0E">
      <w:pPr>
        <w:pStyle w:val="6"/>
        <w:pageBreakBefore w:val="0"/>
        <w:widowControl w:val="0"/>
        <w:kinsoku/>
        <w:wordWrap/>
        <w:overflowPunct/>
        <w:topLinePunct w:val="0"/>
        <w:autoSpaceDE/>
        <w:autoSpaceDN/>
        <w:bidi w:val="0"/>
        <w:spacing w:line="560" w:lineRule="exact"/>
        <w:ind w:firstLine="643"/>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第二十条 增强金融风险防控能力</w:t>
      </w:r>
    </w:p>
    <w:p w14:paraId="17102F79">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ascii="仿宋_GB2312" w:hAnsi="仿宋_GB2312" w:eastAsia="仿宋_GB2312"/>
          <w:color w:val="000000" w:themeColor="text1"/>
          <w:sz w:val="32"/>
          <w:szCs w:val="40"/>
          <w14:textFill>
            <w14:solidFill>
              <w14:schemeClr w14:val="tx1"/>
            </w14:solidFill>
          </w14:textFill>
        </w:rPr>
        <w:t>强化金融风险监测预警能力，迭代升级风险监测预警平台</w:t>
      </w:r>
      <w:r>
        <w:rPr>
          <w:rFonts w:hint="eastAsia" w:ascii="仿宋_GB2312" w:hAnsi="仿宋_GB2312" w:eastAsia="仿宋_GB2312"/>
          <w:color w:val="000000" w:themeColor="text1"/>
          <w:sz w:val="32"/>
          <w:szCs w:val="40"/>
          <w14:textFill>
            <w14:solidFill>
              <w14:schemeClr w14:val="tx1"/>
            </w14:solidFill>
          </w14:textFill>
        </w:rPr>
        <w:t>，</w:t>
      </w:r>
      <w:r>
        <w:rPr>
          <w:rFonts w:ascii="仿宋_GB2312" w:hAnsi="仿宋_GB2312" w:eastAsia="仿宋_GB2312"/>
          <w:color w:val="000000" w:themeColor="text1"/>
          <w:sz w:val="32"/>
          <w:szCs w:val="40"/>
          <w14:textFill>
            <w14:solidFill>
              <w14:schemeClr w14:val="tx1"/>
            </w14:solidFill>
          </w14:textFill>
        </w:rPr>
        <w:t>建立金融风险报告制度</w:t>
      </w:r>
      <w:r>
        <w:rPr>
          <w:rFonts w:hint="eastAsia" w:ascii="仿宋_GB2312" w:hAnsi="仿宋_GB2312" w:eastAsia="仿宋_GB2312"/>
          <w:color w:val="000000" w:themeColor="text1"/>
          <w:sz w:val="32"/>
          <w:szCs w:val="40"/>
          <w14:textFill>
            <w14:solidFill>
              <w14:schemeClr w14:val="tx1"/>
            </w14:solidFill>
          </w14:textFill>
        </w:rPr>
        <w:t>，</w:t>
      </w:r>
      <w:r>
        <w:rPr>
          <w:rFonts w:ascii="仿宋_GB2312" w:hAnsi="仿宋_GB2312" w:eastAsia="仿宋_GB2312"/>
          <w:color w:val="000000" w:themeColor="text1"/>
          <w:sz w:val="32"/>
          <w:szCs w:val="40"/>
          <w14:textFill>
            <w14:solidFill>
              <w14:schemeClr w14:val="tx1"/>
            </w14:solidFill>
          </w14:textFill>
        </w:rPr>
        <w:t>做好地方金融组织现场检查工作，压实主体责任。开展风险隐患排查</w:t>
      </w:r>
      <w:r>
        <w:rPr>
          <w:rFonts w:hint="eastAsia" w:ascii="仿宋_GB2312" w:hAnsi="仿宋_GB2312" w:eastAsia="仿宋_GB2312"/>
          <w:color w:val="000000" w:themeColor="text1"/>
          <w:sz w:val="32"/>
          <w:szCs w:val="40"/>
          <w14:textFill>
            <w14:solidFill>
              <w14:schemeClr w14:val="tx1"/>
            </w14:solidFill>
          </w14:textFill>
        </w:rPr>
        <w:t>工作</w:t>
      </w:r>
      <w:r>
        <w:rPr>
          <w:rFonts w:ascii="仿宋_GB2312" w:hAnsi="仿宋_GB2312" w:eastAsia="仿宋_GB2312"/>
          <w:color w:val="000000" w:themeColor="text1"/>
          <w:sz w:val="32"/>
          <w:szCs w:val="40"/>
          <w14:textFill>
            <w14:solidFill>
              <w14:schemeClr w14:val="tx1"/>
            </w14:solidFill>
          </w14:textFill>
        </w:rPr>
        <w:t>，稳妥推进风险企业核查处置</w:t>
      </w:r>
      <w:r>
        <w:rPr>
          <w:rFonts w:hint="eastAsia" w:ascii="仿宋_GB2312" w:hAnsi="仿宋_GB2312" w:eastAsia="仿宋_GB2312"/>
          <w:color w:val="000000" w:themeColor="text1"/>
          <w:sz w:val="32"/>
          <w:szCs w:val="40"/>
          <w14:textFill>
            <w14:solidFill>
              <w14:schemeClr w14:val="tx1"/>
            </w14:solidFill>
          </w14:textFill>
        </w:rPr>
        <w:t>。</w:t>
      </w:r>
    </w:p>
    <w:p w14:paraId="36FD1264">
      <w:pPr>
        <w:pStyle w:val="4"/>
        <w:keepNext w:val="0"/>
        <w:keepLines w:val="0"/>
        <w:pageBreakBefore w:val="0"/>
        <w:widowControl w:val="0"/>
        <w:kinsoku/>
        <w:wordWrap/>
        <w:overflowPunct/>
        <w:topLinePunct w:val="0"/>
        <w:autoSpaceDE/>
        <w:autoSpaceDN/>
        <w:bidi w:val="0"/>
        <w:spacing w:before="0" w:after="0" w:line="560" w:lineRule="exact"/>
        <w:ind w:firstLine="707" w:firstLineChars="220"/>
        <w:textAlignment w:val="auto"/>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三、附则</w:t>
      </w:r>
    </w:p>
    <w:p w14:paraId="66D73293">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bookmarkStart w:id="2" w:name="_Hlk184205724"/>
      <w:r>
        <w:rPr>
          <w:rFonts w:hint="eastAsia" w:ascii="仿宋_GB2312" w:hAnsi="仿宋_GB2312" w:eastAsia="仿宋_GB2312"/>
          <w:color w:val="000000" w:themeColor="text1"/>
          <w:sz w:val="32"/>
          <w:szCs w:val="40"/>
          <w14:textFill>
            <w14:solidFill>
              <w14:schemeClr w14:val="tx1"/>
            </w14:solidFill>
          </w14:textFill>
        </w:rPr>
        <w:t>1</w:t>
      </w:r>
      <w:r>
        <w:rPr>
          <w:rFonts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color w:val="000000" w:themeColor="text1"/>
          <w:sz w:val="32"/>
          <w:szCs w:val="40"/>
          <w14:textFill>
            <w14:solidFill>
              <w14:schemeClr w14:val="tx1"/>
            </w14:solidFill>
          </w14:textFill>
        </w:rPr>
        <w:t>本措施各项条款的</w:t>
      </w:r>
      <w:r>
        <w:rPr>
          <w:rFonts w:ascii="仿宋_GB2312" w:hAnsi="仿宋_GB2312" w:eastAsia="仿宋_GB2312"/>
          <w:color w:val="000000" w:themeColor="text1"/>
          <w:sz w:val="32"/>
          <w:szCs w:val="40"/>
          <w14:textFill>
            <w14:solidFill>
              <w14:schemeClr w14:val="tx1"/>
            </w14:solidFill>
          </w14:textFill>
        </w:rPr>
        <w:t>支持金额以万元为单位，</w:t>
      </w:r>
      <w:r>
        <w:rPr>
          <w:rFonts w:hint="eastAsia" w:ascii="仿宋_GB2312" w:hAnsi="仿宋_GB2312" w:eastAsia="仿宋_GB2312"/>
          <w:color w:val="000000" w:themeColor="text1"/>
          <w:sz w:val="32"/>
          <w:szCs w:val="40"/>
          <w14:textFill>
            <w14:solidFill>
              <w14:schemeClr w14:val="tx1"/>
            </w14:solidFill>
          </w14:textFill>
        </w:rPr>
        <w:t>保留两位小数。</w:t>
      </w:r>
    </w:p>
    <w:p w14:paraId="2212DEF9">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2</w:t>
      </w:r>
      <w:r>
        <w:rPr>
          <w:rFonts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color w:val="000000" w:themeColor="text1"/>
          <w:sz w:val="32"/>
          <w:szCs w:val="40"/>
          <w14:textFill>
            <w14:solidFill>
              <w14:schemeClr w14:val="tx1"/>
            </w14:solidFill>
          </w14:textFill>
        </w:rPr>
        <w:t>本措施适用于在亦庄新城225平方公里范围内注册并实际经营，近三年无重大行政处罚记录和刑事犯罪记录，未列入严重违法失信主体名单的法人和其他组织</w:t>
      </w:r>
      <w:r>
        <w:rPr>
          <w:rFonts w:ascii="仿宋_GB2312" w:hAnsi="仿宋_GB2312" w:eastAsia="仿宋_GB2312"/>
          <w:color w:val="000000" w:themeColor="text1"/>
          <w:sz w:val="32"/>
          <w:szCs w:val="40"/>
          <w14:textFill>
            <w14:solidFill>
              <w14:schemeClr w14:val="tx1"/>
            </w14:solidFill>
          </w14:textFill>
        </w:rPr>
        <w:t>（本</w:t>
      </w:r>
      <w:r>
        <w:rPr>
          <w:rFonts w:hint="eastAsia" w:ascii="仿宋_GB2312" w:hAnsi="仿宋_GB2312" w:eastAsia="仿宋_GB2312"/>
          <w:color w:val="000000" w:themeColor="text1"/>
          <w:sz w:val="32"/>
          <w:szCs w:val="40"/>
          <w14:textFill>
            <w14:solidFill>
              <w14:schemeClr w14:val="tx1"/>
            </w14:solidFill>
          </w14:textFill>
        </w:rPr>
        <w:t>措施</w:t>
      </w:r>
      <w:r>
        <w:rPr>
          <w:rFonts w:ascii="仿宋_GB2312" w:hAnsi="仿宋_GB2312" w:eastAsia="仿宋_GB2312"/>
          <w:color w:val="000000" w:themeColor="text1"/>
          <w:sz w:val="32"/>
          <w:szCs w:val="40"/>
          <w14:textFill>
            <w14:solidFill>
              <w14:schemeClr w14:val="tx1"/>
            </w14:solidFill>
          </w14:textFill>
        </w:rPr>
        <w:t>另有规定的除外）</w:t>
      </w:r>
      <w:r>
        <w:rPr>
          <w:rFonts w:hint="eastAsia" w:ascii="仿宋_GB2312" w:hAnsi="仿宋_GB2312" w:eastAsia="仿宋_GB2312"/>
          <w:color w:val="000000" w:themeColor="text1"/>
          <w:sz w:val="32"/>
          <w:szCs w:val="40"/>
          <w14:textFill>
            <w14:solidFill>
              <w14:schemeClr w14:val="tx1"/>
            </w14:solidFill>
          </w14:textFill>
        </w:rPr>
        <w:t>。</w:t>
      </w:r>
    </w:p>
    <w:p w14:paraId="589781C2">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3</w:t>
      </w:r>
      <w:r>
        <w:rPr>
          <w:rFonts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color w:val="000000" w:themeColor="text1"/>
          <w:sz w:val="32"/>
          <w:szCs w:val="40"/>
          <w14:textFill>
            <w14:solidFill>
              <w14:schemeClr w14:val="tx1"/>
            </w14:solidFill>
          </w14:textFill>
        </w:rPr>
        <w:t>对于2024年度发生且符合本措施相关支持条款的，参照本措施予以兑现。本措施第八条、第九条、第十条于落地当年兑现，其他条款于第二年进行兑现。</w:t>
      </w:r>
    </w:p>
    <w:p w14:paraId="565DD72A">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4</w:t>
      </w:r>
      <w:r>
        <w:rPr>
          <w:rFonts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cs="仿宋_GB2312"/>
          <w:color w:val="000000" w:themeColor="text1"/>
          <w:kern w:val="0"/>
          <w:sz w:val="32"/>
          <w:szCs w:val="32"/>
          <w14:textFill>
            <w14:solidFill>
              <w14:schemeClr w14:val="tx1"/>
            </w14:solidFill>
          </w14:textFill>
        </w:rPr>
        <w:t>同一企业的同一项目同时符合经开区其他政策规定的，按照“就高不重复”原则予以支持，另有规定的除外。</w:t>
      </w:r>
    </w:p>
    <w:p w14:paraId="0BC81C55">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5</w:t>
      </w:r>
      <w:r>
        <w:rPr>
          <w:rFonts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color w:val="000000" w:themeColor="text1"/>
          <w:sz w:val="32"/>
          <w:szCs w:val="40"/>
          <w14:textFill>
            <w14:solidFill>
              <w14:schemeClr w14:val="tx1"/>
            </w14:solidFill>
          </w14:textFill>
        </w:rPr>
        <w:t>本措施自公布之日起施行，有效期至2</w:t>
      </w:r>
      <w:r>
        <w:rPr>
          <w:rFonts w:ascii="仿宋_GB2312" w:hAnsi="仿宋_GB2312" w:eastAsia="仿宋_GB2312"/>
          <w:color w:val="000000" w:themeColor="text1"/>
          <w:sz w:val="32"/>
          <w:szCs w:val="40"/>
          <w14:textFill>
            <w14:solidFill>
              <w14:schemeClr w14:val="tx1"/>
            </w14:solidFill>
          </w14:textFill>
        </w:rPr>
        <w:t>028</w:t>
      </w:r>
      <w:r>
        <w:rPr>
          <w:rFonts w:hint="eastAsia" w:ascii="仿宋_GB2312" w:hAnsi="仿宋_GB2312" w:eastAsia="仿宋_GB2312"/>
          <w:color w:val="000000" w:themeColor="text1"/>
          <w:sz w:val="32"/>
          <w:szCs w:val="40"/>
          <w14:textFill>
            <w14:solidFill>
              <w14:schemeClr w14:val="tx1"/>
            </w14:solidFill>
          </w14:textFill>
        </w:rPr>
        <w:t>年1</w:t>
      </w:r>
      <w:r>
        <w:rPr>
          <w:rFonts w:ascii="仿宋_GB2312" w:hAnsi="仿宋_GB2312" w:eastAsia="仿宋_GB2312"/>
          <w:color w:val="000000" w:themeColor="text1"/>
          <w:sz w:val="32"/>
          <w:szCs w:val="40"/>
          <w14:textFill>
            <w14:solidFill>
              <w14:schemeClr w14:val="tx1"/>
            </w14:solidFill>
          </w14:textFill>
        </w:rPr>
        <w:t>2</w:t>
      </w:r>
      <w:r>
        <w:rPr>
          <w:rFonts w:hint="eastAsia" w:ascii="仿宋_GB2312" w:hAnsi="仿宋_GB2312" w:eastAsia="仿宋_GB2312"/>
          <w:color w:val="000000" w:themeColor="text1"/>
          <w:sz w:val="32"/>
          <w:szCs w:val="40"/>
          <w14:textFill>
            <w14:solidFill>
              <w14:schemeClr w14:val="tx1"/>
            </w14:solidFill>
          </w14:textFill>
        </w:rPr>
        <w:t>月3</w:t>
      </w:r>
      <w:r>
        <w:rPr>
          <w:rFonts w:ascii="仿宋_GB2312" w:hAnsi="仿宋_GB2312" w:eastAsia="仿宋_GB2312"/>
          <w:color w:val="000000" w:themeColor="text1"/>
          <w:sz w:val="32"/>
          <w:szCs w:val="40"/>
          <w14:textFill>
            <w14:solidFill>
              <w14:schemeClr w14:val="tx1"/>
            </w14:solidFill>
          </w14:textFill>
        </w:rPr>
        <w:t>1</w:t>
      </w:r>
      <w:r>
        <w:rPr>
          <w:rFonts w:hint="eastAsia" w:ascii="仿宋_GB2312" w:hAnsi="仿宋_GB2312" w:eastAsia="仿宋_GB2312"/>
          <w:color w:val="000000" w:themeColor="text1"/>
          <w:sz w:val="32"/>
          <w:szCs w:val="40"/>
          <w14:textFill>
            <w14:solidFill>
              <w14:schemeClr w14:val="tx1"/>
            </w14:solidFill>
          </w14:textFill>
        </w:rPr>
        <w:t>日</w:t>
      </w:r>
      <w:r>
        <w:rPr>
          <w:rFonts w:hint="eastAsia" w:ascii="仿宋_GB2312" w:hAnsi="仿宋_GB2312" w:eastAsia="仿宋_GB2312" w:cs="仿宋_GB2312"/>
          <w:color w:val="000000" w:themeColor="text1"/>
          <w:sz w:val="32"/>
          <w:szCs w:val="32"/>
          <w14:textFill>
            <w14:solidFill>
              <w14:schemeClr w14:val="tx1"/>
            </w14:solidFill>
          </w14:textFill>
        </w:rPr>
        <w:t>，施行期间如遇国家或北京市相关政策调整的，按照国家或北京市相关规定执行</w:t>
      </w:r>
      <w:r>
        <w:rPr>
          <w:rFonts w:hint="eastAsia" w:ascii="仿宋_GB2312" w:hAnsi="仿宋_GB2312" w:eastAsia="仿宋_GB2312"/>
          <w:color w:val="000000" w:themeColor="text1"/>
          <w:sz w:val="32"/>
          <w:szCs w:val="40"/>
          <w14:textFill>
            <w14:solidFill>
              <w14:schemeClr w14:val="tx1"/>
            </w14:solidFill>
          </w14:textFill>
        </w:rPr>
        <w:t>。</w:t>
      </w:r>
    </w:p>
    <w:p w14:paraId="322402B6">
      <w:pPr>
        <w:pStyle w:val="2"/>
        <w:pageBreakBefore w:val="0"/>
        <w:widowControl w:val="0"/>
        <w:kinsoku/>
        <w:wordWrap/>
        <w:overflowPunct/>
        <w:topLinePunct w:val="0"/>
        <w:autoSpaceDE/>
        <w:autoSpaceDN/>
        <w:bidi w:val="0"/>
        <w:spacing w:line="560" w:lineRule="exact"/>
        <w:ind w:left="0" w:leftChars="0" w:firstLine="640"/>
        <w:textAlignment w:val="auto"/>
        <w:rPr>
          <w:rFonts w:hint="eastAsia" w:ascii="仿宋_GB2312" w:hAnsi="仿宋_GB2312" w:eastAsia="仿宋_GB2312"/>
          <w:color w:val="000000" w:themeColor="text1"/>
          <w:sz w:val="32"/>
          <w:szCs w:val="40"/>
          <w14:textFill>
            <w14:solidFill>
              <w14:schemeClr w14:val="tx1"/>
            </w14:solidFill>
          </w14:textFill>
        </w:rPr>
        <w:sectPr>
          <w:footerReference r:id="rId3" w:type="default"/>
          <w:footerReference r:id="rId4" w:type="even"/>
          <w:pgSz w:w="11906" w:h="16838"/>
          <w:pgMar w:top="1440" w:right="1800" w:bottom="1440" w:left="1800" w:header="851" w:footer="992" w:gutter="0"/>
          <w:cols w:space="425" w:num="1"/>
          <w:docGrid w:type="lines" w:linePitch="312" w:charSpace="0"/>
        </w:sectPr>
      </w:pPr>
      <w:r>
        <w:rPr>
          <w:rFonts w:ascii="仿宋_GB2312" w:hAnsi="仿宋_GB2312" w:eastAsia="仿宋_GB2312"/>
          <w:color w:val="000000" w:themeColor="text1"/>
          <w:sz w:val="32"/>
          <w:szCs w:val="40"/>
          <w14:textFill>
            <w14:solidFill>
              <w14:schemeClr w14:val="tx1"/>
            </w14:solidFill>
          </w14:textFill>
        </w:rPr>
        <w:t>6.本</w:t>
      </w:r>
      <w:r>
        <w:rPr>
          <w:rFonts w:hint="eastAsia" w:ascii="仿宋_GB2312" w:hAnsi="仿宋_GB2312" w:eastAsia="仿宋_GB2312"/>
          <w:color w:val="000000" w:themeColor="text1"/>
          <w:sz w:val="32"/>
          <w:szCs w:val="40"/>
          <w14:textFill>
            <w14:solidFill>
              <w14:schemeClr w14:val="tx1"/>
            </w14:solidFill>
          </w14:textFill>
        </w:rPr>
        <w:t>措施</w:t>
      </w:r>
      <w:r>
        <w:rPr>
          <w:rFonts w:ascii="仿宋_GB2312" w:hAnsi="仿宋_GB2312" w:eastAsia="仿宋_GB2312"/>
          <w:color w:val="000000" w:themeColor="text1"/>
          <w:sz w:val="32"/>
          <w:szCs w:val="40"/>
          <w14:textFill>
            <w14:solidFill>
              <w14:schemeClr w14:val="tx1"/>
            </w14:solidFill>
          </w14:textFill>
        </w:rPr>
        <w:t>由</w:t>
      </w:r>
      <w:r>
        <w:rPr>
          <w:rFonts w:hint="eastAsia" w:ascii="仿宋_GB2312" w:hAnsi="仿宋_GB2312" w:eastAsia="仿宋_GB2312"/>
          <w:color w:val="000000" w:themeColor="text1"/>
          <w:sz w:val="32"/>
          <w:szCs w:val="40"/>
          <w14:textFill>
            <w14:solidFill>
              <w14:schemeClr w14:val="tx1"/>
            </w14:solidFill>
          </w14:textFill>
        </w:rPr>
        <w:t>经开区管委会</w:t>
      </w:r>
      <w:r>
        <w:rPr>
          <w:rFonts w:ascii="仿宋_GB2312" w:hAnsi="仿宋_GB2312" w:eastAsia="仿宋_GB2312"/>
          <w:color w:val="000000" w:themeColor="text1"/>
          <w:sz w:val="32"/>
          <w:szCs w:val="40"/>
          <w14:textFill>
            <w14:solidFill>
              <w14:schemeClr w14:val="tx1"/>
            </w14:solidFill>
          </w14:textFill>
        </w:rPr>
        <w:t>负责解释</w:t>
      </w:r>
      <w:r>
        <w:rPr>
          <w:rFonts w:hint="eastAsia" w:ascii="仿宋_GB2312" w:hAnsi="仿宋_GB2312" w:eastAsia="仿宋_GB2312" w:cs="仿宋_GB2312"/>
          <w:color w:val="000000" w:themeColor="text1"/>
          <w:kern w:val="0"/>
          <w:sz w:val="32"/>
          <w:szCs w:val="32"/>
          <w14:textFill>
            <w14:solidFill>
              <w14:schemeClr w14:val="tx1"/>
            </w14:solidFill>
          </w14:textFill>
        </w:rPr>
        <w:t>，具体解释工作由商务金融局承担</w:t>
      </w:r>
      <w:r>
        <w:rPr>
          <w:rFonts w:hint="eastAsia" w:ascii="仿宋_GB2312" w:hAnsi="仿宋_GB2312" w:eastAsia="仿宋_GB2312"/>
          <w:color w:val="000000" w:themeColor="text1"/>
          <w:sz w:val="32"/>
          <w:szCs w:val="40"/>
          <w14:textFill>
            <w14:solidFill>
              <w14:schemeClr w14:val="tx1"/>
            </w14:solidFill>
          </w14:textFill>
        </w:rPr>
        <w:t>。</w:t>
      </w:r>
    </w:p>
    <w:p w14:paraId="5A440AB4">
      <w:pPr>
        <w:pStyle w:val="2"/>
        <w:pageBreakBefore w:val="0"/>
        <w:widowControl w:val="0"/>
        <w:kinsoku/>
        <w:wordWrap/>
        <w:overflowPunct/>
        <w:topLinePunct w:val="0"/>
        <w:autoSpaceDE/>
        <w:autoSpaceDN/>
        <w:bidi w:val="0"/>
        <w:spacing w:line="560" w:lineRule="exact"/>
        <w:ind w:left="0" w:leftChars="0"/>
        <w:textAlignment w:val="auto"/>
        <w:rPr>
          <w:rFonts w:hint="eastAsia"/>
          <w:color w:val="000000" w:themeColor="text1"/>
          <w14:textFill>
            <w14:solidFill>
              <w14:schemeClr w14:val="tx1"/>
            </w14:solidFill>
          </w14:textFill>
        </w:rPr>
      </w:pPr>
    </w:p>
    <w:bookmarkEnd w:id="2"/>
    <w:p w14:paraId="181056EB">
      <w:pPr>
        <w:pStyle w:val="5"/>
        <w:pageBreakBefore w:val="0"/>
        <w:widowControl w:val="0"/>
        <w:kinsoku/>
        <w:wordWrap/>
        <w:overflowPunct/>
        <w:topLinePunct w:val="0"/>
        <w:autoSpaceDE/>
        <w:autoSpaceDN/>
        <w:bidi w:val="0"/>
        <w:adjustRightInd/>
        <w:snapToGrid/>
        <w:spacing w:line="560" w:lineRule="exact"/>
        <w:ind w:firstLine="643"/>
        <w:textAlignment w:val="auto"/>
        <w:rPr>
          <w:rFonts w:hint="eastAsia" w:ascii="黑体" w:hAnsi="黑体" w:eastAsia="黑体" w:cs="Times New Roman"/>
          <w:color w:val="000000" w:themeColor="text1"/>
          <w:kern w:val="44"/>
          <w14:textFill>
            <w14:solidFill>
              <w14:schemeClr w14:val="tx1"/>
            </w14:solidFill>
          </w14:textFill>
        </w:rPr>
      </w:pPr>
      <w:r>
        <w:rPr>
          <w:rFonts w:hint="eastAsia" w:ascii="黑体" w:hAnsi="黑体" w:eastAsia="黑体" w:cs="Times New Roman"/>
          <w:color w:val="000000" w:themeColor="text1"/>
          <w:kern w:val="44"/>
          <w14:textFill>
            <w14:solidFill>
              <w14:schemeClr w14:val="tx1"/>
            </w14:solidFill>
          </w14:textFill>
        </w:rPr>
        <w:t>名词解释：</w:t>
      </w:r>
    </w:p>
    <w:p w14:paraId="2684AB64">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1.【</w:t>
      </w:r>
      <w:r>
        <w:rPr>
          <w:rFonts w:hint="eastAsia" w:ascii="仿宋_GB2312" w:hAnsi="仿宋_GB2312" w:eastAsia="仿宋_GB2312"/>
          <w:b/>
          <w:bCs/>
          <w:color w:val="000000" w:themeColor="text1"/>
          <w:sz w:val="32"/>
          <w:szCs w:val="40"/>
          <w14:textFill>
            <w14:solidFill>
              <w14:schemeClr w14:val="tx1"/>
            </w14:solidFill>
          </w14:textFill>
        </w:rPr>
        <w:t>持牌法人金融机构</w:t>
      </w:r>
      <w:r>
        <w:rPr>
          <w:rFonts w:hint="eastAsia" w:ascii="仿宋_GB2312" w:hAnsi="仿宋_GB2312" w:eastAsia="仿宋_GB2312"/>
          <w:color w:val="000000" w:themeColor="text1"/>
          <w:sz w:val="32"/>
          <w:szCs w:val="40"/>
          <w14:textFill>
            <w14:solidFill>
              <w14:schemeClr w14:val="tx1"/>
            </w14:solidFill>
          </w14:textFill>
        </w:rPr>
        <w:t>】，是指</w:t>
      </w:r>
      <w:r>
        <w:rPr>
          <w:rFonts w:ascii="仿宋_GB2312" w:hAnsi="仿宋_GB2312" w:eastAsia="仿宋_GB2312"/>
          <w:color w:val="000000" w:themeColor="text1"/>
          <w:sz w:val="32"/>
          <w:szCs w:val="40"/>
          <w14:textFill>
            <w14:solidFill>
              <w14:schemeClr w14:val="tx1"/>
            </w14:solidFill>
          </w14:textFill>
        </w:rPr>
        <w:t>经国家金融管理部门批准，具有独立法人资格的银行、信托公司、金融租赁公司、财务公司、消费金融公司、汽车金融公司、理财公司、金融资产投资公司、证券公司、证券资产管理公司、基金管理公司、期货公司、保险公司、保险资产管理公司、相互保险组织、金融资产管理公司等经营性金融企业，经核准或者授权开展金融企业不良资产批量收购、处置业务的地方资产管理公司，银行卡清算机构，商业银行专营机构（包括但不限于商业银行信用卡中心、资金运营中心、票据中心、小企业金融服务中心等），以及</w:t>
      </w:r>
      <w:r>
        <w:rPr>
          <w:rFonts w:hint="eastAsia" w:ascii="仿宋_GB2312" w:hAnsi="仿宋_GB2312" w:eastAsia="仿宋_GB2312"/>
          <w:color w:val="000000" w:themeColor="text1"/>
          <w:sz w:val="32"/>
          <w:szCs w:val="40"/>
          <w14:textFill>
            <w14:solidFill>
              <w14:schemeClr w14:val="tx1"/>
            </w14:solidFill>
          </w14:textFill>
        </w:rPr>
        <w:t>经开区管委会</w:t>
      </w:r>
      <w:r>
        <w:rPr>
          <w:rFonts w:ascii="仿宋_GB2312" w:hAnsi="仿宋_GB2312" w:eastAsia="仿宋_GB2312"/>
          <w:color w:val="000000" w:themeColor="text1"/>
          <w:sz w:val="32"/>
          <w:szCs w:val="40"/>
          <w14:textFill>
            <w14:solidFill>
              <w14:schemeClr w14:val="tx1"/>
            </w14:solidFill>
          </w14:textFill>
        </w:rPr>
        <w:t>批准参照金融企业总部享受有关一次性奖励政策的重要金融基础设施、金融及金融服务机构</w:t>
      </w:r>
      <w:r>
        <w:rPr>
          <w:rFonts w:hint="eastAsia" w:ascii="仿宋_GB2312" w:hAnsi="仿宋_GB2312" w:eastAsia="仿宋_GB2312"/>
          <w:color w:val="000000" w:themeColor="text1"/>
          <w:sz w:val="32"/>
          <w:szCs w:val="40"/>
          <w14:textFill>
            <w14:solidFill>
              <w14:schemeClr w14:val="tx1"/>
            </w14:solidFill>
          </w14:textFill>
        </w:rPr>
        <w:t>。</w:t>
      </w:r>
    </w:p>
    <w:p w14:paraId="3545F6D6">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2.</w:t>
      </w:r>
      <w:r>
        <w:rPr>
          <w:rFonts w:hint="eastAsia" w:ascii="仿宋_GB2312" w:hAnsi="仿宋_GB2312" w:eastAsia="仿宋_GB2312"/>
          <w:b/>
          <w:bCs/>
          <w:color w:val="000000" w:themeColor="text1"/>
          <w:sz w:val="32"/>
          <w:szCs w:val="40"/>
          <w14:textFill>
            <w14:solidFill>
              <w14:schemeClr w14:val="tx1"/>
            </w14:solidFill>
          </w14:textFill>
        </w:rPr>
        <w:t>【地方金融组织】</w:t>
      </w:r>
      <w:r>
        <w:rPr>
          <w:rFonts w:hint="eastAsia" w:ascii="仿宋_GB2312" w:hAnsi="仿宋_GB2312" w:eastAsia="仿宋_GB2312"/>
          <w:color w:val="000000" w:themeColor="text1"/>
          <w:sz w:val="32"/>
          <w:szCs w:val="40"/>
          <w14:textFill>
            <w14:solidFill>
              <w14:schemeClr w14:val="tx1"/>
            </w14:solidFill>
          </w14:textFill>
        </w:rPr>
        <w:t>，是指由北京市地方金融管理局</w:t>
      </w:r>
      <w:r>
        <w:rPr>
          <w:rFonts w:ascii="仿宋_GB2312" w:hAnsi="仿宋_GB2312" w:eastAsia="仿宋_GB2312"/>
          <w:color w:val="000000" w:themeColor="text1"/>
          <w:sz w:val="32"/>
          <w:szCs w:val="40"/>
          <w14:textFill>
            <w14:solidFill>
              <w14:schemeClr w14:val="tx1"/>
            </w14:solidFill>
          </w14:textFill>
        </w:rPr>
        <w:t>实施监管、符合金融监管规定和要求且正常开展经营业务的金融企业</w:t>
      </w:r>
      <w:r>
        <w:rPr>
          <w:rFonts w:hint="eastAsia" w:ascii="仿宋_GB2312" w:hAnsi="仿宋_GB2312" w:eastAsia="仿宋_GB2312"/>
          <w:color w:val="000000" w:themeColor="text1"/>
          <w:sz w:val="32"/>
          <w:szCs w:val="40"/>
          <w14:textFill>
            <w14:solidFill>
              <w14:schemeClr w14:val="tx1"/>
            </w14:solidFill>
          </w14:textFill>
        </w:rPr>
        <w:t>，</w:t>
      </w:r>
      <w:r>
        <w:rPr>
          <w:rFonts w:ascii="仿宋_GB2312" w:hAnsi="仿宋_GB2312" w:eastAsia="仿宋_GB2312"/>
          <w:color w:val="000000" w:themeColor="text1"/>
          <w:sz w:val="32"/>
          <w:szCs w:val="40"/>
          <w14:textFill>
            <w14:solidFill>
              <w14:schemeClr w14:val="tx1"/>
            </w14:solidFill>
          </w14:textFill>
        </w:rPr>
        <w:t>包括小额贷款公司、融资担保公司、融资租赁公司、商业保理公司、交易场所、区域性股权市场等。</w:t>
      </w:r>
    </w:p>
    <w:p w14:paraId="2A73863C">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3.【</w:t>
      </w:r>
      <w:r>
        <w:rPr>
          <w:rFonts w:hint="eastAsia" w:ascii="仿宋_GB2312" w:hAnsi="仿宋_GB2312" w:eastAsia="仿宋_GB2312"/>
          <w:b/>
          <w:bCs/>
          <w:color w:val="000000" w:themeColor="text1"/>
          <w:sz w:val="32"/>
          <w:szCs w:val="40"/>
          <w14:textFill>
            <w14:solidFill>
              <w14:schemeClr w14:val="tx1"/>
            </w14:solidFill>
          </w14:textFill>
        </w:rPr>
        <w:t>私募投资机构</w:t>
      </w:r>
      <w:r>
        <w:rPr>
          <w:rFonts w:hint="eastAsia" w:ascii="仿宋_GB2312" w:hAnsi="仿宋_GB2312" w:eastAsia="仿宋_GB2312"/>
          <w:color w:val="000000" w:themeColor="text1"/>
          <w:sz w:val="32"/>
          <w:szCs w:val="40"/>
          <w14:textFill>
            <w14:solidFill>
              <w14:schemeClr w14:val="tx1"/>
            </w14:solidFill>
          </w14:textFill>
        </w:rPr>
        <w:t>】，是指通过募集资金进行投资获取股权的方式，参与或控制企业成长过程各个阶段的经营活动，并获取经济收益的股权投资机构，投资方式主要包括天使投资、创业投资、私募股权投资等。</w:t>
      </w:r>
    </w:p>
    <w:p w14:paraId="60DED9D1">
      <w:pPr>
        <w:pStyle w:val="2"/>
        <w:pageBreakBefore w:val="0"/>
        <w:widowControl w:val="0"/>
        <w:kinsoku/>
        <w:wordWrap/>
        <w:overflowPunct/>
        <w:topLinePunct w:val="0"/>
        <w:autoSpaceDE/>
        <w:autoSpaceDN/>
        <w:bidi w:val="0"/>
        <w:adjustRightInd/>
        <w:snapToGrid/>
        <w:spacing w:after="0" w:line="560" w:lineRule="exact"/>
        <w:ind w:left="0" w:leftChars="0" w:firstLine="64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4.【</w:t>
      </w:r>
      <w:r>
        <w:rPr>
          <w:rFonts w:hint="eastAsia" w:ascii="仿宋_GB2312" w:hAnsi="仿宋_GB2312" w:eastAsia="仿宋_GB2312"/>
          <w:b/>
          <w:bCs/>
          <w:color w:val="000000" w:themeColor="text1"/>
          <w:sz w:val="32"/>
          <w:szCs w:val="40"/>
          <w14:textFill>
            <w14:solidFill>
              <w14:schemeClr w14:val="tx1"/>
            </w14:solidFill>
          </w14:textFill>
        </w:rPr>
        <w:t>科技保险</w:t>
      </w:r>
      <w:r>
        <w:rPr>
          <w:rFonts w:hint="eastAsia" w:ascii="仿宋_GB2312" w:hAnsi="仿宋_GB2312" w:eastAsia="仿宋_GB2312"/>
          <w:color w:val="000000" w:themeColor="text1"/>
          <w:sz w:val="32"/>
          <w:szCs w:val="40"/>
          <w14:textFill>
            <w14:solidFill>
              <w14:schemeClr w14:val="tx1"/>
            </w14:solidFill>
          </w14:textFill>
        </w:rPr>
        <w:t>】，参考国家科技和保险监管部门确定的保险险种，主要有：科技项目研发费用损失保险、关键研发设备保险、产品研发责任保险、知识产权类保险（含专利类）、产品责任保险、产品质量保证保险、小额贷款保证保险、营业中断保险、雇主责任保险、环境污染责任保险、财产保险、项目投资损失保险。</w:t>
      </w:r>
    </w:p>
    <w:p w14:paraId="07E18EA1">
      <w:pPr>
        <w:pStyle w:val="2"/>
        <w:pageBreakBefore w:val="0"/>
        <w:widowControl w:val="0"/>
        <w:kinsoku/>
        <w:wordWrap/>
        <w:overflowPunct/>
        <w:topLinePunct w:val="0"/>
        <w:autoSpaceDE/>
        <w:autoSpaceDN/>
        <w:bidi w:val="0"/>
        <w:adjustRightInd/>
        <w:snapToGrid/>
        <w:spacing w:after="0" w:line="560" w:lineRule="exact"/>
        <w:ind w:left="0" w:leftChars="0" w:firstLine="640"/>
        <w:textAlignment w:val="auto"/>
        <w:rPr>
          <w:rFonts w:hint="eastAsia" w:ascii="仿宋_GB2312" w:hAnsi="仿宋_GB2312" w:eastAsia="仿宋_GB2312"/>
          <w:color w:val="000000" w:themeColor="text1"/>
          <w:sz w:val="32"/>
          <w:szCs w:val="40"/>
          <w14:textFill>
            <w14:solidFill>
              <w14:schemeClr w14:val="tx1"/>
            </w14:solidFill>
          </w14:textFill>
        </w:rPr>
      </w:pPr>
      <w:r>
        <w:rPr>
          <w:rFonts w:ascii="仿宋_GB2312" w:hAnsi="仿宋_GB2312" w:eastAsia="仿宋_GB2312"/>
          <w:color w:val="000000" w:themeColor="text1"/>
          <w:sz w:val="32"/>
          <w:szCs w:val="40"/>
          <w14:textFill>
            <w14:solidFill>
              <w14:schemeClr w14:val="tx1"/>
            </w14:solidFill>
          </w14:textFill>
        </w:rPr>
        <w:t>5.</w:t>
      </w:r>
      <w:r>
        <w:rPr>
          <w:rFonts w:hint="eastAsia"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b/>
          <w:bCs/>
          <w:color w:val="000000" w:themeColor="text1"/>
          <w:sz w:val="32"/>
          <w:szCs w:val="40"/>
          <w14:textFill>
            <w14:solidFill>
              <w14:schemeClr w14:val="tx1"/>
            </w14:solidFill>
          </w14:textFill>
        </w:rPr>
        <w:t>统计代码66、67、68、69</w:t>
      </w:r>
      <w:r>
        <w:rPr>
          <w:rFonts w:hint="eastAsia" w:ascii="仿宋_GB2312" w:hAnsi="仿宋_GB2312" w:eastAsia="仿宋_GB2312"/>
          <w:color w:val="000000" w:themeColor="text1"/>
          <w:sz w:val="32"/>
          <w:szCs w:val="40"/>
          <w14:textFill>
            <w14:solidFill>
              <w14:schemeClr w14:val="tx1"/>
            </w14:solidFill>
          </w14:textFill>
        </w:rPr>
        <w:t>】，根据《国民经济行业分类》（</w:t>
      </w:r>
      <w:r>
        <w:rPr>
          <w:rFonts w:ascii="仿宋_GB2312" w:hAnsi="仿宋_GB2312" w:eastAsia="仿宋_GB2312"/>
          <w:color w:val="000000" w:themeColor="text1"/>
          <w:sz w:val="32"/>
          <w:szCs w:val="40"/>
          <w14:textFill>
            <w14:solidFill>
              <w14:schemeClr w14:val="tx1"/>
            </w14:solidFill>
          </w14:textFill>
        </w:rPr>
        <w:t>GB/T 4754—2017），</w:t>
      </w:r>
      <w:r>
        <w:rPr>
          <w:rFonts w:hint="eastAsia" w:ascii="仿宋_GB2312" w:hAnsi="仿宋_GB2312" w:eastAsia="仿宋_GB2312"/>
          <w:color w:val="000000" w:themeColor="text1"/>
          <w:sz w:val="32"/>
          <w:szCs w:val="40"/>
          <w14:textFill>
            <w14:solidFill>
              <w14:schemeClr w14:val="tx1"/>
            </w14:solidFill>
          </w14:textFill>
        </w:rPr>
        <w:t>统计代码</w:t>
      </w:r>
      <w:r>
        <w:rPr>
          <w:rFonts w:ascii="仿宋_GB2312" w:hAnsi="仿宋_GB2312" w:eastAsia="仿宋_GB2312"/>
          <w:color w:val="000000" w:themeColor="text1"/>
          <w:sz w:val="32"/>
          <w:szCs w:val="40"/>
          <w14:textFill>
            <w14:solidFill>
              <w14:schemeClr w14:val="tx1"/>
            </w14:solidFill>
          </w14:textFill>
        </w:rPr>
        <w:t>66开头的</w:t>
      </w:r>
      <w:r>
        <w:rPr>
          <w:rFonts w:hint="eastAsia" w:ascii="仿宋_GB2312" w:hAnsi="仿宋_GB2312" w:eastAsia="仿宋_GB2312"/>
          <w:color w:val="000000" w:themeColor="text1"/>
          <w:sz w:val="32"/>
          <w:szCs w:val="40"/>
          <w14:textFill>
            <w14:solidFill>
              <w14:schemeClr w14:val="tx1"/>
            </w14:solidFill>
          </w14:textFill>
        </w:rPr>
        <w:t>金融机构是指提供货币银行服务的商业银行、政策性银行，以及提供非货币银行服务的融资租赁、财务公司、汽车金融公司、小额贷款公司、消费金融公司等；统计代码</w:t>
      </w:r>
      <w:r>
        <w:rPr>
          <w:rFonts w:ascii="仿宋_GB2312" w:hAnsi="仿宋_GB2312" w:eastAsia="仿宋_GB2312"/>
          <w:color w:val="000000" w:themeColor="text1"/>
          <w:sz w:val="32"/>
          <w:szCs w:val="40"/>
          <w14:textFill>
            <w14:solidFill>
              <w14:schemeClr w14:val="tx1"/>
            </w14:solidFill>
          </w14:textFill>
        </w:rPr>
        <w:t>67开头的金融机构</w:t>
      </w:r>
      <w:r>
        <w:rPr>
          <w:rFonts w:hint="eastAsia" w:ascii="仿宋_GB2312" w:hAnsi="仿宋_GB2312" w:eastAsia="仿宋_GB2312"/>
          <w:color w:val="000000" w:themeColor="text1"/>
          <w:sz w:val="32"/>
          <w:szCs w:val="40"/>
          <w14:textFill>
            <w14:solidFill>
              <w14:schemeClr w14:val="tx1"/>
            </w14:solidFill>
          </w14:textFill>
        </w:rPr>
        <w:t>是指提供证券市场服务、公开募集证券投资基金、非公开募集证券投资基金和期货市场服务等的证券公司、证券资产管理公司、基金管理公司、期货公司等；统计代码68开头的金融机构是指提供人身保险、财产保险、再保险、保险中介服务、保险资产管理等的保险公司、保险资产管理公司、相互保险组织等保险业机构；统计代码69开头的金融机构是指提供金融信托与管理服务、控股公司服务、非金融机构支付服务、金融信息服务、金融资产管理及其他未列明金融服务等的信托公司、第三方支付机构、征信机构、金融资产管理公司、货币经纪公司等。</w:t>
      </w:r>
    </w:p>
    <w:p w14:paraId="3AE396D2">
      <w:pPr>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b/>
          <w:bCs/>
          <w:color w:val="000000" w:themeColor="text1"/>
          <w:sz w:val="32"/>
          <w:szCs w:val="40"/>
          <w14:textFill>
            <w14:solidFill>
              <w14:schemeClr w14:val="tx1"/>
            </w14:solidFill>
          </w14:textFill>
        </w:rPr>
        <w:t>6.</w:t>
      </w:r>
      <w:r>
        <w:rPr>
          <w:rFonts w:hint="eastAsia" w:ascii="仿宋_GB2312" w:hAnsi="仿宋_GB2312" w:eastAsia="仿宋_GB2312"/>
          <w:color w:val="000000" w:themeColor="text1"/>
          <w:sz w:val="32"/>
          <w:szCs w:val="40"/>
          <w14:textFill>
            <w14:solidFill>
              <w14:schemeClr w14:val="tx1"/>
            </w14:solidFill>
          </w14:textFill>
        </w:rPr>
        <w:t>【</w:t>
      </w:r>
      <w:r>
        <w:rPr>
          <w:rFonts w:hint="eastAsia" w:ascii="仿宋_GB2312" w:hAnsi="仿宋_GB2312" w:eastAsia="仿宋_GB2312"/>
          <w:b/>
          <w:bCs/>
          <w:color w:val="000000" w:themeColor="text1"/>
          <w:sz w:val="32"/>
          <w:szCs w:val="40"/>
          <w14:textFill>
            <w14:solidFill>
              <w14:schemeClr w14:val="tx1"/>
            </w14:solidFill>
          </w14:textFill>
        </w:rPr>
        <w:t>初创型企业</w:t>
      </w:r>
      <w:r>
        <w:rPr>
          <w:rFonts w:hint="eastAsia" w:ascii="仿宋_GB2312" w:hAnsi="仿宋_GB2312" w:eastAsia="仿宋_GB2312"/>
          <w:color w:val="000000" w:themeColor="text1"/>
          <w:sz w:val="32"/>
          <w:szCs w:val="40"/>
          <w14:textFill>
            <w14:solidFill>
              <w14:schemeClr w14:val="tx1"/>
            </w14:solidFill>
          </w14:textFill>
        </w:rPr>
        <w:t>】，根据《</w:t>
      </w:r>
      <w:r>
        <w:rPr>
          <w:rFonts w:ascii="仿宋_GB2312" w:hAnsi="仿宋_GB2312" w:eastAsia="仿宋_GB2312"/>
          <w:color w:val="000000" w:themeColor="text1"/>
          <w:sz w:val="32"/>
          <w:szCs w:val="40"/>
          <w14:textFill>
            <w14:solidFill>
              <w14:schemeClr w14:val="tx1"/>
            </w14:solidFill>
          </w14:textFill>
        </w:rPr>
        <w:t>财政部 国家税务总局关于创业投资企业和天使投资个人有关税收试点政策的通知</w:t>
      </w:r>
      <w:r>
        <w:rPr>
          <w:rFonts w:hint="eastAsia" w:ascii="仿宋_GB2312" w:hAnsi="仿宋_GB2312" w:eastAsia="仿宋_GB2312"/>
          <w:color w:val="000000" w:themeColor="text1"/>
          <w:sz w:val="32"/>
          <w:szCs w:val="40"/>
          <w14:textFill>
            <w14:solidFill>
              <w14:schemeClr w14:val="tx1"/>
            </w14:solidFill>
          </w14:textFill>
        </w:rPr>
        <w:t>》（财税〔2017〕38号），初创型企业应同时符合以下条件：</w:t>
      </w:r>
    </w:p>
    <w:p w14:paraId="18F3DEF3">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1.在中国境内(不包括港、澳、台地区)注册成立、实行查账征收的居民企业；</w:t>
      </w:r>
    </w:p>
    <w:p w14:paraId="461677D5">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2.接受投资时，从业人数不超过200人，其中具有大学本科以上学历的从业人数不低于30%；资产总额和年销售收入均不超过3000万；</w:t>
      </w:r>
    </w:p>
    <w:p w14:paraId="1A18A198">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3.接受投资时设立时间不超过5年(60个月)；</w:t>
      </w:r>
    </w:p>
    <w:p w14:paraId="1BF5EE32">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4.接受投资时以及接受投资后2年内未在境内外证券交易所上市；</w:t>
      </w:r>
    </w:p>
    <w:p w14:paraId="5AA137D8">
      <w:pPr>
        <w:pStyle w:val="2"/>
        <w:pageBreakBefore w:val="0"/>
        <w:widowControl w:val="0"/>
        <w:kinsoku/>
        <w:wordWrap/>
        <w:overflowPunct/>
        <w:topLinePunct w:val="0"/>
        <w:autoSpaceDE/>
        <w:autoSpaceDN/>
        <w:bidi w:val="0"/>
        <w:adjustRightInd/>
        <w:snapToGrid/>
        <w:spacing w:after="0" w:line="560" w:lineRule="exact"/>
        <w:ind w:left="0" w:leftChars="0" w:firstLine="640"/>
        <w:textAlignment w:val="auto"/>
        <w:rPr>
          <w:rFonts w:hint="eastAsia" w:ascii="仿宋_GB2312" w:hAnsi="仿宋_GB2312" w:eastAsia="仿宋_GB2312"/>
          <w:b/>
          <w:bCs/>
          <w:color w:val="000000" w:themeColor="text1"/>
          <w:sz w:val="32"/>
          <w:szCs w:val="40"/>
          <w14:textFill>
            <w14:solidFill>
              <w14:schemeClr w14:val="tx1"/>
            </w14:solidFill>
          </w14:textFill>
        </w:rPr>
      </w:pPr>
      <w:r>
        <w:rPr>
          <w:rFonts w:hint="eastAsia" w:ascii="仿宋_GB2312" w:hAnsi="仿宋_GB2312" w:eastAsia="仿宋_GB2312"/>
          <w:color w:val="000000" w:themeColor="text1"/>
          <w:sz w:val="32"/>
          <w:szCs w:val="40"/>
          <w14:textFill>
            <w14:solidFill>
              <w14:schemeClr w14:val="tx1"/>
            </w14:solidFill>
          </w14:textFill>
        </w:rPr>
        <w:t>5.接受投资当年及下一纳税年度，研发费用总额占成本费用支出的比例不低于20%。</w:t>
      </w:r>
    </w:p>
    <w:p w14:paraId="7ED194E0">
      <w:pPr>
        <w:pageBreakBefore w:val="0"/>
        <w:widowControl w:val="0"/>
        <w:kinsoku/>
        <w:wordWrap/>
        <w:overflowPunct/>
        <w:topLinePunct w:val="0"/>
        <w:autoSpaceDE/>
        <w:autoSpaceDN/>
        <w:bidi w:val="0"/>
        <w:adjustRightInd/>
        <w:snapToGrid/>
        <w:spacing w:line="560" w:lineRule="exact"/>
        <w:textAlignment w:val="auto"/>
        <w:rPr>
          <w:rFonts w:hint="eastAsia"/>
          <w:color w:val="000000" w:themeColor="text1"/>
          <w14:textFill>
            <w14:solidFill>
              <w14:schemeClr w14:val="tx1"/>
            </w14:solidFill>
          </w14:textFill>
        </w:rPr>
      </w:pPr>
    </w:p>
    <w:p w14:paraId="38CE701E">
      <w:pPr>
        <w:pageBreakBefore w:val="0"/>
        <w:widowControl w:val="0"/>
        <w:kinsoku/>
        <w:wordWrap/>
        <w:overflowPunct/>
        <w:topLinePunct w:val="0"/>
        <w:autoSpaceDE/>
        <w:autoSpaceDN/>
        <w:bidi w:val="0"/>
        <w:adjustRightInd/>
        <w:snapToGrid/>
        <w:spacing w:line="560" w:lineRule="exact"/>
        <w:textAlignment w:val="auto"/>
        <w:rPr>
          <w:rFonts w:hint="eastAsia"/>
        </w:rPr>
      </w:pPr>
    </w:p>
    <w:sectPr>
      <w:type w:val="continuous"/>
      <w:pgSz w:w="11906" w:h="16838"/>
      <w:pgMar w:top="978" w:right="1800" w:bottom="86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A603016-825C-4A01-A36C-33DA3B7731A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embedRegular r:id="rId2" w:fontKey="{BCDE5B46-DCD6-4CBC-BDA1-09C8637622CA}"/>
  </w:font>
  <w:font w:name="楷体">
    <w:panose1 w:val="02010609060101010101"/>
    <w:charset w:val="86"/>
    <w:family w:val="modern"/>
    <w:pitch w:val="default"/>
    <w:sig w:usb0="800002BF" w:usb1="38CF7CFA" w:usb2="00000016" w:usb3="00000000" w:csb0="00040001" w:csb1="00000000"/>
    <w:embedRegular r:id="rId3" w:fontKey="{A7B4CB8B-3D62-4B3C-AF5A-36C8D447C6C0}"/>
  </w:font>
  <w:font w:name="仿宋_GB2312">
    <w:altName w:val="仿宋"/>
    <w:panose1 w:val="02010609030101010101"/>
    <w:charset w:val="86"/>
    <w:family w:val="modern"/>
    <w:pitch w:val="default"/>
    <w:sig w:usb0="00000000" w:usb1="00000000" w:usb2="00000000" w:usb3="00000000" w:csb0="00040000" w:csb1="00000000"/>
    <w:embedRegular r:id="rId4" w:fontKey="{2BB3BBB3-5455-43A7-934A-EA32319F88FE}"/>
  </w:font>
  <w:font w:name="仿宋">
    <w:panose1 w:val="02010609060101010101"/>
    <w:charset w:val="86"/>
    <w:family w:val="auto"/>
    <w:pitch w:val="default"/>
    <w:sig w:usb0="800002BF" w:usb1="38CF7CFA" w:usb2="00000016" w:usb3="00000000" w:csb0="00040001" w:csb1="00000000"/>
  </w:font>
  <w:font w:name="方正小标宋简体">
    <w:altName w:val="方正舒体"/>
    <w:panose1 w:val="02000000000000000000"/>
    <w:charset w:val="86"/>
    <w:family w:val="script"/>
    <w:pitch w:val="default"/>
    <w:sig w:usb0="00000000" w:usb1="00000000" w:usb2="00000012" w:usb3="00000000" w:csb0="00040001" w:csb1="00000000"/>
    <w:embedRegular r:id="rId5" w:fontKey="{122445E0-A28A-4823-A7F5-398D10C41B3D}"/>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24"/>
      </w:rPr>
      <w:id w:val="-1"/>
    </w:sdtPr>
    <w:sdtEndPr>
      <w:rPr>
        <w:rStyle w:val="24"/>
      </w:rPr>
    </w:sdtEndPr>
    <w:sdtContent>
      <w:p w14:paraId="6D457A2C">
        <w:pPr>
          <w:pStyle w:val="12"/>
          <w:framePr w:wrap="auto" w:vAnchor="text" w:hAnchor="margin" w:xAlign="center" w:y="1"/>
          <w:rPr>
            <w:rStyle w:val="24"/>
            <w:rFonts w:hint="eastAsia"/>
          </w:rPr>
        </w:pPr>
        <w:r>
          <w:rPr>
            <w:rStyle w:val="24"/>
          </w:rPr>
          <w:fldChar w:fldCharType="begin"/>
        </w:r>
        <w:r>
          <w:rPr>
            <w:rStyle w:val="24"/>
          </w:rPr>
          <w:instrText xml:space="preserve"> PAGE </w:instrText>
        </w:r>
        <w:r>
          <w:rPr>
            <w:rStyle w:val="24"/>
          </w:rPr>
          <w:fldChar w:fldCharType="separate"/>
        </w:r>
        <w:r>
          <w:rPr>
            <w:rStyle w:val="24"/>
          </w:rPr>
          <w:t>2</w:t>
        </w:r>
        <w:r>
          <w:rPr>
            <w:rStyle w:val="24"/>
          </w:rPr>
          <w:fldChar w:fldCharType="end"/>
        </w:r>
      </w:p>
    </w:sdtContent>
  </w:sdt>
  <w:p w14:paraId="041D86A2">
    <w:pPr>
      <w:pStyle w:val="12"/>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24"/>
      </w:rPr>
      <w:id w:val="731043782"/>
    </w:sdtPr>
    <w:sdtEndPr>
      <w:rPr>
        <w:rStyle w:val="24"/>
      </w:rPr>
    </w:sdtEndPr>
    <w:sdtContent>
      <w:p w14:paraId="4028C6FC">
        <w:pPr>
          <w:pStyle w:val="12"/>
          <w:framePr w:wrap="auto" w:vAnchor="text" w:hAnchor="margin" w:xAlign="center" w:y="1"/>
          <w:rPr>
            <w:rStyle w:val="24"/>
            <w:rFonts w:hint="eastAsia"/>
          </w:rPr>
        </w:pPr>
        <w:r>
          <w:rPr>
            <w:rStyle w:val="24"/>
          </w:rPr>
          <w:fldChar w:fldCharType="begin"/>
        </w:r>
        <w:r>
          <w:rPr>
            <w:rStyle w:val="24"/>
          </w:rPr>
          <w:instrText xml:space="preserve"> PAGE </w:instrText>
        </w:r>
        <w:r>
          <w:rPr>
            <w:rStyle w:val="24"/>
          </w:rPr>
          <w:fldChar w:fldCharType="end"/>
        </w:r>
      </w:p>
    </w:sdtContent>
  </w:sdt>
  <w:p w14:paraId="7ABAEBB6">
    <w:pPr>
      <w:pStyle w:val="12"/>
      <w:rPr>
        <w:rFonts w:hint="eastAsia"/>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BiOGI4MTZhNzk4MGQ1OGVmZWE4MmVhYTY5YTNmMDAifQ=="/>
    <w:docVar w:name="KSO_WPS_MARK_KEY" w:val="6b5f0c55-b49a-4f54-8483-1d725c69b092"/>
  </w:docVars>
  <w:rsids>
    <w:rsidRoot w:val="00D1431E"/>
    <w:rsid w:val="0000003E"/>
    <w:rsid w:val="00000EAC"/>
    <w:rsid w:val="00003346"/>
    <w:rsid w:val="00003D3E"/>
    <w:rsid w:val="0000586E"/>
    <w:rsid w:val="00006D9A"/>
    <w:rsid w:val="0001073C"/>
    <w:rsid w:val="00011003"/>
    <w:rsid w:val="0001111D"/>
    <w:rsid w:val="000111F8"/>
    <w:rsid w:val="00011982"/>
    <w:rsid w:val="00012506"/>
    <w:rsid w:val="000134DD"/>
    <w:rsid w:val="00013B52"/>
    <w:rsid w:val="00013BD0"/>
    <w:rsid w:val="00014243"/>
    <w:rsid w:val="00017033"/>
    <w:rsid w:val="000174A3"/>
    <w:rsid w:val="00017B7E"/>
    <w:rsid w:val="00020BC0"/>
    <w:rsid w:val="00020FAF"/>
    <w:rsid w:val="00022DC6"/>
    <w:rsid w:val="000256DF"/>
    <w:rsid w:val="00025733"/>
    <w:rsid w:val="000260E7"/>
    <w:rsid w:val="00031DF6"/>
    <w:rsid w:val="00032FC3"/>
    <w:rsid w:val="00033C0F"/>
    <w:rsid w:val="0003423A"/>
    <w:rsid w:val="0003466A"/>
    <w:rsid w:val="000347E8"/>
    <w:rsid w:val="00034B7C"/>
    <w:rsid w:val="000350B3"/>
    <w:rsid w:val="000354FB"/>
    <w:rsid w:val="00042C2E"/>
    <w:rsid w:val="00044E32"/>
    <w:rsid w:val="00046981"/>
    <w:rsid w:val="0004713B"/>
    <w:rsid w:val="00050535"/>
    <w:rsid w:val="00051696"/>
    <w:rsid w:val="00053821"/>
    <w:rsid w:val="0005447F"/>
    <w:rsid w:val="00057422"/>
    <w:rsid w:val="00060542"/>
    <w:rsid w:val="00060C28"/>
    <w:rsid w:val="00060E92"/>
    <w:rsid w:val="00061341"/>
    <w:rsid w:val="000622DD"/>
    <w:rsid w:val="0006233F"/>
    <w:rsid w:val="00065CE5"/>
    <w:rsid w:val="00066DAC"/>
    <w:rsid w:val="00067C55"/>
    <w:rsid w:val="0007286E"/>
    <w:rsid w:val="000742EA"/>
    <w:rsid w:val="000748A2"/>
    <w:rsid w:val="00075D87"/>
    <w:rsid w:val="00077303"/>
    <w:rsid w:val="00077E3B"/>
    <w:rsid w:val="000818FC"/>
    <w:rsid w:val="00081E20"/>
    <w:rsid w:val="00083827"/>
    <w:rsid w:val="00083F16"/>
    <w:rsid w:val="00084031"/>
    <w:rsid w:val="00084B50"/>
    <w:rsid w:val="00084F3B"/>
    <w:rsid w:val="000859AF"/>
    <w:rsid w:val="000869BD"/>
    <w:rsid w:val="00090A91"/>
    <w:rsid w:val="00091CDD"/>
    <w:rsid w:val="00093C8C"/>
    <w:rsid w:val="000961F5"/>
    <w:rsid w:val="000969C6"/>
    <w:rsid w:val="000A2DDA"/>
    <w:rsid w:val="000A4F68"/>
    <w:rsid w:val="000A6137"/>
    <w:rsid w:val="000B2273"/>
    <w:rsid w:val="000B2888"/>
    <w:rsid w:val="000B2CA7"/>
    <w:rsid w:val="000B31AD"/>
    <w:rsid w:val="000B39B4"/>
    <w:rsid w:val="000B3D01"/>
    <w:rsid w:val="000B54CE"/>
    <w:rsid w:val="000B6BA1"/>
    <w:rsid w:val="000B7325"/>
    <w:rsid w:val="000B76C2"/>
    <w:rsid w:val="000C2AA2"/>
    <w:rsid w:val="000C3218"/>
    <w:rsid w:val="000C3242"/>
    <w:rsid w:val="000C34E1"/>
    <w:rsid w:val="000C3D06"/>
    <w:rsid w:val="000C59D5"/>
    <w:rsid w:val="000C6313"/>
    <w:rsid w:val="000D0765"/>
    <w:rsid w:val="000D0826"/>
    <w:rsid w:val="000D23E8"/>
    <w:rsid w:val="000D2E75"/>
    <w:rsid w:val="000D4496"/>
    <w:rsid w:val="000D4FA8"/>
    <w:rsid w:val="000D4FEE"/>
    <w:rsid w:val="000D671D"/>
    <w:rsid w:val="000E28FD"/>
    <w:rsid w:val="000E3158"/>
    <w:rsid w:val="000E3907"/>
    <w:rsid w:val="000E4AEA"/>
    <w:rsid w:val="000E5108"/>
    <w:rsid w:val="000E5585"/>
    <w:rsid w:val="000E7D55"/>
    <w:rsid w:val="000F07E6"/>
    <w:rsid w:val="000F3AE1"/>
    <w:rsid w:val="000F4F76"/>
    <w:rsid w:val="000F5B01"/>
    <w:rsid w:val="000F6D1B"/>
    <w:rsid w:val="000F77E2"/>
    <w:rsid w:val="000F7F23"/>
    <w:rsid w:val="00100F30"/>
    <w:rsid w:val="00101A24"/>
    <w:rsid w:val="001021FE"/>
    <w:rsid w:val="001025B2"/>
    <w:rsid w:val="001029BA"/>
    <w:rsid w:val="00105296"/>
    <w:rsid w:val="0010666E"/>
    <w:rsid w:val="00106DD1"/>
    <w:rsid w:val="00110743"/>
    <w:rsid w:val="0011252C"/>
    <w:rsid w:val="00112532"/>
    <w:rsid w:val="00112743"/>
    <w:rsid w:val="00112EC1"/>
    <w:rsid w:val="00116801"/>
    <w:rsid w:val="00117266"/>
    <w:rsid w:val="00117403"/>
    <w:rsid w:val="001210B3"/>
    <w:rsid w:val="001216AD"/>
    <w:rsid w:val="0012175D"/>
    <w:rsid w:val="00121EC3"/>
    <w:rsid w:val="0012250E"/>
    <w:rsid w:val="00122C63"/>
    <w:rsid w:val="001238ED"/>
    <w:rsid w:val="00123DA1"/>
    <w:rsid w:val="0012656B"/>
    <w:rsid w:val="0012658A"/>
    <w:rsid w:val="00131DCD"/>
    <w:rsid w:val="00133403"/>
    <w:rsid w:val="0013799A"/>
    <w:rsid w:val="00140527"/>
    <w:rsid w:val="00141461"/>
    <w:rsid w:val="0014311E"/>
    <w:rsid w:val="00143979"/>
    <w:rsid w:val="00144152"/>
    <w:rsid w:val="001454FF"/>
    <w:rsid w:val="00146377"/>
    <w:rsid w:val="00146B6F"/>
    <w:rsid w:val="00147C9C"/>
    <w:rsid w:val="00151491"/>
    <w:rsid w:val="00152D08"/>
    <w:rsid w:val="001536E6"/>
    <w:rsid w:val="00153FD3"/>
    <w:rsid w:val="001543D7"/>
    <w:rsid w:val="001552AB"/>
    <w:rsid w:val="00155B47"/>
    <w:rsid w:val="0015630F"/>
    <w:rsid w:val="00157021"/>
    <w:rsid w:val="00157170"/>
    <w:rsid w:val="0015728B"/>
    <w:rsid w:val="00157B0D"/>
    <w:rsid w:val="00157B7E"/>
    <w:rsid w:val="00157FCF"/>
    <w:rsid w:val="00161D5C"/>
    <w:rsid w:val="00162D26"/>
    <w:rsid w:val="0016328F"/>
    <w:rsid w:val="00164499"/>
    <w:rsid w:val="001647AB"/>
    <w:rsid w:val="00166460"/>
    <w:rsid w:val="00166D47"/>
    <w:rsid w:val="001676BA"/>
    <w:rsid w:val="0017043F"/>
    <w:rsid w:val="00170499"/>
    <w:rsid w:val="0017144D"/>
    <w:rsid w:val="0017183D"/>
    <w:rsid w:val="00174126"/>
    <w:rsid w:val="00175B26"/>
    <w:rsid w:val="001761FF"/>
    <w:rsid w:val="001767D2"/>
    <w:rsid w:val="001779BE"/>
    <w:rsid w:val="0018056A"/>
    <w:rsid w:val="00181430"/>
    <w:rsid w:val="00182091"/>
    <w:rsid w:val="00184A1E"/>
    <w:rsid w:val="00184C9F"/>
    <w:rsid w:val="00184CD1"/>
    <w:rsid w:val="00186196"/>
    <w:rsid w:val="001870B9"/>
    <w:rsid w:val="00187994"/>
    <w:rsid w:val="0019231D"/>
    <w:rsid w:val="001959FC"/>
    <w:rsid w:val="00196279"/>
    <w:rsid w:val="00196895"/>
    <w:rsid w:val="00197A41"/>
    <w:rsid w:val="001A1AC1"/>
    <w:rsid w:val="001A3EA5"/>
    <w:rsid w:val="001A43FA"/>
    <w:rsid w:val="001A4A54"/>
    <w:rsid w:val="001A5E60"/>
    <w:rsid w:val="001A6122"/>
    <w:rsid w:val="001B0A0F"/>
    <w:rsid w:val="001B18A8"/>
    <w:rsid w:val="001B34FD"/>
    <w:rsid w:val="001B3A7E"/>
    <w:rsid w:val="001B5F6E"/>
    <w:rsid w:val="001B6102"/>
    <w:rsid w:val="001C12D2"/>
    <w:rsid w:val="001C13AF"/>
    <w:rsid w:val="001C1577"/>
    <w:rsid w:val="001C28E6"/>
    <w:rsid w:val="001C2BA2"/>
    <w:rsid w:val="001C2EE7"/>
    <w:rsid w:val="001C3B7B"/>
    <w:rsid w:val="001C6506"/>
    <w:rsid w:val="001D1EE5"/>
    <w:rsid w:val="001D2F5C"/>
    <w:rsid w:val="001D7E0C"/>
    <w:rsid w:val="001D7E3E"/>
    <w:rsid w:val="001E0F72"/>
    <w:rsid w:val="001E430A"/>
    <w:rsid w:val="001E68FF"/>
    <w:rsid w:val="001E7545"/>
    <w:rsid w:val="001F0F4F"/>
    <w:rsid w:val="001F1334"/>
    <w:rsid w:val="001F2CE3"/>
    <w:rsid w:val="001F42E3"/>
    <w:rsid w:val="001F5DC9"/>
    <w:rsid w:val="001F7B4F"/>
    <w:rsid w:val="00200C0A"/>
    <w:rsid w:val="00201FCA"/>
    <w:rsid w:val="002038E4"/>
    <w:rsid w:val="00203C9B"/>
    <w:rsid w:val="00203DB0"/>
    <w:rsid w:val="00205FAB"/>
    <w:rsid w:val="00210808"/>
    <w:rsid w:val="00212406"/>
    <w:rsid w:val="002150A1"/>
    <w:rsid w:val="002164AF"/>
    <w:rsid w:val="00221391"/>
    <w:rsid w:val="002216D8"/>
    <w:rsid w:val="0022455C"/>
    <w:rsid w:val="00225754"/>
    <w:rsid w:val="002265CA"/>
    <w:rsid w:val="00226A2B"/>
    <w:rsid w:val="0023128D"/>
    <w:rsid w:val="00231619"/>
    <w:rsid w:val="00232D6C"/>
    <w:rsid w:val="002349CA"/>
    <w:rsid w:val="00240C09"/>
    <w:rsid w:val="00242192"/>
    <w:rsid w:val="00242213"/>
    <w:rsid w:val="002425D9"/>
    <w:rsid w:val="00244215"/>
    <w:rsid w:val="00245288"/>
    <w:rsid w:val="002453A3"/>
    <w:rsid w:val="00245480"/>
    <w:rsid w:val="00246183"/>
    <w:rsid w:val="00246BA3"/>
    <w:rsid w:val="00246FA4"/>
    <w:rsid w:val="00247D7B"/>
    <w:rsid w:val="00251453"/>
    <w:rsid w:val="00251FB0"/>
    <w:rsid w:val="002542BF"/>
    <w:rsid w:val="0026236D"/>
    <w:rsid w:val="00264054"/>
    <w:rsid w:val="00264A58"/>
    <w:rsid w:val="00264C2B"/>
    <w:rsid w:val="002652B8"/>
    <w:rsid w:val="00265516"/>
    <w:rsid w:val="00267FDE"/>
    <w:rsid w:val="00270DC7"/>
    <w:rsid w:val="0027468D"/>
    <w:rsid w:val="0027599B"/>
    <w:rsid w:val="002759D0"/>
    <w:rsid w:val="00275D26"/>
    <w:rsid w:val="0027679B"/>
    <w:rsid w:val="0027720E"/>
    <w:rsid w:val="00277660"/>
    <w:rsid w:val="00280F90"/>
    <w:rsid w:val="002815EA"/>
    <w:rsid w:val="00281BEB"/>
    <w:rsid w:val="00282A57"/>
    <w:rsid w:val="00283A56"/>
    <w:rsid w:val="00285439"/>
    <w:rsid w:val="00285D6D"/>
    <w:rsid w:val="00286BDE"/>
    <w:rsid w:val="00287A77"/>
    <w:rsid w:val="002908A5"/>
    <w:rsid w:val="002908D3"/>
    <w:rsid w:val="00291E3C"/>
    <w:rsid w:val="00292018"/>
    <w:rsid w:val="002936DC"/>
    <w:rsid w:val="00295879"/>
    <w:rsid w:val="00295D65"/>
    <w:rsid w:val="002A2790"/>
    <w:rsid w:val="002A2D3E"/>
    <w:rsid w:val="002A3444"/>
    <w:rsid w:val="002A3643"/>
    <w:rsid w:val="002A7DCA"/>
    <w:rsid w:val="002B0F93"/>
    <w:rsid w:val="002B16E8"/>
    <w:rsid w:val="002B1839"/>
    <w:rsid w:val="002B4CC3"/>
    <w:rsid w:val="002B4D58"/>
    <w:rsid w:val="002B7865"/>
    <w:rsid w:val="002B7A15"/>
    <w:rsid w:val="002C12F2"/>
    <w:rsid w:val="002C1CBC"/>
    <w:rsid w:val="002C2127"/>
    <w:rsid w:val="002C2286"/>
    <w:rsid w:val="002C2656"/>
    <w:rsid w:val="002C26D7"/>
    <w:rsid w:val="002C382E"/>
    <w:rsid w:val="002C4C5E"/>
    <w:rsid w:val="002C737B"/>
    <w:rsid w:val="002D44EE"/>
    <w:rsid w:val="002D4A3B"/>
    <w:rsid w:val="002D733A"/>
    <w:rsid w:val="002E3076"/>
    <w:rsid w:val="002E31F2"/>
    <w:rsid w:val="002E47AE"/>
    <w:rsid w:val="002E5D22"/>
    <w:rsid w:val="002E5FE7"/>
    <w:rsid w:val="002E65D9"/>
    <w:rsid w:val="002E65E9"/>
    <w:rsid w:val="002F0414"/>
    <w:rsid w:val="002F1A44"/>
    <w:rsid w:val="002F30B1"/>
    <w:rsid w:val="002F4E65"/>
    <w:rsid w:val="002F6323"/>
    <w:rsid w:val="002F6906"/>
    <w:rsid w:val="00303776"/>
    <w:rsid w:val="00303BA9"/>
    <w:rsid w:val="00303F6C"/>
    <w:rsid w:val="003047B0"/>
    <w:rsid w:val="003054ED"/>
    <w:rsid w:val="003058B2"/>
    <w:rsid w:val="00306C05"/>
    <w:rsid w:val="00307249"/>
    <w:rsid w:val="00311E72"/>
    <w:rsid w:val="00311EA0"/>
    <w:rsid w:val="00312A81"/>
    <w:rsid w:val="00314FD9"/>
    <w:rsid w:val="0031681E"/>
    <w:rsid w:val="00316B3A"/>
    <w:rsid w:val="00317137"/>
    <w:rsid w:val="0031742A"/>
    <w:rsid w:val="00322113"/>
    <w:rsid w:val="00322660"/>
    <w:rsid w:val="00324102"/>
    <w:rsid w:val="00324519"/>
    <w:rsid w:val="00324CA0"/>
    <w:rsid w:val="00324E68"/>
    <w:rsid w:val="003252A5"/>
    <w:rsid w:val="00325E16"/>
    <w:rsid w:val="003275E1"/>
    <w:rsid w:val="00327AB7"/>
    <w:rsid w:val="00327E32"/>
    <w:rsid w:val="003304C0"/>
    <w:rsid w:val="00332283"/>
    <w:rsid w:val="00335E82"/>
    <w:rsid w:val="00336B49"/>
    <w:rsid w:val="00337957"/>
    <w:rsid w:val="003435AF"/>
    <w:rsid w:val="00344BE8"/>
    <w:rsid w:val="00344D2D"/>
    <w:rsid w:val="00351DC5"/>
    <w:rsid w:val="0035675F"/>
    <w:rsid w:val="00357880"/>
    <w:rsid w:val="00360CBD"/>
    <w:rsid w:val="00361158"/>
    <w:rsid w:val="00364D17"/>
    <w:rsid w:val="00366CFF"/>
    <w:rsid w:val="00367A9E"/>
    <w:rsid w:val="003700CA"/>
    <w:rsid w:val="0037057A"/>
    <w:rsid w:val="00370A95"/>
    <w:rsid w:val="00371CE4"/>
    <w:rsid w:val="00371CF0"/>
    <w:rsid w:val="00373010"/>
    <w:rsid w:val="00373604"/>
    <w:rsid w:val="00373839"/>
    <w:rsid w:val="0037515E"/>
    <w:rsid w:val="00376A4D"/>
    <w:rsid w:val="00377A9F"/>
    <w:rsid w:val="00381287"/>
    <w:rsid w:val="003822B4"/>
    <w:rsid w:val="0038258C"/>
    <w:rsid w:val="00382612"/>
    <w:rsid w:val="00383424"/>
    <w:rsid w:val="00383B6C"/>
    <w:rsid w:val="00386988"/>
    <w:rsid w:val="00387518"/>
    <w:rsid w:val="00391CFC"/>
    <w:rsid w:val="00392688"/>
    <w:rsid w:val="00392DE3"/>
    <w:rsid w:val="00394280"/>
    <w:rsid w:val="003942EE"/>
    <w:rsid w:val="00395D1B"/>
    <w:rsid w:val="00397812"/>
    <w:rsid w:val="00397987"/>
    <w:rsid w:val="003A032B"/>
    <w:rsid w:val="003A0FD2"/>
    <w:rsid w:val="003A37A6"/>
    <w:rsid w:val="003A5277"/>
    <w:rsid w:val="003A6660"/>
    <w:rsid w:val="003A7AED"/>
    <w:rsid w:val="003A7FAE"/>
    <w:rsid w:val="003B1793"/>
    <w:rsid w:val="003B20FB"/>
    <w:rsid w:val="003B354D"/>
    <w:rsid w:val="003B4181"/>
    <w:rsid w:val="003B5D8F"/>
    <w:rsid w:val="003B7538"/>
    <w:rsid w:val="003C2515"/>
    <w:rsid w:val="003C3737"/>
    <w:rsid w:val="003C55B4"/>
    <w:rsid w:val="003C57A0"/>
    <w:rsid w:val="003D03F9"/>
    <w:rsid w:val="003D58B5"/>
    <w:rsid w:val="003D6B2E"/>
    <w:rsid w:val="003E118B"/>
    <w:rsid w:val="003E3D2C"/>
    <w:rsid w:val="003E42E6"/>
    <w:rsid w:val="003E5F50"/>
    <w:rsid w:val="003E5F71"/>
    <w:rsid w:val="003E6481"/>
    <w:rsid w:val="003E71BD"/>
    <w:rsid w:val="003E72AA"/>
    <w:rsid w:val="003E7AA2"/>
    <w:rsid w:val="003F0DB2"/>
    <w:rsid w:val="003F1A9E"/>
    <w:rsid w:val="003F5E65"/>
    <w:rsid w:val="00400827"/>
    <w:rsid w:val="00402B4E"/>
    <w:rsid w:val="00404137"/>
    <w:rsid w:val="0040557E"/>
    <w:rsid w:val="00405B86"/>
    <w:rsid w:val="00411886"/>
    <w:rsid w:val="00412535"/>
    <w:rsid w:val="00414FEC"/>
    <w:rsid w:val="0041567E"/>
    <w:rsid w:val="00416805"/>
    <w:rsid w:val="00416839"/>
    <w:rsid w:val="00416E0F"/>
    <w:rsid w:val="00417390"/>
    <w:rsid w:val="004221D8"/>
    <w:rsid w:val="00425D5E"/>
    <w:rsid w:val="00425FA9"/>
    <w:rsid w:val="004261C7"/>
    <w:rsid w:val="00426802"/>
    <w:rsid w:val="004273AB"/>
    <w:rsid w:val="00430BAD"/>
    <w:rsid w:val="00430F77"/>
    <w:rsid w:val="0043113B"/>
    <w:rsid w:val="00431289"/>
    <w:rsid w:val="0043489C"/>
    <w:rsid w:val="00434B97"/>
    <w:rsid w:val="00435568"/>
    <w:rsid w:val="00437C2B"/>
    <w:rsid w:val="00440AE9"/>
    <w:rsid w:val="00442C2C"/>
    <w:rsid w:val="00444152"/>
    <w:rsid w:val="00444334"/>
    <w:rsid w:val="00445561"/>
    <w:rsid w:val="00445A11"/>
    <w:rsid w:val="00446CAB"/>
    <w:rsid w:val="00446F23"/>
    <w:rsid w:val="004473D1"/>
    <w:rsid w:val="004478BD"/>
    <w:rsid w:val="00447ABF"/>
    <w:rsid w:val="00447B94"/>
    <w:rsid w:val="00447C87"/>
    <w:rsid w:val="00447F8A"/>
    <w:rsid w:val="00450239"/>
    <w:rsid w:val="004520E7"/>
    <w:rsid w:val="004543F8"/>
    <w:rsid w:val="0045457A"/>
    <w:rsid w:val="0046069C"/>
    <w:rsid w:val="00460773"/>
    <w:rsid w:val="00472A6E"/>
    <w:rsid w:val="00472AA5"/>
    <w:rsid w:val="00474494"/>
    <w:rsid w:val="00474767"/>
    <w:rsid w:val="00474A72"/>
    <w:rsid w:val="00475A09"/>
    <w:rsid w:val="00475A84"/>
    <w:rsid w:val="004762E5"/>
    <w:rsid w:val="004819F2"/>
    <w:rsid w:val="00483D46"/>
    <w:rsid w:val="00483FDB"/>
    <w:rsid w:val="0048474B"/>
    <w:rsid w:val="00485618"/>
    <w:rsid w:val="00485FF3"/>
    <w:rsid w:val="00487F76"/>
    <w:rsid w:val="00490607"/>
    <w:rsid w:val="00490CC1"/>
    <w:rsid w:val="00493817"/>
    <w:rsid w:val="00493C34"/>
    <w:rsid w:val="00495605"/>
    <w:rsid w:val="00496CAA"/>
    <w:rsid w:val="004A2551"/>
    <w:rsid w:val="004A29B5"/>
    <w:rsid w:val="004A2F16"/>
    <w:rsid w:val="004A3483"/>
    <w:rsid w:val="004A6500"/>
    <w:rsid w:val="004B0363"/>
    <w:rsid w:val="004B16FB"/>
    <w:rsid w:val="004B1A05"/>
    <w:rsid w:val="004B212B"/>
    <w:rsid w:val="004B624C"/>
    <w:rsid w:val="004C03C5"/>
    <w:rsid w:val="004C5C5A"/>
    <w:rsid w:val="004C6029"/>
    <w:rsid w:val="004C7507"/>
    <w:rsid w:val="004D009B"/>
    <w:rsid w:val="004D0EF6"/>
    <w:rsid w:val="004D2F95"/>
    <w:rsid w:val="004E2113"/>
    <w:rsid w:val="004E2AD9"/>
    <w:rsid w:val="004E758E"/>
    <w:rsid w:val="004E7AB5"/>
    <w:rsid w:val="004F3A25"/>
    <w:rsid w:val="004F49E6"/>
    <w:rsid w:val="004F56E8"/>
    <w:rsid w:val="004F686A"/>
    <w:rsid w:val="004F7583"/>
    <w:rsid w:val="00500EC4"/>
    <w:rsid w:val="00504160"/>
    <w:rsid w:val="0050596B"/>
    <w:rsid w:val="00505E63"/>
    <w:rsid w:val="00506122"/>
    <w:rsid w:val="00506275"/>
    <w:rsid w:val="00507793"/>
    <w:rsid w:val="00507E68"/>
    <w:rsid w:val="00510DFE"/>
    <w:rsid w:val="00512B65"/>
    <w:rsid w:val="00512DD9"/>
    <w:rsid w:val="00513EB3"/>
    <w:rsid w:val="00514D53"/>
    <w:rsid w:val="00514EC6"/>
    <w:rsid w:val="0051547B"/>
    <w:rsid w:val="005154BE"/>
    <w:rsid w:val="00515777"/>
    <w:rsid w:val="00515A7B"/>
    <w:rsid w:val="00515EEB"/>
    <w:rsid w:val="00520261"/>
    <w:rsid w:val="005217AD"/>
    <w:rsid w:val="00523AC3"/>
    <w:rsid w:val="0052444D"/>
    <w:rsid w:val="00524C95"/>
    <w:rsid w:val="00525647"/>
    <w:rsid w:val="00526129"/>
    <w:rsid w:val="0052666E"/>
    <w:rsid w:val="00531D9A"/>
    <w:rsid w:val="005324E4"/>
    <w:rsid w:val="00532951"/>
    <w:rsid w:val="00532AF0"/>
    <w:rsid w:val="0053385C"/>
    <w:rsid w:val="005357B6"/>
    <w:rsid w:val="0053624D"/>
    <w:rsid w:val="005409BC"/>
    <w:rsid w:val="00542838"/>
    <w:rsid w:val="00542913"/>
    <w:rsid w:val="00543A12"/>
    <w:rsid w:val="005452D1"/>
    <w:rsid w:val="00546E2D"/>
    <w:rsid w:val="00547FFB"/>
    <w:rsid w:val="00552CDF"/>
    <w:rsid w:val="005545A6"/>
    <w:rsid w:val="00555242"/>
    <w:rsid w:val="00556B71"/>
    <w:rsid w:val="005601D0"/>
    <w:rsid w:val="00560A39"/>
    <w:rsid w:val="00563526"/>
    <w:rsid w:val="00563E70"/>
    <w:rsid w:val="005647BA"/>
    <w:rsid w:val="00567412"/>
    <w:rsid w:val="00570F88"/>
    <w:rsid w:val="00571232"/>
    <w:rsid w:val="00571C4A"/>
    <w:rsid w:val="0057269B"/>
    <w:rsid w:val="0057283E"/>
    <w:rsid w:val="00575C90"/>
    <w:rsid w:val="0057665E"/>
    <w:rsid w:val="00576ECA"/>
    <w:rsid w:val="00580C57"/>
    <w:rsid w:val="00580C63"/>
    <w:rsid w:val="00581B36"/>
    <w:rsid w:val="00581EFA"/>
    <w:rsid w:val="00584A72"/>
    <w:rsid w:val="00585D2B"/>
    <w:rsid w:val="00586A68"/>
    <w:rsid w:val="00586F59"/>
    <w:rsid w:val="005910C5"/>
    <w:rsid w:val="00591756"/>
    <w:rsid w:val="00591A00"/>
    <w:rsid w:val="0059273A"/>
    <w:rsid w:val="00593BC9"/>
    <w:rsid w:val="00595017"/>
    <w:rsid w:val="00595247"/>
    <w:rsid w:val="005961D2"/>
    <w:rsid w:val="00596B0A"/>
    <w:rsid w:val="00596D89"/>
    <w:rsid w:val="005A155E"/>
    <w:rsid w:val="005A15E1"/>
    <w:rsid w:val="005A3650"/>
    <w:rsid w:val="005A4A00"/>
    <w:rsid w:val="005A6778"/>
    <w:rsid w:val="005B1D51"/>
    <w:rsid w:val="005B2EE9"/>
    <w:rsid w:val="005B32EB"/>
    <w:rsid w:val="005B388F"/>
    <w:rsid w:val="005B58E1"/>
    <w:rsid w:val="005B6F4E"/>
    <w:rsid w:val="005C4073"/>
    <w:rsid w:val="005C5535"/>
    <w:rsid w:val="005C73A2"/>
    <w:rsid w:val="005D04D9"/>
    <w:rsid w:val="005D05E6"/>
    <w:rsid w:val="005D4052"/>
    <w:rsid w:val="005D500E"/>
    <w:rsid w:val="005D5094"/>
    <w:rsid w:val="005E1E74"/>
    <w:rsid w:val="005E1F46"/>
    <w:rsid w:val="005E3781"/>
    <w:rsid w:val="005E6BAF"/>
    <w:rsid w:val="005F000C"/>
    <w:rsid w:val="005F1D24"/>
    <w:rsid w:val="005F3442"/>
    <w:rsid w:val="005F3F04"/>
    <w:rsid w:val="005F46A0"/>
    <w:rsid w:val="005F521A"/>
    <w:rsid w:val="005F582B"/>
    <w:rsid w:val="005F5B94"/>
    <w:rsid w:val="005F5ED2"/>
    <w:rsid w:val="005F6682"/>
    <w:rsid w:val="005F6C0E"/>
    <w:rsid w:val="00600769"/>
    <w:rsid w:val="0060121A"/>
    <w:rsid w:val="00602258"/>
    <w:rsid w:val="0060245D"/>
    <w:rsid w:val="00606180"/>
    <w:rsid w:val="00607348"/>
    <w:rsid w:val="006076DF"/>
    <w:rsid w:val="00611A1E"/>
    <w:rsid w:val="00614B9A"/>
    <w:rsid w:val="006162AA"/>
    <w:rsid w:val="006166EC"/>
    <w:rsid w:val="00620C1B"/>
    <w:rsid w:val="00622CCA"/>
    <w:rsid w:val="00624640"/>
    <w:rsid w:val="00626200"/>
    <w:rsid w:val="00627AAA"/>
    <w:rsid w:val="00631B96"/>
    <w:rsid w:val="006327C8"/>
    <w:rsid w:val="00636D77"/>
    <w:rsid w:val="006438AB"/>
    <w:rsid w:val="006443AD"/>
    <w:rsid w:val="00644AC2"/>
    <w:rsid w:val="00645C52"/>
    <w:rsid w:val="00645D02"/>
    <w:rsid w:val="00645F18"/>
    <w:rsid w:val="006470C5"/>
    <w:rsid w:val="006470DE"/>
    <w:rsid w:val="006523C1"/>
    <w:rsid w:val="006529C4"/>
    <w:rsid w:val="00652E5E"/>
    <w:rsid w:val="00654011"/>
    <w:rsid w:val="00654020"/>
    <w:rsid w:val="006543CC"/>
    <w:rsid w:val="00654766"/>
    <w:rsid w:val="006561B4"/>
    <w:rsid w:val="0065668B"/>
    <w:rsid w:val="00657211"/>
    <w:rsid w:val="006636D6"/>
    <w:rsid w:val="00664232"/>
    <w:rsid w:val="00664873"/>
    <w:rsid w:val="006672D1"/>
    <w:rsid w:val="00667F45"/>
    <w:rsid w:val="006714B4"/>
    <w:rsid w:val="00672347"/>
    <w:rsid w:val="00673F6B"/>
    <w:rsid w:val="006773E1"/>
    <w:rsid w:val="006823C8"/>
    <w:rsid w:val="006832D3"/>
    <w:rsid w:val="00685312"/>
    <w:rsid w:val="006858C2"/>
    <w:rsid w:val="0068709E"/>
    <w:rsid w:val="00687764"/>
    <w:rsid w:val="006906F9"/>
    <w:rsid w:val="00691BE0"/>
    <w:rsid w:val="00692349"/>
    <w:rsid w:val="00693F01"/>
    <w:rsid w:val="00694B2C"/>
    <w:rsid w:val="00697FDD"/>
    <w:rsid w:val="006A0994"/>
    <w:rsid w:val="006A0C18"/>
    <w:rsid w:val="006A13A9"/>
    <w:rsid w:val="006A343E"/>
    <w:rsid w:val="006A40E5"/>
    <w:rsid w:val="006A4105"/>
    <w:rsid w:val="006A454A"/>
    <w:rsid w:val="006A59AC"/>
    <w:rsid w:val="006A59DD"/>
    <w:rsid w:val="006B104C"/>
    <w:rsid w:val="006B2C7F"/>
    <w:rsid w:val="006B3013"/>
    <w:rsid w:val="006B33E4"/>
    <w:rsid w:val="006B346A"/>
    <w:rsid w:val="006B5065"/>
    <w:rsid w:val="006B55E5"/>
    <w:rsid w:val="006B7797"/>
    <w:rsid w:val="006B779B"/>
    <w:rsid w:val="006C023F"/>
    <w:rsid w:val="006C16A1"/>
    <w:rsid w:val="006C16F7"/>
    <w:rsid w:val="006C4899"/>
    <w:rsid w:val="006C52E9"/>
    <w:rsid w:val="006C63D2"/>
    <w:rsid w:val="006C7041"/>
    <w:rsid w:val="006C797F"/>
    <w:rsid w:val="006D1620"/>
    <w:rsid w:val="006D1F44"/>
    <w:rsid w:val="006D4242"/>
    <w:rsid w:val="006D443F"/>
    <w:rsid w:val="006E059F"/>
    <w:rsid w:val="006E1359"/>
    <w:rsid w:val="006E46E0"/>
    <w:rsid w:val="006E6244"/>
    <w:rsid w:val="006E645E"/>
    <w:rsid w:val="006E6D02"/>
    <w:rsid w:val="006E7183"/>
    <w:rsid w:val="006F0F01"/>
    <w:rsid w:val="006F2CF6"/>
    <w:rsid w:val="006F38D5"/>
    <w:rsid w:val="006F4960"/>
    <w:rsid w:val="006F565C"/>
    <w:rsid w:val="006F60DF"/>
    <w:rsid w:val="006F6F4D"/>
    <w:rsid w:val="006F762A"/>
    <w:rsid w:val="00700DE7"/>
    <w:rsid w:val="00701EAE"/>
    <w:rsid w:val="00702ED0"/>
    <w:rsid w:val="00703735"/>
    <w:rsid w:val="0070416F"/>
    <w:rsid w:val="007045F9"/>
    <w:rsid w:val="00705362"/>
    <w:rsid w:val="00705D9D"/>
    <w:rsid w:val="007076A1"/>
    <w:rsid w:val="00710976"/>
    <w:rsid w:val="00712CF2"/>
    <w:rsid w:val="007217C0"/>
    <w:rsid w:val="00721C6E"/>
    <w:rsid w:val="00724CA9"/>
    <w:rsid w:val="00725F69"/>
    <w:rsid w:val="00727ADE"/>
    <w:rsid w:val="00730F72"/>
    <w:rsid w:val="00732282"/>
    <w:rsid w:val="00732FC8"/>
    <w:rsid w:val="0073460C"/>
    <w:rsid w:val="00736309"/>
    <w:rsid w:val="00740CBD"/>
    <w:rsid w:val="00746F86"/>
    <w:rsid w:val="00750AF7"/>
    <w:rsid w:val="00751283"/>
    <w:rsid w:val="007517B7"/>
    <w:rsid w:val="007525F8"/>
    <w:rsid w:val="007544A7"/>
    <w:rsid w:val="007563BD"/>
    <w:rsid w:val="007575ED"/>
    <w:rsid w:val="0076103A"/>
    <w:rsid w:val="007610BB"/>
    <w:rsid w:val="00764E8F"/>
    <w:rsid w:val="007653DB"/>
    <w:rsid w:val="00765B23"/>
    <w:rsid w:val="00767570"/>
    <w:rsid w:val="00767AE3"/>
    <w:rsid w:val="00772730"/>
    <w:rsid w:val="00774693"/>
    <w:rsid w:val="00775B67"/>
    <w:rsid w:val="007771D0"/>
    <w:rsid w:val="007814E4"/>
    <w:rsid w:val="00781BED"/>
    <w:rsid w:val="00781C91"/>
    <w:rsid w:val="0078263A"/>
    <w:rsid w:val="00783765"/>
    <w:rsid w:val="00787B5B"/>
    <w:rsid w:val="00791B7C"/>
    <w:rsid w:val="007923ED"/>
    <w:rsid w:val="007923F4"/>
    <w:rsid w:val="00792B03"/>
    <w:rsid w:val="00793C60"/>
    <w:rsid w:val="00794E61"/>
    <w:rsid w:val="00795A36"/>
    <w:rsid w:val="00795D0A"/>
    <w:rsid w:val="00796C87"/>
    <w:rsid w:val="00796FFE"/>
    <w:rsid w:val="007A02BA"/>
    <w:rsid w:val="007A50C1"/>
    <w:rsid w:val="007A5871"/>
    <w:rsid w:val="007A5F66"/>
    <w:rsid w:val="007A6DC7"/>
    <w:rsid w:val="007A798C"/>
    <w:rsid w:val="007B01A7"/>
    <w:rsid w:val="007B259D"/>
    <w:rsid w:val="007B2D65"/>
    <w:rsid w:val="007B32A8"/>
    <w:rsid w:val="007B4ABC"/>
    <w:rsid w:val="007C6B6A"/>
    <w:rsid w:val="007D13B2"/>
    <w:rsid w:val="007D17C4"/>
    <w:rsid w:val="007D3001"/>
    <w:rsid w:val="007D3477"/>
    <w:rsid w:val="007D384B"/>
    <w:rsid w:val="007D4545"/>
    <w:rsid w:val="007D5EFF"/>
    <w:rsid w:val="007D765D"/>
    <w:rsid w:val="007E1360"/>
    <w:rsid w:val="007E1CBC"/>
    <w:rsid w:val="007E2F13"/>
    <w:rsid w:val="007E4CEA"/>
    <w:rsid w:val="007E6282"/>
    <w:rsid w:val="007E6BF7"/>
    <w:rsid w:val="007F1EB8"/>
    <w:rsid w:val="007F1F84"/>
    <w:rsid w:val="007F26E1"/>
    <w:rsid w:val="007F3450"/>
    <w:rsid w:val="007F4D59"/>
    <w:rsid w:val="007F57F7"/>
    <w:rsid w:val="007F6E42"/>
    <w:rsid w:val="007F76E5"/>
    <w:rsid w:val="008002A7"/>
    <w:rsid w:val="00800DDC"/>
    <w:rsid w:val="00803284"/>
    <w:rsid w:val="008034D9"/>
    <w:rsid w:val="00807D75"/>
    <w:rsid w:val="00807D8D"/>
    <w:rsid w:val="00810E10"/>
    <w:rsid w:val="00813B35"/>
    <w:rsid w:val="008162EE"/>
    <w:rsid w:val="00821A92"/>
    <w:rsid w:val="00823158"/>
    <w:rsid w:val="00824A44"/>
    <w:rsid w:val="00827B4A"/>
    <w:rsid w:val="00831BB1"/>
    <w:rsid w:val="00832857"/>
    <w:rsid w:val="0083374D"/>
    <w:rsid w:val="0083384E"/>
    <w:rsid w:val="00834296"/>
    <w:rsid w:val="008350A4"/>
    <w:rsid w:val="00836668"/>
    <w:rsid w:val="00837712"/>
    <w:rsid w:val="0084013A"/>
    <w:rsid w:val="00840688"/>
    <w:rsid w:val="00840F57"/>
    <w:rsid w:val="008424B5"/>
    <w:rsid w:val="00844D54"/>
    <w:rsid w:val="0084584A"/>
    <w:rsid w:val="00846549"/>
    <w:rsid w:val="00846BC6"/>
    <w:rsid w:val="00850B8C"/>
    <w:rsid w:val="008511D8"/>
    <w:rsid w:val="008557D6"/>
    <w:rsid w:val="008570DE"/>
    <w:rsid w:val="00861CB5"/>
    <w:rsid w:val="0086381B"/>
    <w:rsid w:val="00866EB4"/>
    <w:rsid w:val="0087128D"/>
    <w:rsid w:val="00871E02"/>
    <w:rsid w:val="008725DE"/>
    <w:rsid w:val="00872B5B"/>
    <w:rsid w:val="008744F4"/>
    <w:rsid w:val="00875E7B"/>
    <w:rsid w:val="0087658A"/>
    <w:rsid w:val="008765BA"/>
    <w:rsid w:val="00881547"/>
    <w:rsid w:val="00883B49"/>
    <w:rsid w:val="00884DEE"/>
    <w:rsid w:val="008854EB"/>
    <w:rsid w:val="0088560E"/>
    <w:rsid w:val="00886C6B"/>
    <w:rsid w:val="00887989"/>
    <w:rsid w:val="00891E11"/>
    <w:rsid w:val="00892903"/>
    <w:rsid w:val="00895D16"/>
    <w:rsid w:val="008961CF"/>
    <w:rsid w:val="008A09BD"/>
    <w:rsid w:val="008A10B7"/>
    <w:rsid w:val="008A13A7"/>
    <w:rsid w:val="008A1661"/>
    <w:rsid w:val="008A1D26"/>
    <w:rsid w:val="008A34F1"/>
    <w:rsid w:val="008A5E9F"/>
    <w:rsid w:val="008A6558"/>
    <w:rsid w:val="008A695A"/>
    <w:rsid w:val="008A7349"/>
    <w:rsid w:val="008A7703"/>
    <w:rsid w:val="008B0675"/>
    <w:rsid w:val="008B2D21"/>
    <w:rsid w:val="008B4C7F"/>
    <w:rsid w:val="008B5240"/>
    <w:rsid w:val="008B600C"/>
    <w:rsid w:val="008B617D"/>
    <w:rsid w:val="008B61E8"/>
    <w:rsid w:val="008B64C2"/>
    <w:rsid w:val="008B7BD1"/>
    <w:rsid w:val="008C1D3C"/>
    <w:rsid w:val="008C2C5F"/>
    <w:rsid w:val="008C3459"/>
    <w:rsid w:val="008C41CD"/>
    <w:rsid w:val="008C53B8"/>
    <w:rsid w:val="008C60D1"/>
    <w:rsid w:val="008C6EA3"/>
    <w:rsid w:val="008C7727"/>
    <w:rsid w:val="008C77B5"/>
    <w:rsid w:val="008C78EE"/>
    <w:rsid w:val="008C7A0E"/>
    <w:rsid w:val="008D1FBA"/>
    <w:rsid w:val="008D20F1"/>
    <w:rsid w:val="008D3716"/>
    <w:rsid w:val="008D44EE"/>
    <w:rsid w:val="008D4CD4"/>
    <w:rsid w:val="008D69A9"/>
    <w:rsid w:val="008E1949"/>
    <w:rsid w:val="008E2F2F"/>
    <w:rsid w:val="008E40F4"/>
    <w:rsid w:val="008E5B29"/>
    <w:rsid w:val="008E6A83"/>
    <w:rsid w:val="008E73C8"/>
    <w:rsid w:val="008E7430"/>
    <w:rsid w:val="008F0333"/>
    <w:rsid w:val="008F0435"/>
    <w:rsid w:val="008F08FF"/>
    <w:rsid w:val="008F0A77"/>
    <w:rsid w:val="008F12EB"/>
    <w:rsid w:val="008F1894"/>
    <w:rsid w:val="008F3518"/>
    <w:rsid w:val="008F3D87"/>
    <w:rsid w:val="008F4360"/>
    <w:rsid w:val="008F4421"/>
    <w:rsid w:val="008F48D5"/>
    <w:rsid w:val="008F5CC7"/>
    <w:rsid w:val="008F640C"/>
    <w:rsid w:val="008F7547"/>
    <w:rsid w:val="0090074C"/>
    <w:rsid w:val="00900AA9"/>
    <w:rsid w:val="00902ED4"/>
    <w:rsid w:val="0090539C"/>
    <w:rsid w:val="00905A99"/>
    <w:rsid w:val="009064F7"/>
    <w:rsid w:val="00906877"/>
    <w:rsid w:val="00907EA0"/>
    <w:rsid w:val="00910448"/>
    <w:rsid w:val="00911537"/>
    <w:rsid w:val="009116F4"/>
    <w:rsid w:val="0091227B"/>
    <w:rsid w:val="00915754"/>
    <w:rsid w:val="00916859"/>
    <w:rsid w:val="00917251"/>
    <w:rsid w:val="00917C6E"/>
    <w:rsid w:val="00920AA9"/>
    <w:rsid w:val="00922E80"/>
    <w:rsid w:val="0092509A"/>
    <w:rsid w:val="009251F5"/>
    <w:rsid w:val="0093121B"/>
    <w:rsid w:val="0093304B"/>
    <w:rsid w:val="00933270"/>
    <w:rsid w:val="009344AF"/>
    <w:rsid w:val="00934C86"/>
    <w:rsid w:val="00937D27"/>
    <w:rsid w:val="00940048"/>
    <w:rsid w:val="00943F98"/>
    <w:rsid w:val="00944D31"/>
    <w:rsid w:val="009452FE"/>
    <w:rsid w:val="009455E9"/>
    <w:rsid w:val="009473FF"/>
    <w:rsid w:val="00951534"/>
    <w:rsid w:val="00951DD2"/>
    <w:rsid w:val="00952A4E"/>
    <w:rsid w:val="009537EA"/>
    <w:rsid w:val="00954D36"/>
    <w:rsid w:val="0095592D"/>
    <w:rsid w:val="009568B5"/>
    <w:rsid w:val="0095722B"/>
    <w:rsid w:val="00957369"/>
    <w:rsid w:val="00961E96"/>
    <w:rsid w:val="009624EF"/>
    <w:rsid w:val="009647AF"/>
    <w:rsid w:val="0096610A"/>
    <w:rsid w:val="00967878"/>
    <w:rsid w:val="00970AEB"/>
    <w:rsid w:val="009716F4"/>
    <w:rsid w:val="00972A1C"/>
    <w:rsid w:val="00975A89"/>
    <w:rsid w:val="00975B99"/>
    <w:rsid w:val="00976854"/>
    <w:rsid w:val="00980358"/>
    <w:rsid w:val="00981801"/>
    <w:rsid w:val="00983BED"/>
    <w:rsid w:val="00983EE8"/>
    <w:rsid w:val="00986920"/>
    <w:rsid w:val="009903CD"/>
    <w:rsid w:val="00994665"/>
    <w:rsid w:val="00995725"/>
    <w:rsid w:val="00995B24"/>
    <w:rsid w:val="0099600C"/>
    <w:rsid w:val="009960F5"/>
    <w:rsid w:val="009979B9"/>
    <w:rsid w:val="00997B61"/>
    <w:rsid w:val="009A2E8D"/>
    <w:rsid w:val="009A588D"/>
    <w:rsid w:val="009A5B75"/>
    <w:rsid w:val="009A72C9"/>
    <w:rsid w:val="009B03BD"/>
    <w:rsid w:val="009B0E1B"/>
    <w:rsid w:val="009B11A0"/>
    <w:rsid w:val="009B1B74"/>
    <w:rsid w:val="009B2861"/>
    <w:rsid w:val="009B299B"/>
    <w:rsid w:val="009B4464"/>
    <w:rsid w:val="009B5BDD"/>
    <w:rsid w:val="009C1908"/>
    <w:rsid w:val="009C1E20"/>
    <w:rsid w:val="009C4980"/>
    <w:rsid w:val="009C724B"/>
    <w:rsid w:val="009D21B9"/>
    <w:rsid w:val="009D263E"/>
    <w:rsid w:val="009D37F3"/>
    <w:rsid w:val="009D42A9"/>
    <w:rsid w:val="009D49F2"/>
    <w:rsid w:val="009D4D44"/>
    <w:rsid w:val="009E2DEF"/>
    <w:rsid w:val="009E3716"/>
    <w:rsid w:val="009E6290"/>
    <w:rsid w:val="009F1EF7"/>
    <w:rsid w:val="009F2183"/>
    <w:rsid w:val="009F47A5"/>
    <w:rsid w:val="009F6235"/>
    <w:rsid w:val="009F6615"/>
    <w:rsid w:val="00A01061"/>
    <w:rsid w:val="00A018D3"/>
    <w:rsid w:val="00A02AA3"/>
    <w:rsid w:val="00A02ADD"/>
    <w:rsid w:val="00A03FC0"/>
    <w:rsid w:val="00A041FA"/>
    <w:rsid w:val="00A05220"/>
    <w:rsid w:val="00A05FCE"/>
    <w:rsid w:val="00A06F0E"/>
    <w:rsid w:val="00A07ABC"/>
    <w:rsid w:val="00A148FE"/>
    <w:rsid w:val="00A16BBA"/>
    <w:rsid w:val="00A16E12"/>
    <w:rsid w:val="00A16ED6"/>
    <w:rsid w:val="00A1770B"/>
    <w:rsid w:val="00A2212E"/>
    <w:rsid w:val="00A22CAA"/>
    <w:rsid w:val="00A235E1"/>
    <w:rsid w:val="00A23DB2"/>
    <w:rsid w:val="00A246A4"/>
    <w:rsid w:val="00A31434"/>
    <w:rsid w:val="00A32199"/>
    <w:rsid w:val="00A34782"/>
    <w:rsid w:val="00A351B3"/>
    <w:rsid w:val="00A368BE"/>
    <w:rsid w:val="00A37F8A"/>
    <w:rsid w:val="00A40100"/>
    <w:rsid w:val="00A42509"/>
    <w:rsid w:val="00A452CB"/>
    <w:rsid w:val="00A46F20"/>
    <w:rsid w:val="00A47013"/>
    <w:rsid w:val="00A50815"/>
    <w:rsid w:val="00A52E65"/>
    <w:rsid w:val="00A5468E"/>
    <w:rsid w:val="00A560F8"/>
    <w:rsid w:val="00A572A7"/>
    <w:rsid w:val="00A60AA2"/>
    <w:rsid w:val="00A6147D"/>
    <w:rsid w:val="00A6188E"/>
    <w:rsid w:val="00A61E3B"/>
    <w:rsid w:val="00A61F82"/>
    <w:rsid w:val="00A63AF8"/>
    <w:rsid w:val="00A64CCA"/>
    <w:rsid w:val="00A707E8"/>
    <w:rsid w:val="00A70829"/>
    <w:rsid w:val="00A71DE3"/>
    <w:rsid w:val="00A73BE6"/>
    <w:rsid w:val="00A748F5"/>
    <w:rsid w:val="00A750A8"/>
    <w:rsid w:val="00A764BE"/>
    <w:rsid w:val="00A76E2D"/>
    <w:rsid w:val="00A839E9"/>
    <w:rsid w:val="00A8451C"/>
    <w:rsid w:val="00A85768"/>
    <w:rsid w:val="00A91FDA"/>
    <w:rsid w:val="00A92F02"/>
    <w:rsid w:val="00A943DC"/>
    <w:rsid w:val="00A953C3"/>
    <w:rsid w:val="00A95499"/>
    <w:rsid w:val="00A954D4"/>
    <w:rsid w:val="00A960AE"/>
    <w:rsid w:val="00A96D6D"/>
    <w:rsid w:val="00AA0314"/>
    <w:rsid w:val="00AA0B66"/>
    <w:rsid w:val="00AA34CC"/>
    <w:rsid w:val="00AA3752"/>
    <w:rsid w:val="00AA3A65"/>
    <w:rsid w:val="00AA4178"/>
    <w:rsid w:val="00AA492D"/>
    <w:rsid w:val="00AA5224"/>
    <w:rsid w:val="00AA58E1"/>
    <w:rsid w:val="00AA7C63"/>
    <w:rsid w:val="00AB0C01"/>
    <w:rsid w:val="00AB1504"/>
    <w:rsid w:val="00AB1BA6"/>
    <w:rsid w:val="00AB21CF"/>
    <w:rsid w:val="00AB2AE7"/>
    <w:rsid w:val="00AB6126"/>
    <w:rsid w:val="00AB6679"/>
    <w:rsid w:val="00AB6F05"/>
    <w:rsid w:val="00AB7137"/>
    <w:rsid w:val="00AC2E5B"/>
    <w:rsid w:val="00AC3247"/>
    <w:rsid w:val="00AC35AA"/>
    <w:rsid w:val="00AC3FE2"/>
    <w:rsid w:val="00AC4658"/>
    <w:rsid w:val="00AC5B51"/>
    <w:rsid w:val="00AC7BD8"/>
    <w:rsid w:val="00AC7E34"/>
    <w:rsid w:val="00AD09FE"/>
    <w:rsid w:val="00AD2608"/>
    <w:rsid w:val="00AD7545"/>
    <w:rsid w:val="00AE015A"/>
    <w:rsid w:val="00AE1A03"/>
    <w:rsid w:val="00AE1A32"/>
    <w:rsid w:val="00AE29AB"/>
    <w:rsid w:val="00AE2C5B"/>
    <w:rsid w:val="00AE39D3"/>
    <w:rsid w:val="00AE47E8"/>
    <w:rsid w:val="00AE4972"/>
    <w:rsid w:val="00AE63EE"/>
    <w:rsid w:val="00AE66AA"/>
    <w:rsid w:val="00AE6972"/>
    <w:rsid w:val="00AE74DE"/>
    <w:rsid w:val="00AE7A2B"/>
    <w:rsid w:val="00AF1617"/>
    <w:rsid w:val="00AF1FA7"/>
    <w:rsid w:val="00AF2DB9"/>
    <w:rsid w:val="00AF3998"/>
    <w:rsid w:val="00AF5A2D"/>
    <w:rsid w:val="00AF5FB0"/>
    <w:rsid w:val="00AF68F0"/>
    <w:rsid w:val="00AF6956"/>
    <w:rsid w:val="00AF751C"/>
    <w:rsid w:val="00B00350"/>
    <w:rsid w:val="00B00F11"/>
    <w:rsid w:val="00B01CF9"/>
    <w:rsid w:val="00B108A5"/>
    <w:rsid w:val="00B12F0B"/>
    <w:rsid w:val="00B1371C"/>
    <w:rsid w:val="00B16623"/>
    <w:rsid w:val="00B16CF2"/>
    <w:rsid w:val="00B20321"/>
    <w:rsid w:val="00B228C9"/>
    <w:rsid w:val="00B22B0C"/>
    <w:rsid w:val="00B24670"/>
    <w:rsid w:val="00B2482D"/>
    <w:rsid w:val="00B25318"/>
    <w:rsid w:val="00B27B16"/>
    <w:rsid w:val="00B319E0"/>
    <w:rsid w:val="00B320A4"/>
    <w:rsid w:val="00B32602"/>
    <w:rsid w:val="00B33D83"/>
    <w:rsid w:val="00B4125C"/>
    <w:rsid w:val="00B458C8"/>
    <w:rsid w:val="00B46690"/>
    <w:rsid w:val="00B46B2B"/>
    <w:rsid w:val="00B512E0"/>
    <w:rsid w:val="00B51E1F"/>
    <w:rsid w:val="00B521F3"/>
    <w:rsid w:val="00B53764"/>
    <w:rsid w:val="00B54BDD"/>
    <w:rsid w:val="00B56D48"/>
    <w:rsid w:val="00B60234"/>
    <w:rsid w:val="00B60DD6"/>
    <w:rsid w:val="00B62233"/>
    <w:rsid w:val="00B62240"/>
    <w:rsid w:val="00B659BE"/>
    <w:rsid w:val="00B65F43"/>
    <w:rsid w:val="00B67CB0"/>
    <w:rsid w:val="00B70FC2"/>
    <w:rsid w:val="00B743AE"/>
    <w:rsid w:val="00B75569"/>
    <w:rsid w:val="00B80297"/>
    <w:rsid w:val="00B805EF"/>
    <w:rsid w:val="00B80CAA"/>
    <w:rsid w:val="00B80E43"/>
    <w:rsid w:val="00B810B8"/>
    <w:rsid w:val="00B850A6"/>
    <w:rsid w:val="00B8529A"/>
    <w:rsid w:val="00B869A5"/>
    <w:rsid w:val="00B869BC"/>
    <w:rsid w:val="00B86D69"/>
    <w:rsid w:val="00B876C8"/>
    <w:rsid w:val="00B9040D"/>
    <w:rsid w:val="00B905C0"/>
    <w:rsid w:val="00B938D7"/>
    <w:rsid w:val="00B96885"/>
    <w:rsid w:val="00B97115"/>
    <w:rsid w:val="00B97A82"/>
    <w:rsid w:val="00BA00DB"/>
    <w:rsid w:val="00BA0CB4"/>
    <w:rsid w:val="00BA390E"/>
    <w:rsid w:val="00BA4185"/>
    <w:rsid w:val="00BA4F0C"/>
    <w:rsid w:val="00BA6656"/>
    <w:rsid w:val="00BB1186"/>
    <w:rsid w:val="00BB3396"/>
    <w:rsid w:val="00BB4A76"/>
    <w:rsid w:val="00BB4BE4"/>
    <w:rsid w:val="00BB5281"/>
    <w:rsid w:val="00BB62E2"/>
    <w:rsid w:val="00BB7F4D"/>
    <w:rsid w:val="00BC0277"/>
    <w:rsid w:val="00BC0B25"/>
    <w:rsid w:val="00BC1A2F"/>
    <w:rsid w:val="00BC33A0"/>
    <w:rsid w:val="00BD002B"/>
    <w:rsid w:val="00BD094E"/>
    <w:rsid w:val="00BD0B20"/>
    <w:rsid w:val="00BD38EC"/>
    <w:rsid w:val="00BD5AEB"/>
    <w:rsid w:val="00BD5F8E"/>
    <w:rsid w:val="00BD6FEB"/>
    <w:rsid w:val="00BE0B33"/>
    <w:rsid w:val="00BE0DAB"/>
    <w:rsid w:val="00BE212D"/>
    <w:rsid w:val="00BE33A5"/>
    <w:rsid w:val="00BE4847"/>
    <w:rsid w:val="00BE6337"/>
    <w:rsid w:val="00BF028D"/>
    <w:rsid w:val="00BF04F3"/>
    <w:rsid w:val="00BF0555"/>
    <w:rsid w:val="00BF1FBF"/>
    <w:rsid w:val="00BF51B3"/>
    <w:rsid w:val="00BF5E00"/>
    <w:rsid w:val="00BF625C"/>
    <w:rsid w:val="00BF6A79"/>
    <w:rsid w:val="00C00138"/>
    <w:rsid w:val="00C030A6"/>
    <w:rsid w:val="00C03583"/>
    <w:rsid w:val="00C040A1"/>
    <w:rsid w:val="00C045A3"/>
    <w:rsid w:val="00C05143"/>
    <w:rsid w:val="00C05DF2"/>
    <w:rsid w:val="00C06810"/>
    <w:rsid w:val="00C0687D"/>
    <w:rsid w:val="00C0751A"/>
    <w:rsid w:val="00C07CE5"/>
    <w:rsid w:val="00C13331"/>
    <w:rsid w:val="00C137F4"/>
    <w:rsid w:val="00C13F5E"/>
    <w:rsid w:val="00C147A8"/>
    <w:rsid w:val="00C14D31"/>
    <w:rsid w:val="00C176F2"/>
    <w:rsid w:val="00C21924"/>
    <w:rsid w:val="00C23254"/>
    <w:rsid w:val="00C24E62"/>
    <w:rsid w:val="00C2526B"/>
    <w:rsid w:val="00C2592C"/>
    <w:rsid w:val="00C26BB3"/>
    <w:rsid w:val="00C324D9"/>
    <w:rsid w:val="00C32616"/>
    <w:rsid w:val="00C3365F"/>
    <w:rsid w:val="00C33712"/>
    <w:rsid w:val="00C34F2A"/>
    <w:rsid w:val="00C35391"/>
    <w:rsid w:val="00C356FF"/>
    <w:rsid w:val="00C35B7A"/>
    <w:rsid w:val="00C35E65"/>
    <w:rsid w:val="00C36000"/>
    <w:rsid w:val="00C36F76"/>
    <w:rsid w:val="00C37459"/>
    <w:rsid w:val="00C40280"/>
    <w:rsid w:val="00C40F5C"/>
    <w:rsid w:val="00C43491"/>
    <w:rsid w:val="00C44D48"/>
    <w:rsid w:val="00C46D32"/>
    <w:rsid w:val="00C470DD"/>
    <w:rsid w:val="00C52831"/>
    <w:rsid w:val="00C538EF"/>
    <w:rsid w:val="00C568C8"/>
    <w:rsid w:val="00C62BBC"/>
    <w:rsid w:val="00C63F05"/>
    <w:rsid w:val="00C645EB"/>
    <w:rsid w:val="00C65B90"/>
    <w:rsid w:val="00C67E0B"/>
    <w:rsid w:val="00C711E0"/>
    <w:rsid w:val="00C7215E"/>
    <w:rsid w:val="00C738B4"/>
    <w:rsid w:val="00C747D0"/>
    <w:rsid w:val="00C75BB9"/>
    <w:rsid w:val="00C761DA"/>
    <w:rsid w:val="00C80523"/>
    <w:rsid w:val="00C813DF"/>
    <w:rsid w:val="00C81EFA"/>
    <w:rsid w:val="00C8346B"/>
    <w:rsid w:val="00C85FFA"/>
    <w:rsid w:val="00C867B4"/>
    <w:rsid w:val="00C869BA"/>
    <w:rsid w:val="00C870F2"/>
    <w:rsid w:val="00C872FC"/>
    <w:rsid w:val="00C90AB7"/>
    <w:rsid w:val="00C912FD"/>
    <w:rsid w:val="00C91AB0"/>
    <w:rsid w:val="00C91E04"/>
    <w:rsid w:val="00C927A1"/>
    <w:rsid w:val="00C930BD"/>
    <w:rsid w:val="00C953DA"/>
    <w:rsid w:val="00C9540F"/>
    <w:rsid w:val="00C964F0"/>
    <w:rsid w:val="00C965D2"/>
    <w:rsid w:val="00CA0BE0"/>
    <w:rsid w:val="00CA1B48"/>
    <w:rsid w:val="00CA20B0"/>
    <w:rsid w:val="00CA476C"/>
    <w:rsid w:val="00CA4C43"/>
    <w:rsid w:val="00CA555D"/>
    <w:rsid w:val="00CA7BE9"/>
    <w:rsid w:val="00CB0393"/>
    <w:rsid w:val="00CB1809"/>
    <w:rsid w:val="00CB24BC"/>
    <w:rsid w:val="00CB2E67"/>
    <w:rsid w:val="00CB3F23"/>
    <w:rsid w:val="00CB48B4"/>
    <w:rsid w:val="00CB658F"/>
    <w:rsid w:val="00CC0E12"/>
    <w:rsid w:val="00CC139C"/>
    <w:rsid w:val="00CC324E"/>
    <w:rsid w:val="00CC5FAE"/>
    <w:rsid w:val="00CD0410"/>
    <w:rsid w:val="00CD3E32"/>
    <w:rsid w:val="00CD425D"/>
    <w:rsid w:val="00CD42C1"/>
    <w:rsid w:val="00CD6536"/>
    <w:rsid w:val="00CE1882"/>
    <w:rsid w:val="00CE2331"/>
    <w:rsid w:val="00CE254A"/>
    <w:rsid w:val="00CE2810"/>
    <w:rsid w:val="00CE44A6"/>
    <w:rsid w:val="00CE6DB9"/>
    <w:rsid w:val="00CF0CAB"/>
    <w:rsid w:val="00CF2C21"/>
    <w:rsid w:val="00CF5684"/>
    <w:rsid w:val="00CF65D0"/>
    <w:rsid w:val="00CF68A8"/>
    <w:rsid w:val="00CF6990"/>
    <w:rsid w:val="00D02065"/>
    <w:rsid w:val="00D039AC"/>
    <w:rsid w:val="00D03BA8"/>
    <w:rsid w:val="00D049A7"/>
    <w:rsid w:val="00D074B9"/>
    <w:rsid w:val="00D100EC"/>
    <w:rsid w:val="00D10C82"/>
    <w:rsid w:val="00D10D73"/>
    <w:rsid w:val="00D11535"/>
    <w:rsid w:val="00D12FAF"/>
    <w:rsid w:val="00D1431E"/>
    <w:rsid w:val="00D149ED"/>
    <w:rsid w:val="00D14EFA"/>
    <w:rsid w:val="00D1562A"/>
    <w:rsid w:val="00D15D0D"/>
    <w:rsid w:val="00D166B6"/>
    <w:rsid w:val="00D16C53"/>
    <w:rsid w:val="00D17A3E"/>
    <w:rsid w:val="00D20969"/>
    <w:rsid w:val="00D20BD6"/>
    <w:rsid w:val="00D219C5"/>
    <w:rsid w:val="00D21E05"/>
    <w:rsid w:val="00D22577"/>
    <w:rsid w:val="00D22F06"/>
    <w:rsid w:val="00D26029"/>
    <w:rsid w:val="00D30A0B"/>
    <w:rsid w:val="00D32556"/>
    <w:rsid w:val="00D335A6"/>
    <w:rsid w:val="00D336A6"/>
    <w:rsid w:val="00D3625B"/>
    <w:rsid w:val="00D36466"/>
    <w:rsid w:val="00D36A8A"/>
    <w:rsid w:val="00D4189F"/>
    <w:rsid w:val="00D41C34"/>
    <w:rsid w:val="00D4475D"/>
    <w:rsid w:val="00D45552"/>
    <w:rsid w:val="00D47D23"/>
    <w:rsid w:val="00D546AF"/>
    <w:rsid w:val="00D54D39"/>
    <w:rsid w:val="00D56F83"/>
    <w:rsid w:val="00D5740F"/>
    <w:rsid w:val="00D57CE1"/>
    <w:rsid w:val="00D632AC"/>
    <w:rsid w:val="00D65598"/>
    <w:rsid w:val="00D66025"/>
    <w:rsid w:val="00D666B4"/>
    <w:rsid w:val="00D66DBF"/>
    <w:rsid w:val="00D7236C"/>
    <w:rsid w:val="00D723D8"/>
    <w:rsid w:val="00D7323A"/>
    <w:rsid w:val="00D73F23"/>
    <w:rsid w:val="00D73F68"/>
    <w:rsid w:val="00D741D9"/>
    <w:rsid w:val="00D76033"/>
    <w:rsid w:val="00D77B0F"/>
    <w:rsid w:val="00D80934"/>
    <w:rsid w:val="00D8394E"/>
    <w:rsid w:val="00D870DD"/>
    <w:rsid w:val="00D87B9B"/>
    <w:rsid w:val="00D91E47"/>
    <w:rsid w:val="00D927F9"/>
    <w:rsid w:val="00D93CD0"/>
    <w:rsid w:val="00D94361"/>
    <w:rsid w:val="00D94E5D"/>
    <w:rsid w:val="00D95125"/>
    <w:rsid w:val="00D97C4F"/>
    <w:rsid w:val="00D97E33"/>
    <w:rsid w:val="00DA0A1D"/>
    <w:rsid w:val="00DA0B99"/>
    <w:rsid w:val="00DA42F1"/>
    <w:rsid w:val="00DA557F"/>
    <w:rsid w:val="00DA5610"/>
    <w:rsid w:val="00DA62E9"/>
    <w:rsid w:val="00DA6DF7"/>
    <w:rsid w:val="00DB1B7A"/>
    <w:rsid w:val="00DB2728"/>
    <w:rsid w:val="00DB382F"/>
    <w:rsid w:val="00DB4670"/>
    <w:rsid w:val="00DC1262"/>
    <w:rsid w:val="00DC1589"/>
    <w:rsid w:val="00DC16AC"/>
    <w:rsid w:val="00DC215C"/>
    <w:rsid w:val="00DC2752"/>
    <w:rsid w:val="00DC295B"/>
    <w:rsid w:val="00DC41B4"/>
    <w:rsid w:val="00DC4944"/>
    <w:rsid w:val="00DC51EA"/>
    <w:rsid w:val="00DC6D88"/>
    <w:rsid w:val="00DD0140"/>
    <w:rsid w:val="00DD2955"/>
    <w:rsid w:val="00DD39EA"/>
    <w:rsid w:val="00DD5A96"/>
    <w:rsid w:val="00DD6190"/>
    <w:rsid w:val="00DD71A1"/>
    <w:rsid w:val="00DE078C"/>
    <w:rsid w:val="00DF04C8"/>
    <w:rsid w:val="00DF08E4"/>
    <w:rsid w:val="00DF0C93"/>
    <w:rsid w:val="00DF13EC"/>
    <w:rsid w:val="00DF3F7C"/>
    <w:rsid w:val="00DF5B72"/>
    <w:rsid w:val="00DF6F3E"/>
    <w:rsid w:val="00E015AC"/>
    <w:rsid w:val="00E02759"/>
    <w:rsid w:val="00E12E95"/>
    <w:rsid w:val="00E12F43"/>
    <w:rsid w:val="00E13511"/>
    <w:rsid w:val="00E135BF"/>
    <w:rsid w:val="00E149C6"/>
    <w:rsid w:val="00E17F63"/>
    <w:rsid w:val="00E2064C"/>
    <w:rsid w:val="00E21476"/>
    <w:rsid w:val="00E2185F"/>
    <w:rsid w:val="00E22565"/>
    <w:rsid w:val="00E22A1E"/>
    <w:rsid w:val="00E23946"/>
    <w:rsid w:val="00E3063B"/>
    <w:rsid w:val="00E31EE3"/>
    <w:rsid w:val="00E33F36"/>
    <w:rsid w:val="00E352E8"/>
    <w:rsid w:val="00E36169"/>
    <w:rsid w:val="00E3729C"/>
    <w:rsid w:val="00E429A5"/>
    <w:rsid w:val="00E4343A"/>
    <w:rsid w:val="00E46097"/>
    <w:rsid w:val="00E46766"/>
    <w:rsid w:val="00E47647"/>
    <w:rsid w:val="00E50898"/>
    <w:rsid w:val="00E51495"/>
    <w:rsid w:val="00E51725"/>
    <w:rsid w:val="00E528CA"/>
    <w:rsid w:val="00E60321"/>
    <w:rsid w:val="00E60A91"/>
    <w:rsid w:val="00E614F6"/>
    <w:rsid w:val="00E641E2"/>
    <w:rsid w:val="00E64CBE"/>
    <w:rsid w:val="00E65828"/>
    <w:rsid w:val="00E65958"/>
    <w:rsid w:val="00E720A4"/>
    <w:rsid w:val="00E72958"/>
    <w:rsid w:val="00E7334B"/>
    <w:rsid w:val="00E752C7"/>
    <w:rsid w:val="00E75CD5"/>
    <w:rsid w:val="00E76801"/>
    <w:rsid w:val="00E768A7"/>
    <w:rsid w:val="00E76E26"/>
    <w:rsid w:val="00E77AB2"/>
    <w:rsid w:val="00E800EB"/>
    <w:rsid w:val="00E81028"/>
    <w:rsid w:val="00E8286C"/>
    <w:rsid w:val="00E835F6"/>
    <w:rsid w:val="00E839F1"/>
    <w:rsid w:val="00E84BA8"/>
    <w:rsid w:val="00E85A26"/>
    <w:rsid w:val="00E85AB2"/>
    <w:rsid w:val="00E9038F"/>
    <w:rsid w:val="00E9139E"/>
    <w:rsid w:val="00E91FE8"/>
    <w:rsid w:val="00E92355"/>
    <w:rsid w:val="00E93470"/>
    <w:rsid w:val="00E958ED"/>
    <w:rsid w:val="00EA0209"/>
    <w:rsid w:val="00EA214D"/>
    <w:rsid w:val="00EA2437"/>
    <w:rsid w:val="00EA2E5F"/>
    <w:rsid w:val="00EA3458"/>
    <w:rsid w:val="00EA4B34"/>
    <w:rsid w:val="00EA6AF6"/>
    <w:rsid w:val="00EA7027"/>
    <w:rsid w:val="00EA7247"/>
    <w:rsid w:val="00EA7AFC"/>
    <w:rsid w:val="00EA7C27"/>
    <w:rsid w:val="00EB2131"/>
    <w:rsid w:val="00EB27DC"/>
    <w:rsid w:val="00EB287A"/>
    <w:rsid w:val="00EB34CD"/>
    <w:rsid w:val="00EB453C"/>
    <w:rsid w:val="00EB6C6D"/>
    <w:rsid w:val="00EB7FAC"/>
    <w:rsid w:val="00EC4DC6"/>
    <w:rsid w:val="00EC5AFF"/>
    <w:rsid w:val="00EC6358"/>
    <w:rsid w:val="00EC6882"/>
    <w:rsid w:val="00ED0EA6"/>
    <w:rsid w:val="00ED1288"/>
    <w:rsid w:val="00ED31A5"/>
    <w:rsid w:val="00ED38BE"/>
    <w:rsid w:val="00ED53F8"/>
    <w:rsid w:val="00ED604C"/>
    <w:rsid w:val="00ED71AE"/>
    <w:rsid w:val="00ED77AA"/>
    <w:rsid w:val="00ED7F8D"/>
    <w:rsid w:val="00EE00A9"/>
    <w:rsid w:val="00EE01B1"/>
    <w:rsid w:val="00EE53EA"/>
    <w:rsid w:val="00EE56D1"/>
    <w:rsid w:val="00EE6720"/>
    <w:rsid w:val="00EE6AFF"/>
    <w:rsid w:val="00EF30DF"/>
    <w:rsid w:val="00EF3F85"/>
    <w:rsid w:val="00EF3FFE"/>
    <w:rsid w:val="00EF449A"/>
    <w:rsid w:val="00F02DED"/>
    <w:rsid w:val="00F0361E"/>
    <w:rsid w:val="00F06AA0"/>
    <w:rsid w:val="00F07357"/>
    <w:rsid w:val="00F0755B"/>
    <w:rsid w:val="00F0777C"/>
    <w:rsid w:val="00F07945"/>
    <w:rsid w:val="00F15AED"/>
    <w:rsid w:val="00F171E3"/>
    <w:rsid w:val="00F21C66"/>
    <w:rsid w:val="00F21CFE"/>
    <w:rsid w:val="00F226D5"/>
    <w:rsid w:val="00F25C28"/>
    <w:rsid w:val="00F26058"/>
    <w:rsid w:val="00F26102"/>
    <w:rsid w:val="00F27D43"/>
    <w:rsid w:val="00F314C1"/>
    <w:rsid w:val="00F31AC5"/>
    <w:rsid w:val="00F33161"/>
    <w:rsid w:val="00F33332"/>
    <w:rsid w:val="00F36637"/>
    <w:rsid w:val="00F40E54"/>
    <w:rsid w:val="00F42456"/>
    <w:rsid w:val="00F446C3"/>
    <w:rsid w:val="00F44FCC"/>
    <w:rsid w:val="00F50126"/>
    <w:rsid w:val="00F509E6"/>
    <w:rsid w:val="00F52B03"/>
    <w:rsid w:val="00F530AF"/>
    <w:rsid w:val="00F53B6B"/>
    <w:rsid w:val="00F53BA2"/>
    <w:rsid w:val="00F55359"/>
    <w:rsid w:val="00F553E8"/>
    <w:rsid w:val="00F56F67"/>
    <w:rsid w:val="00F5745C"/>
    <w:rsid w:val="00F61590"/>
    <w:rsid w:val="00F62E3F"/>
    <w:rsid w:val="00F62F50"/>
    <w:rsid w:val="00F638A8"/>
    <w:rsid w:val="00F63E9F"/>
    <w:rsid w:val="00F65DEF"/>
    <w:rsid w:val="00F668AA"/>
    <w:rsid w:val="00F73EE4"/>
    <w:rsid w:val="00F73F8A"/>
    <w:rsid w:val="00F74BB7"/>
    <w:rsid w:val="00F75BD5"/>
    <w:rsid w:val="00F82D0B"/>
    <w:rsid w:val="00F82D47"/>
    <w:rsid w:val="00F84013"/>
    <w:rsid w:val="00F842DC"/>
    <w:rsid w:val="00F846C0"/>
    <w:rsid w:val="00F86BC2"/>
    <w:rsid w:val="00F876B2"/>
    <w:rsid w:val="00F90A5C"/>
    <w:rsid w:val="00F92667"/>
    <w:rsid w:val="00F942F3"/>
    <w:rsid w:val="00F95245"/>
    <w:rsid w:val="00F96E3E"/>
    <w:rsid w:val="00F9761B"/>
    <w:rsid w:val="00F97AE0"/>
    <w:rsid w:val="00FA097D"/>
    <w:rsid w:val="00FA1766"/>
    <w:rsid w:val="00FA2994"/>
    <w:rsid w:val="00FA32A3"/>
    <w:rsid w:val="00FA45A6"/>
    <w:rsid w:val="00FB1554"/>
    <w:rsid w:val="00FB1C0D"/>
    <w:rsid w:val="00FB268F"/>
    <w:rsid w:val="00FB2C34"/>
    <w:rsid w:val="00FB609C"/>
    <w:rsid w:val="00FB7075"/>
    <w:rsid w:val="00FC0AC3"/>
    <w:rsid w:val="00FC106C"/>
    <w:rsid w:val="00FC1364"/>
    <w:rsid w:val="00FC7A9D"/>
    <w:rsid w:val="00FD0D7D"/>
    <w:rsid w:val="00FD13CD"/>
    <w:rsid w:val="00FD35DD"/>
    <w:rsid w:val="00FD5484"/>
    <w:rsid w:val="00FD5EA5"/>
    <w:rsid w:val="00FD73AD"/>
    <w:rsid w:val="00FD7C8D"/>
    <w:rsid w:val="00FE0BE0"/>
    <w:rsid w:val="00FE18A3"/>
    <w:rsid w:val="00FE2E21"/>
    <w:rsid w:val="00FE3E46"/>
    <w:rsid w:val="00FE4931"/>
    <w:rsid w:val="00FE58CB"/>
    <w:rsid w:val="00FE71BA"/>
    <w:rsid w:val="00FF05B2"/>
    <w:rsid w:val="00FF0E13"/>
    <w:rsid w:val="00FF14CD"/>
    <w:rsid w:val="00FF2CA9"/>
    <w:rsid w:val="00FF4704"/>
    <w:rsid w:val="00FF577E"/>
    <w:rsid w:val="00FF6E97"/>
    <w:rsid w:val="00FF7138"/>
    <w:rsid w:val="00FF74C9"/>
    <w:rsid w:val="00FF7830"/>
    <w:rsid w:val="023FD5C9"/>
    <w:rsid w:val="07685C69"/>
    <w:rsid w:val="08675AE7"/>
    <w:rsid w:val="0AEE528C"/>
    <w:rsid w:val="0BEB875E"/>
    <w:rsid w:val="0FDF5828"/>
    <w:rsid w:val="12B75CBC"/>
    <w:rsid w:val="16FA6E4F"/>
    <w:rsid w:val="177B7F87"/>
    <w:rsid w:val="1B7D51CE"/>
    <w:rsid w:val="1B9D5947"/>
    <w:rsid w:val="1BFF9B28"/>
    <w:rsid w:val="1C3AA0A6"/>
    <w:rsid w:val="1E3F0795"/>
    <w:rsid w:val="1EAC3C82"/>
    <w:rsid w:val="1EF022DF"/>
    <w:rsid w:val="213F0832"/>
    <w:rsid w:val="23D43E39"/>
    <w:rsid w:val="23E7F289"/>
    <w:rsid w:val="25E77D7F"/>
    <w:rsid w:val="25FC6556"/>
    <w:rsid w:val="267DD60D"/>
    <w:rsid w:val="26EF3330"/>
    <w:rsid w:val="277F9848"/>
    <w:rsid w:val="29CA4E80"/>
    <w:rsid w:val="2BFFCF50"/>
    <w:rsid w:val="2D54640B"/>
    <w:rsid w:val="2DEF0CDD"/>
    <w:rsid w:val="2ED14396"/>
    <w:rsid w:val="2F3F5A8F"/>
    <w:rsid w:val="2FF70467"/>
    <w:rsid w:val="2FF78268"/>
    <w:rsid w:val="315D2D09"/>
    <w:rsid w:val="31F032EF"/>
    <w:rsid w:val="32A10E46"/>
    <w:rsid w:val="32F77D30"/>
    <w:rsid w:val="33C36985"/>
    <w:rsid w:val="34FEF66F"/>
    <w:rsid w:val="37841285"/>
    <w:rsid w:val="3A732562"/>
    <w:rsid w:val="3B7938AB"/>
    <w:rsid w:val="3BBF437A"/>
    <w:rsid w:val="3CFFF468"/>
    <w:rsid w:val="3D1AAB8A"/>
    <w:rsid w:val="3D9FA2CE"/>
    <w:rsid w:val="3DFB5B7E"/>
    <w:rsid w:val="3DFFEAAF"/>
    <w:rsid w:val="3E7E2D3B"/>
    <w:rsid w:val="3F7C8C1F"/>
    <w:rsid w:val="3FA970D4"/>
    <w:rsid w:val="3FBFF662"/>
    <w:rsid w:val="3FE74B39"/>
    <w:rsid w:val="3FEFB8EF"/>
    <w:rsid w:val="44181A8A"/>
    <w:rsid w:val="44501266"/>
    <w:rsid w:val="45B47DEE"/>
    <w:rsid w:val="46FE8141"/>
    <w:rsid w:val="4A720971"/>
    <w:rsid w:val="4AF14CFD"/>
    <w:rsid w:val="4FFF3C41"/>
    <w:rsid w:val="50EF43D0"/>
    <w:rsid w:val="533837FD"/>
    <w:rsid w:val="53B71559"/>
    <w:rsid w:val="53FB43B7"/>
    <w:rsid w:val="56392F2A"/>
    <w:rsid w:val="575DF1FB"/>
    <w:rsid w:val="5A76346C"/>
    <w:rsid w:val="5CA44A95"/>
    <w:rsid w:val="5D0D455B"/>
    <w:rsid w:val="5D77E384"/>
    <w:rsid w:val="5D7B1304"/>
    <w:rsid w:val="5E455C1B"/>
    <w:rsid w:val="5F8F6D72"/>
    <w:rsid w:val="5FCB8C9A"/>
    <w:rsid w:val="5FD5C462"/>
    <w:rsid w:val="5FEE3028"/>
    <w:rsid w:val="5FFE44F2"/>
    <w:rsid w:val="60C02F06"/>
    <w:rsid w:val="634702E2"/>
    <w:rsid w:val="63B71670"/>
    <w:rsid w:val="65DDFCFD"/>
    <w:rsid w:val="65FB8929"/>
    <w:rsid w:val="67C6714F"/>
    <w:rsid w:val="697369F2"/>
    <w:rsid w:val="6B8E030B"/>
    <w:rsid w:val="6C150D37"/>
    <w:rsid w:val="6D435914"/>
    <w:rsid w:val="6DAE3481"/>
    <w:rsid w:val="6EB507C8"/>
    <w:rsid w:val="6F221338"/>
    <w:rsid w:val="6FE5A2D2"/>
    <w:rsid w:val="6FEB127D"/>
    <w:rsid w:val="6FF83BD7"/>
    <w:rsid w:val="70D7566B"/>
    <w:rsid w:val="71F7FF22"/>
    <w:rsid w:val="72051AEF"/>
    <w:rsid w:val="72F7CF66"/>
    <w:rsid w:val="74495ADE"/>
    <w:rsid w:val="74DFD02B"/>
    <w:rsid w:val="74F9698A"/>
    <w:rsid w:val="75586AF9"/>
    <w:rsid w:val="77712B28"/>
    <w:rsid w:val="7774519C"/>
    <w:rsid w:val="77772B88"/>
    <w:rsid w:val="77BF6DD9"/>
    <w:rsid w:val="7AF908F7"/>
    <w:rsid w:val="7AFFBC81"/>
    <w:rsid w:val="7B47EF17"/>
    <w:rsid w:val="7B7FD206"/>
    <w:rsid w:val="7B8E2278"/>
    <w:rsid w:val="7B939760"/>
    <w:rsid w:val="7B97A4CC"/>
    <w:rsid w:val="7BF72331"/>
    <w:rsid w:val="7BFE6A4F"/>
    <w:rsid w:val="7D5D5030"/>
    <w:rsid w:val="7D7CE3C0"/>
    <w:rsid w:val="7D8E7E77"/>
    <w:rsid w:val="7DCCCDDA"/>
    <w:rsid w:val="7DE13640"/>
    <w:rsid w:val="7DF7D15A"/>
    <w:rsid w:val="7DFB0D31"/>
    <w:rsid w:val="7DFC5FAE"/>
    <w:rsid w:val="7DFFB7E6"/>
    <w:rsid w:val="7E941F8F"/>
    <w:rsid w:val="7EF7A902"/>
    <w:rsid w:val="7EF7CB38"/>
    <w:rsid w:val="7F6C3FAC"/>
    <w:rsid w:val="7F70540C"/>
    <w:rsid w:val="7FA7367A"/>
    <w:rsid w:val="7FBAB2BB"/>
    <w:rsid w:val="7FC5BDFF"/>
    <w:rsid w:val="7FD7209D"/>
    <w:rsid w:val="7FDA8B1C"/>
    <w:rsid w:val="7FF741A0"/>
    <w:rsid w:val="7FFAEF35"/>
    <w:rsid w:val="7FFDAC66"/>
    <w:rsid w:val="8376F14A"/>
    <w:rsid w:val="8BBF2738"/>
    <w:rsid w:val="8DE72609"/>
    <w:rsid w:val="8FDD2D50"/>
    <w:rsid w:val="95DF15DD"/>
    <w:rsid w:val="9B739B33"/>
    <w:rsid w:val="9BFFD1F1"/>
    <w:rsid w:val="9D65DC83"/>
    <w:rsid w:val="9DFF3B26"/>
    <w:rsid w:val="A6F77BA9"/>
    <w:rsid w:val="AA172D9E"/>
    <w:rsid w:val="AA17F1AA"/>
    <w:rsid w:val="AACEFA31"/>
    <w:rsid w:val="AB2E3C25"/>
    <w:rsid w:val="AE5FC162"/>
    <w:rsid w:val="AFAFB813"/>
    <w:rsid w:val="B5B83F4A"/>
    <w:rsid w:val="B7EF2498"/>
    <w:rsid w:val="B7F7BC67"/>
    <w:rsid w:val="B934B664"/>
    <w:rsid w:val="BB1A0FC1"/>
    <w:rsid w:val="BB3D18D4"/>
    <w:rsid w:val="BBDFCCD7"/>
    <w:rsid w:val="BBEAC92D"/>
    <w:rsid w:val="BDEFB9DE"/>
    <w:rsid w:val="BF2FAB78"/>
    <w:rsid w:val="BF3FF1ED"/>
    <w:rsid w:val="BF5372E3"/>
    <w:rsid w:val="BF7F0130"/>
    <w:rsid w:val="BF7F44E3"/>
    <w:rsid w:val="BF81137A"/>
    <w:rsid w:val="BFFCEEA3"/>
    <w:rsid w:val="C609F82D"/>
    <w:rsid w:val="C6F1E446"/>
    <w:rsid w:val="C7F710AE"/>
    <w:rsid w:val="C7FFFB01"/>
    <w:rsid w:val="CA6C9060"/>
    <w:rsid w:val="CAFF13FA"/>
    <w:rsid w:val="CB8F6EEB"/>
    <w:rsid w:val="CC2D813F"/>
    <w:rsid w:val="CEE7343F"/>
    <w:rsid w:val="CF770411"/>
    <w:rsid w:val="CFD55023"/>
    <w:rsid w:val="CFF972A7"/>
    <w:rsid w:val="CFFF303F"/>
    <w:rsid w:val="CFFF34B3"/>
    <w:rsid w:val="D5FD8C70"/>
    <w:rsid w:val="D74F2EA1"/>
    <w:rsid w:val="D7B3A6ED"/>
    <w:rsid w:val="D7EF8B27"/>
    <w:rsid w:val="D8FE047F"/>
    <w:rsid w:val="DB3E50FA"/>
    <w:rsid w:val="DB759B12"/>
    <w:rsid w:val="DDBEF54A"/>
    <w:rsid w:val="DF3D5178"/>
    <w:rsid w:val="DF5B91B7"/>
    <w:rsid w:val="DF6FFD98"/>
    <w:rsid w:val="DFDBFC0D"/>
    <w:rsid w:val="DFE58A90"/>
    <w:rsid w:val="DFFC573C"/>
    <w:rsid w:val="DFFF7292"/>
    <w:rsid w:val="E2F7B881"/>
    <w:rsid w:val="E4F2BA6B"/>
    <w:rsid w:val="E6D779FC"/>
    <w:rsid w:val="E6EF9EB8"/>
    <w:rsid w:val="EAFF5AC6"/>
    <w:rsid w:val="EB6FDD2D"/>
    <w:rsid w:val="ED77FAB1"/>
    <w:rsid w:val="EDEEA287"/>
    <w:rsid w:val="EDEF68AF"/>
    <w:rsid w:val="EEFF1E73"/>
    <w:rsid w:val="EF5F87B3"/>
    <w:rsid w:val="EFC1D85D"/>
    <w:rsid w:val="EFE47BC2"/>
    <w:rsid w:val="EFEF2409"/>
    <w:rsid w:val="EFF976DB"/>
    <w:rsid w:val="F1FDA6C1"/>
    <w:rsid w:val="F36EA4D3"/>
    <w:rsid w:val="F4E9F0F4"/>
    <w:rsid w:val="F5DBA3D0"/>
    <w:rsid w:val="F5FC9FD1"/>
    <w:rsid w:val="F6372A3A"/>
    <w:rsid w:val="FB190D0C"/>
    <w:rsid w:val="FBCE6E5B"/>
    <w:rsid w:val="FBDD34F9"/>
    <w:rsid w:val="FBFF3BC2"/>
    <w:rsid w:val="FCDE0183"/>
    <w:rsid w:val="FDCFC4B0"/>
    <w:rsid w:val="FDED78CD"/>
    <w:rsid w:val="FDFBDF05"/>
    <w:rsid w:val="FE3BD462"/>
    <w:rsid w:val="FEFD6BE6"/>
    <w:rsid w:val="FEFDF97C"/>
    <w:rsid w:val="FF2F5F44"/>
    <w:rsid w:val="FF3F0914"/>
    <w:rsid w:val="FF4B4E56"/>
    <w:rsid w:val="FF59F20E"/>
    <w:rsid w:val="FF5C830C"/>
    <w:rsid w:val="FF79A933"/>
    <w:rsid w:val="FF7BEFD1"/>
    <w:rsid w:val="FFCBD520"/>
    <w:rsid w:val="FFEBA0A6"/>
    <w:rsid w:val="FFF6E86C"/>
    <w:rsid w:val="FFF957C0"/>
    <w:rsid w:val="FFFBBE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34"/>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33"/>
    <w:unhideWhenUsed/>
    <w:qFormat/>
    <w:uiPriority w:val="9"/>
    <w:pPr>
      <w:keepNext/>
      <w:keepLines/>
      <w:spacing w:line="360" w:lineRule="auto"/>
      <w:ind w:firstLine="200" w:firstLineChars="200"/>
      <w:outlineLvl w:val="1"/>
    </w:pPr>
    <w:rPr>
      <w:rFonts w:eastAsia="楷体_GB2312" w:asciiTheme="majorHAnsi" w:hAnsiTheme="majorHAnsi" w:cstheme="majorBidi"/>
      <w:b/>
      <w:bCs/>
      <w:sz w:val="32"/>
      <w:szCs w:val="32"/>
    </w:rPr>
  </w:style>
  <w:style w:type="paragraph" w:styleId="6">
    <w:name w:val="heading 3"/>
    <w:basedOn w:val="1"/>
    <w:next w:val="1"/>
    <w:link w:val="40"/>
    <w:unhideWhenUsed/>
    <w:qFormat/>
    <w:uiPriority w:val="9"/>
    <w:pPr>
      <w:keepNext/>
      <w:keepLines/>
      <w:spacing w:line="360" w:lineRule="auto"/>
      <w:ind w:firstLine="200" w:firstLineChars="200"/>
      <w:outlineLvl w:val="2"/>
    </w:pPr>
    <w:rPr>
      <w:rFonts w:eastAsia="仿宋_GB2312"/>
      <w:b/>
      <w:bCs/>
      <w:sz w:val="32"/>
      <w:szCs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35"/>
    <w:qFormat/>
    <w:uiPriority w:val="0"/>
    <w:pPr>
      <w:ind w:firstLine="420" w:firstLineChars="200"/>
    </w:pPr>
  </w:style>
  <w:style w:type="paragraph" w:styleId="3">
    <w:name w:val="Body Text Indent"/>
    <w:basedOn w:val="1"/>
    <w:next w:val="2"/>
    <w:link w:val="39"/>
    <w:qFormat/>
    <w:uiPriority w:val="0"/>
    <w:pPr>
      <w:spacing w:after="120"/>
      <w:ind w:left="420" w:leftChars="200"/>
    </w:pPr>
  </w:style>
  <w:style w:type="paragraph" w:styleId="7">
    <w:name w:val="annotation text"/>
    <w:basedOn w:val="1"/>
    <w:link w:val="29"/>
    <w:unhideWhenUsed/>
    <w:qFormat/>
    <w:uiPriority w:val="99"/>
    <w:pPr>
      <w:jc w:val="left"/>
    </w:pPr>
  </w:style>
  <w:style w:type="paragraph" w:styleId="8">
    <w:name w:val="Body Text"/>
    <w:basedOn w:val="1"/>
    <w:next w:val="9"/>
    <w:link w:val="36"/>
    <w:semiHidden/>
    <w:unhideWhenUsed/>
    <w:qFormat/>
    <w:uiPriority w:val="99"/>
    <w:pPr>
      <w:spacing w:after="120"/>
    </w:pPr>
  </w:style>
  <w:style w:type="paragraph" w:customStyle="1" w:styleId="9">
    <w:name w:val="toc 11"/>
    <w:next w:val="1"/>
    <w:qFormat/>
    <w:uiPriority w:val="0"/>
    <w:pPr>
      <w:wordWrap w:val="0"/>
      <w:jc w:val="both"/>
    </w:pPr>
    <w:rPr>
      <w:rFonts w:ascii="Times New Roman" w:hAnsi="Times New Roman" w:eastAsia="宋体" w:cs="Times New Roman"/>
      <w:sz w:val="21"/>
      <w:szCs w:val="22"/>
      <w:lang w:val="en-US" w:eastAsia="zh-CN" w:bidi="ar-SA"/>
    </w:rPr>
  </w:style>
  <w:style w:type="paragraph" w:styleId="10">
    <w:name w:val="toc 3"/>
    <w:basedOn w:val="1"/>
    <w:next w:val="1"/>
    <w:unhideWhenUsed/>
    <w:qFormat/>
    <w:uiPriority w:val="39"/>
    <w:pPr>
      <w:widowControl/>
      <w:ind w:left="480"/>
      <w:jc w:val="left"/>
    </w:pPr>
    <w:rPr>
      <w:rFonts w:hAnsi="宋体" w:eastAsia="仿宋_GB2312" w:cs="宋体"/>
      <w:i/>
      <w:iCs/>
      <w:kern w:val="0"/>
      <w:sz w:val="28"/>
      <w:szCs w:val="20"/>
    </w:rPr>
  </w:style>
  <w:style w:type="paragraph" w:styleId="11">
    <w:name w:val="Balloon Text"/>
    <w:basedOn w:val="1"/>
    <w:link w:val="41"/>
    <w:semiHidden/>
    <w:unhideWhenUsed/>
    <w:qFormat/>
    <w:uiPriority w:val="99"/>
    <w:rPr>
      <w:sz w:val="18"/>
      <w:szCs w:val="18"/>
    </w:rPr>
  </w:style>
  <w:style w:type="paragraph" w:styleId="12">
    <w:name w:val="footer"/>
    <w:basedOn w:val="1"/>
    <w:link w:val="28"/>
    <w:unhideWhenUsed/>
    <w:qFormat/>
    <w:uiPriority w:val="99"/>
    <w:pPr>
      <w:tabs>
        <w:tab w:val="center" w:pos="4153"/>
        <w:tab w:val="right" w:pos="8306"/>
      </w:tabs>
      <w:snapToGrid w:val="0"/>
      <w:jc w:val="left"/>
    </w:pPr>
    <w:rPr>
      <w:sz w:val="18"/>
      <w:szCs w:val="18"/>
    </w:rPr>
  </w:style>
  <w:style w:type="paragraph" w:styleId="13">
    <w:name w:val="header"/>
    <w:basedOn w:val="1"/>
    <w:link w:val="27"/>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unhideWhenUsed/>
    <w:qFormat/>
    <w:uiPriority w:val="39"/>
    <w:pPr>
      <w:widowControl/>
      <w:tabs>
        <w:tab w:val="right" w:leader="middleDot" w:pos="8296"/>
      </w:tabs>
      <w:spacing w:before="120" w:after="120" w:line="400" w:lineRule="exact"/>
      <w:jc w:val="left"/>
    </w:pPr>
    <w:rPr>
      <w:rFonts w:hAnsi="宋体" w:cs="宋体" w:eastAsiaTheme="minorHAnsi"/>
      <w:b/>
      <w:bCs/>
      <w:caps/>
      <w:kern w:val="0"/>
      <w:sz w:val="28"/>
      <w:szCs w:val="20"/>
    </w:rPr>
  </w:style>
  <w:style w:type="paragraph" w:styleId="15">
    <w:name w:val="toc 2"/>
    <w:basedOn w:val="1"/>
    <w:next w:val="1"/>
    <w:unhideWhenUsed/>
    <w:qFormat/>
    <w:uiPriority w:val="39"/>
    <w:pPr>
      <w:widowControl/>
      <w:tabs>
        <w:tab w:val="right" w:leader="dot" w:pos="8296"/>
      </w:tabs>
      <w:spacing w:line="520" w:lineRule="exact"/>
      <w:ind w:left="240"/>
      <w:jc w:val="left"/>
    </w:pPr>
    <w:rPr>
      <w:rFonts w:hAnsi="宋体" w:cs="宋体" w:eastAsiaTheme="minorHAnsi"/>
      <w:smallCaps/>
      <w:kern w:val="0"/>
      <w:sz w:val="28"/>
      <w:szCs w:val="20"/>
    </w:rPr>
  </w:style>
  <w:style w:type="paragraph" w:styleId="16">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17">
    <w:name w:val="Normal (Web)"/>
    <w:basedOn w:val="1"/>
    <w:semiHidden/>
    <w:unhideWhenUsed/>
    <w:qFormat/>
    <w:uiPriority w:val="99"/>
    <w:rPr>
      <w:rFonts w:ascii="Times New Roman" w:hAnsi="Times New Roman" w:cs="Times New Roman"/>
      <w:sz w:val="24"/>
    </w:rPr>
  </w:style>
  <w:style w:type="paragraph" w:styleId="18">
    <w:name w:val="annotation subject"/>
    <w:basedOn w:val="7"/>
    <w:next w:val="7"/>
    <w:link w:val="30"/>
    <w:semiHidden/>
    <w:unhideWhenUsed/>
    <w:qFormat/>
    <w:uiPriority w:val="99"/>
    <w:rPr>
      <w:b/>
      <w:bCs/>
    </w:rPr>
  </w:style>
  <w:style w:type="paragraph" w:styleId="19">
    <w:name w:val="Body Text First Indent"/>
    <w:basedOn w:val="8"/>
    <w:link w:val="37"/>
    <w:semiHidden/>
    <w:unhideWhenUsed/>
    <w:qFormat/>
    <w:uiPriority w:val="99"/>
    <w:pPr>
      <w:ind w:firstLine="420" w:firstLineChars="100"/>
    </w:p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22"/>
    <w:rPr>
      <w:b/>
    </w:rPr>
  </w:style>
  <w:style w:type="character" w:styleId="24">
    <w:name w:val="page number"/>
    <w:basedOn w:val="22"/>
    <w:semiHidden/>
    <w:unhideWhenUsed/>
    <w:qFormat/>
    <w:uiPriority w:val="99"/>
  </w:style>
  <w:style w:type="character" w:styleId="25">
    <w:name w:val="annotation reference"/>
    <w:basedOn w:val="22"/>
    <w:semiHidden/>
    <w:unhideWhenUsed/>
    <w:qFormat/>
    <w:uiPriority w:val="99"/>
    <w:rPr>
      <w:sz w:val="21"/>
      <w:szCs w:val="21"/>
    </w:rPr>
  </w:style>
  <w:style w:type="character" w:customStyle="1" w:styleId="26">
    <w:name w:val="s7"/>
    <w:basedOn w:val="22"/>
    <w:qFormat/>
    <w:uiPriority w:val="0"/>
  </w:style>
  <w:style w:type="character" w:customStyle="1" w:styleId="27">
    <w:name w:val="页眉 字符"/>
    <w:basedOn w:val="22"/>
    <w:link w:val="13"/>
    <w:qFormat/>
    <w:uiPriority w:val="99"/>
    <w:rPr>
      <w:sz w:val="18"/>
      <w:szCs w:val="18"/>
    </w:rPr>
  </w:style>
  <w:style w:type="character" w:customStyle="1" w:styleId="28">
    <w:name w:val="页脚 字符"/>
    <w:basedOn w:val="22"/>
    <w:link w:val="12"/>
    <w:qFormat/>
    <w:uiPriority w:val="99"/>
    <w:rPr>
      <w:sz w:val="18"/>
      <w:szCs w:val="18"/>
    </w:rPr>
  </w:style>
  <w:style w:type="character" w:customStyle="1" w:styleId="29">
    <w:name w:val="批注文字 字符"/>
    <w:basedOn w:val="22"/>
    <w:link w:val="7"/>
    <w:qFormat/>
    <w:uiPriority w:val="99"/>
    <w:rPr>
      <w:kern w:val="2"/>
      <w:sz w:val="21"/>
      <w:szCs w:val="24"/>
    </w:rPr>
  </w:style>
  <w:style w:type="character" w:customStyle="1" w:styleId="30">
    <w:name w:val="批注主题 字符"/>
    <w:basedOn w:val="29"/>
    <w:link w:val="18"/>
    <w:semiHidden/>
    <w:qFormat/>
    <w:uiPriority w:val="99"/>
    <w:rPr>
      <w:b/>
      <w:bCs/>
      <w:kern w:val="2"/>
      <w:sz w:val="21"/>
      <w:szCs w:val="24"/>
    </w:rPr>
  </w:style>
  <w:style w:type="paragraph" w:customStyle="1" w:styleId="31">
    <w:name w:val="修订1"/>
    <w:hidden/>
    <w:semiHidden/>
    <w:qFormat/>
    <w:uiPriority w:val="99"/>
    <w:rPr>
      <w:rFonts w:asciiTheme="minorHAnsi" w:hAnsiTheme="minorHAnsi" w:eastAsiaTheme="minorEastAsia" w:cstheme="minorBidi"/>
      <w:kern w:val="2"/>
      <w:sz w:val="21"/>
      <w:szCs w:val="24"/>
      <w:lang w:val="en-US" w:eastAsia="zh-CN" w:bidi="ar-SA"/>
    </w:rPr>
  </w:style>
  <w:style w:type="paragraph" w:styleId="32">
    <w:name w:val="List Paragraph"/>
    <w:basedOn w:val="1"/>
    <w:qFormat/>
    <w:uiPriority w:val="99"/>
    <w:pPr>
      <w:ind w:firstLine="420" w:firstLineChars="200"/>
    </w:pPr>
  </w:style>
  <w:style w:type="character" w:customStyle="1" w:styleId="33">
    <w:name w:val="标题 2 字符"/>
    <w:basedOn w:val="22"/>
    <w:link w:val="5"/>
    <w:qFormat/>
    <w:uiPriority w:val="9"/>
    <w:rPr>
      <w:rFonts w:eastAsia="楷体_GB2312" w:asciiTheme="majorHAnsi" w:hAnsiTheme="majorHAnsi" w:cstheme="majorBidi"/>
      <w:b/>
      <w:bCs/>
      <w:kern w:val="2"/>
      <w:sz w:val="32"/>
      <w:szCs w:val="32"/>
    </w:rPr>
  </w:style>
  <w:style w:type="character" w:customStyle="1" w:styleId="34">
    <w:name w:val="标题 1 字符"/>
    <w:basedOn w:val="22"/>
    <w:link w:val="4"/>
    <w:qFormat/>
    <w:uiPriority w:val="9"/>
    <w:rPr>
      <w:b/>
      <w:bCs/>
      <w:kern w:val="44"/>
      <w:sz w:val="44"/>
      <w:szCs w:val="44"/>
    </w:rPr>
  </w:style>
  <w:style w:type="character" w:customStyle="1" w:styleId="35">
    <w:name w:val="正文文本首行缩进 2 字符"/>
    <w:basedOn w:val="22"/>
    <w:link w:val="2"/>
    <w:qFormat/>
    <w:uiPriority w:val="0"/>
    <w:rPr>
      <w:kern w:val="2"/>
      <w:sz w:val="21"/>
      <w:szCs w:val="24"/>
    </w:rPr>
  </w:style>
  <w:style w:type="character" w:customStyle="1" w:styleId="36">
    <w:name w:val="正文文本 字符"/>
    <w:basedOn w:val="22"/>
    <w:link w:val="8"/>
    <w:semiHidden/>
    <w:qFormat/>
    <w:uiPriority w:val="99"/>
    <w:rPr>
      <w:kern w:val="2"/>
      <w:sz w:val="21"/>
      <w:szCs w:val="24"/>
    </w:rPr>
  </w:style>
  <w:style w:type="character" w:customStyle="1" w:styleId="37">
    <w:name w:val="正文文本首行缩进 字符"/>
    <w:basedOn w:val="36"/>
    <w:link w:val="19"/>
    <w:semiHidden/>
    <w:qFormat/>
    <w:uiPriority w:val="99"/>
    <w:rPr>
      <w:kern w:val="2"/>
      <w:sz w:val="21"/>
      <w:szCs w:val="24"/>
    </w:rPr>
  </w:style>
  <w:style w:type="paragraph" w:customStyle="1" w:styleId="38">
    <w:name w:val="修订2"/>
    <w:hidden/>
    <w:semiHidden/>
    <w:qFormat/>
    <w:uiPriority w:val="99"/>
    <w:rPr>
      <w:rFonts w:asciiTheme="minorHAnsi" w:hAnsiTheme="minorHAnsi" w:eastAsiaTheme="minorEastAsia" w:cstheme="minorBidi"/>
      <w:kern w:val="2"/>
      <w:sz w:val="21"/>
      <w:szCs w:val="24"/>
      <w:lang w:val="en-US" w:eastAsia="zh-CN" w:bidi="ar-SA"/>
    </w:rPr>
  </w:style>
  <w:style w:type="character" w:customStyle="1" w:styleId="39">
    <w:name w:val="正文文本缩进 字符"/>
    <w:basedOn w:val="22"/>
    <w:link w:val="3"/>
    <w:qFormat/>
    <w:uiPriority w:val="0"/>
    <w:rPr>
      <w:rFonts w:asciiTheme="minorHAnsi" w:hAnsiTheme="minorHAnsi" w:eastAsiaTheme="minorEastAsia" w:cstheme="minorBidi"/>
      <w:kern w:val="2"/>
      <w:sz w:val="21"/>
      <w:szCs w:val="24"/>
    </w:rPr>
  </w:style>
  <w:style w:type="character" w:customStyle="1" w:styleId="40">
    <w:name w:val="标题 3 字符"/>
    <w:basedOn w:val="22"/>
    <w:link w:val="6"/>
    <w:qFormat/>
    <w:uiPriority w:val="9"/>
    <w:rPr>
      <w:rFonts w:eastAsia="仿宋_GB2312" w:asciiTheme="minorHAnsi" w:hAnsiTheme="minorHAnsi" w:cstheme="minorBidi"/>
      <w:b/>
      <w:bCs/>
      <w:kern w:val="2"/>
      <w:sz w:val="32"/>
      <w:szCs w:val="32"/>
    </w:rPr>
  </w:style>
  <w:style w:type="character" w:customStyle="1" w:styleId="41">
    <w:name w:val="批注框文本 字符"/>
    <w:basedOn w:val="22"/>
    <w:link w:val="11"/>
    <w:semiHidden/>
    <w:qFormat/>
    <w:uiPriority w:val="99"/>
    <w:rPr>
      <w:rFonts w:asciiTheme="minorHAnsi" w:hAnsiTheme="minorHAnsi" w:eastAsiaTheme="minorEastAsia" w:cstheme="minorBidi"/>
      <w:kern w:val="2"/>
      <w:sz w:val="18"/>
      <w:szCs w:val="18"/>
    </w:rPr>
  </w:style>
  <w:style w:type="paragraph" w:customStyle="1" w:styleId="42">
    <w:name w:val="修订3"/>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43">
    <w:name w:val="s6"/>
    <w:basedOn w:val="22"/>
    <w:qFormat/>
    <w:uiPriority w:val="0"/>
  </w:style>
  <w:style w:type="table" w:customStyle="1" w:styleId="44">
    <w:name w:val="网格型2"/>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5">
    <w:name w:val="修订4"/>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46">
    <w:name w:val="s23"/>
    <w:basedOn w:val="1"/>
    <w:qFormat/>
    <w:uiPriority w:val="0"/>
    <w:pPr>
      <w:widowControl/>
      <w:spacing w:before="100" w:beforeAutospacing="1" w:after="100" w:afterAutospacing="1"/>
      <w:jc w:val="left"/>
    </w:pPr>
    <w:rPr>
      <w:rFonts w:ascii="宋体" w:hAnsi="宋体" w:eastAsia="宋体" w:cs="宋体"/>
      <w:kern w:val="0"/>
      <w:sz w:val="24"/>
    </w:rPr>
  </w:style>
  <w:style w:type="character" w:customStyle="1" w:styleId="47">
    <w:name w:val="s21"/>
    <w:basedOn w:val="22"/>
    <w:qFormat/>
    <w:uiPriority w:val="0"/>
  </w:style>
  <w:style w:type="character" w:customStyle="1" w:styleId="48">
    <w:name w:val="s42"/>
    <w:basedOn w:val="22"/>
    <w:qFormat/>
    <w:uiPriority w:val="0"/>
  </w:style>
  <w:style w:type="character" w:customStyle="1" w:styleId="49">
    <w:name w:val="s22"/>
    <w:basedOn w:val="22"/>
    <w:qFormat/>
    <w:uiPriority w:val="0"/>
  </w:style>
  <w:style w:type="paragraph" w:customStyle="1" w:styleId="50">
    <w:name w:val="修订5"/>
    <w:hidden/>
    <w:semiHidden/>
    <w:qFormat/>
    <w:uiPriority w:val="99"/>
    <w:rPr>
      <w:rFonts w:asciiTheme="minorHAnsi" w:hAnsiTheme="minorHAnsi" w:eastAsiaTheme="minorEastAsia" w:cstheme="minorBidi"/>
      <w:kern w:val="2"/>
      <w:sz w:val="21"/>
      <w:szCs w:val="24"/>
      <w:lang w:val="en-US" w:eastAsia="zh-CN" w:bidi="ar-SA"/>
    </w:rPr>
  </w:style>
  <w:style w:type="paragraph" w:customStyle="1" w:styleId="51">
    <w:name w:val="修订6"/>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52">
    <w:name w:val="Revision"/>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4388</Words>
  <Characters>4577</Characters>
  <Lines>47</Lines>
  <Paragraphs>13</Paragraphs>
  <TotalTime>1</TotalTime>
  <ScaleCrop>false</ScaleCrop>
  <LinksUpToDate>false</LinksUpToDate>
  <CharactersWithSpaces>4593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2024-12-07T04:59:00Z</dcterms:created>
  <dc:creator>向洋</dc:creator>
  <cp:lastModifiedBy>名字不重要</cp:lastModifiedBy>
  <cp:lastPrinted>2024-12-13T09:14:00Z</cp:lastPrinted>
  <dcterms:modified xsi:type="dcterms:W3CDTF">2025-03-18T04:06:00Z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C3466B5853B1B32AB81F51677D107C2A</vt:lpwstr>
  </property>
  <property fmtid="{D5CDD505-2E9C-101B-9397-08002B2CF9AE}" pid="4" name="KSOTemplateDocerSaveRecord">
    <vt:lpwstr>eyJoZGlkIjoiNzdjMzE4MGRjYzlmYzc1ZDA5NmEyZjM0NWU3ZTRmNTUiLCJ1c2VySWQiOiI2ODg0NzY1NzYifQ==</vt:lpwstr>
  </property>
</Properties>
</file>